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2E7D32"/>
          <w:sz w:val="22"/>
        </w:rPr>
        <w:t>🌱 ENTERPRISE PRECISION AGRICULTURE PLATFORM 🌱</w:t>
        <w:br/>
      </w:r>
      <w:r>
        <w:rPr>
          <w:rFonts w:ascii="Arial Black" w:hAnsi="Arial Black"/>
          <w:b/>
          <w:color w:val="1B5E20"/>
          <w:sz w:val="44"/>
        </w:rPr>
        <w:t>AgroAI: Smart Crop &amp; Fertilizer Recommendation System</w:t>
        <w:br/>
      </w:r>
      <w:r>
        <w:rPr>
          <w:rFonts w:ascii="Arial" w:hAnsi="Arial"/>
          <w:color w:val="546E7A"/>
          <w:sz w:val="24"/>
        </w:rPr>
        <w:t>Complete Technical Documentation, Machine Learning Specification &amp; PowerPoint (PPT) Presentation Master Guide</w:t>
        <w:br/>
      </w:r>
    </w:p>
    <w:p>
      <w:pPr>
        <w:spacing w:after="360"/>
        <w:jc w:val="center"/>
      </w:pPr>
      <w:r>
        <w:rPr>
          <w:rFonts w:ascii="Calibri" w:hAnsi="Calibri"/>
          <w:i/>
          <w:color w:val="546E7A"/>
          <w:sz w:val="19"/>
        </w:rPr>
        <w:t>Author: Gobi Krishna V  |  Domain: Machine Learning &amp; Precision Agriculture  |  Version: 3.0 Enterprise Edition</w:t>
      </w:r>
    </w:p>
    <w:p>
      <w:pPr>
        <w:spacing w:after="240"/>
        <w:jc w:val="center"/>
      </w:pPr>
    </w:p>
    <w:p>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ystem_architecture_diagram.jpg"/>
                    <pic:cNvPicPr/>
                  </pic:nvPicPr>
                  <pic:blipFill>
                    <a:blip r:embed="rId9"/>
                    <a:stretch>
                      <a:fillRect/>
                    </a:stretch>
                  </pic:blipFill>
                  <pic:spPr>
                    <a:xfrm>
                      <a:off x="0" y="0"/>
                      <a:ext cx="5669280" cy="3164249"/>
                    </a:xfrm>
                    <a:prstGeom prst="rect"/>
                  </pic:spPr>
                </pic:pic>
              </a:graphicData>
            </a:graphic>
          </wp:inline>
        </w:drawing>
      </w:r>
    </w:p>
    <w:p>
      <w:pPr>
        <w:jc w:val="center"/>
      </w:pPr>
      <w:r>
        <w:rPr>
          <w:rFonts w:ascii="Calibri" w:hAnsi="Calibri"/>
          <w:i/>
          <w:color w:val="546E7A"/>
          <w:sz w:val="18"/>
        </w:rPr>
        <w:t>Figure 1: AgroAI End-to-End System Architecture Pipeline</w:t>
      </w:r>
    </w:p>
    <w:p>
      <w:pPr>
        <w:pStyle w:val="Heading1"/>
        <w:pBdr>
          <w:bottom w:val="single" w:sz="18" w:space="4" w:color="2E7D32"/>
        </w:pBdr>
        <w:spacing w:before="400" w:after="160"/>
      </w:pPr>
      <w:r>
        <w:rPr>
          <w:rFonts w:ascii="Arial" w:hAnsi="Arial"/>
          <w:b/>
          <w:color w:val="1B5E20"/>
          <w:sz w:val="36"/>
        </w:rPr>
        <w:t>1. Executive Summary &amp; Project Motivation</w:t>
      </w:r>
    </w:p>
    <w:p>
      <w:r>
        <w:t>Agriculture forms the backbone of global food security and economic stability. However, modern farmers face severe challenges including climate variability, declining soil fertility due to indiscriminate fertilizer application, water scarcity, and suboptimal crop selection based on intuition rather than scientific data. Traditional agricultural extension services often fail to deliver timely, site-specific agronomic advice tailored to distinct soil chemistry and micro-climates.</w:t>
        <w:br/>
        <w:br/>
        <w:t>AgroAI is an enterprise-grade AI-powered precision agriculture decision support system designed to bridge this gap. By fusing multi-model ensemble machine learning algorithms, soil stoichiometry chemical equations, dynamic evapotranspiration (ETc) water budgeting models, and an intuitive light-themed glassmorphism interface, AgroAI empowers farmers, agronomists, and policymakers with actionable, data-driven decisions from sowing to harvesting.</w:t>
      </w:r>
    </w:p>
    <w:p>
      <w:pPr>
        <w:pStyle w:val="Heading1"/>
        <w:pBdr>
          <w:bottom w:val="single" w:sz="18" w:space="4" w:color="2E7D32"/>
        </w:pBdr>
        <w:spacing w:before="400" w:after="160"/>
      </w:pPr>
      <w:r>
        <w:rPr>
          <w:rFonts w:ascii="Arial" w:hAnsi="Arial"/>
          <w:b/>
          <w:color w:val="1B5E20"/>
          <w:sz w:val="36"/>
        </w:rPr>
        <w:t>2. Problem Statement &amp; Agronomic Significance</w:t>
      </w:r>
    </w:p>
    <w:p>
      <w:r>
        <w:t>The project directly addresses four critical agricultural crises:</w:t>
        <w:br/>
      </w:r>
    </w:p>
    <w:p>
      <w:pPr>
        <w:pStyle w:val="ListBullet"/>
      </w:pPr>
      <w:r>
        <w:rPr>
          <w:b/>
          <w:color w:val="1B5E20"/>
        </w:rPr>
        <w:t xml:space="preserve">Suboptimal Crop Selection: </w:t>
      </w:r>
      <w:r>
        <w:t>Farmers frequently cultivate crops unsuited for their soil nutrient profiles (N-P-K), soil pH, or seasonal temperature/rainfall patterns, leading to drastic yield reductions (up to 40-60%).</w:t>
      </w:r>
    </w:p>
    <w:p>
      <w:pPr>
        <w:pStyle w:val="ListBullet"/>
      </w:pPr>
      <w:r>
        <w:rPr>
          <w:b/>
          <w:color w:val="1B5E20"/>
        </w:rPr>
        <w:t xml:space="preserve">Over-Fertilization &amp; Nutrient Imbalance: </w:t>
      </w:r>
      <w:r>
        <w:t>Blanket application of chemical fertilizers (predominantly Urea) leads to soil acidification, ground-water nitrate leaching, phosphorus fixation, and inflated input expenses without proportional yield gain.</w:t>
      </w:r>
    </w:p>
    <w:p>
      <w:pPr>
        <w:pStyle w:val="ListBullet"/>
      </w:pPr>
      <w:r>
        <w:rPr>
          <w:b/>
          <w:color w:val="1B5E20"/>
        </w:rPr>
        <w:t xml:space="preserve">Water Mismanagement: </w:t>
      </w:r>
      <w:r>
        <w:t>Inefficient irrigation scheduling leads to root zone waterlogging, soil salinization, or drought stress during critical flowering and grain-filling phonological stages.</w:t>
      </w:r>
    </w:p>
    <w:p>
      <w:pPr>
        <w:pStyle w:val="ListBullet"/>
      </w:pPr>
      <w:r>
        <w:rPr>
          <w:b/>
          <w:color w:val="1B5E20"/>
        </w:rPr>
        <w:t xml:space="preserve">Lack of Accessible Decision Support: </w:t>
      </w:r>
      <w:r>
        <w:t>Complex agronomic data is rarely accessible to smallholder farmers in an intuitive, non-technical format with actionable quantity prescriptions.</w:t>
      </w:r>
    </w:p>
    <w:p>
      <w:pPr>
        <w:pStyle w:val="Heading1"/>
        <w:pBdr>
          <w:bottom w:val="single" w:sz="18" w:space="4" w:color="2E7D32"/>
        </w:pBdr>
        <w:spacing w:before="400" w:after="160"/>
      </w:pPr>
      <w:r>
        <w:rPr>
          <w:rFonts w:ascii="Arial" w:hAnsi="Arial"/>
          <w:b/>
          <w:color w:val="1B5E20"/>
          <w:sz w:val="36"/>
        </w:rPr>
        <w:t>3. System Architecture &amp; End-to-End Pipeline</w:t>
      </w:r>
    </w:p>
    <w:p>
      <w:r>
        <w:t>The AgroAI architecture consists of five modular, highly decoupled layers designed for resilience, real-time inference, and user accessibility:</w:t>
      </w:r>
    </w:p>
    <w:p>
      <w:pPr>
        <w:pStyle w:val="Heading3"/>
        <w:spacing w:before="200" w:after="80"/>
      </w:pPr>
      <w:r>
        <w:rPr>
          <w:rFonts w:ascii="Arial" w:hAnsi="Arial"/>
          <w:b/>
          <w:color w:val="00897B"/>
          <w:sz w:val="24"/>
        </w:rPr>
        <w:t>Layer 1: Input &amp; Ingestion Layer</w:t>
      </w:r>
    </w:p>
    <w:p>
      <w:r>
        <w:t>Captures 7 multi-dimensional parameters including Soil Chemistry (Nitrogen N, Phosphorus P, Potassium K, pH) and Meteorological Factors (Temperature, Relative Humidity, Expected Rainfall) alongside acreage and soil texture profile.</w:t>
      </w:r>
    </w:p>
    <w:p>
      <w:pPr>
        <w:pStyle w:val="Heading3"/>
        <w:spacing w:before="200" w:after="80"/>
      </w:pPr>
      <w:r>
        <w:rPr>
          <w:rFonts w:ascii="Arial" w:hAnsi="Arial"/>
          <w:b/>
          <w:color w:val="00897B"/>
          <w:sz w:val="24"/>
        </w:rPr>
        <w:t>Layer 2: Data Preprocessing &amp; Validation Pipeline</w:t>
      </w:r>
    </w:p>
    <w:p>
      <w:r>
        <w:t>Ingests the authentic 2,200-row Crop_Recommendation.csv dataset, executes feature scaling, missing value imputation, outlier verification, and performs stratified 80/20 train-test splitting across 22 classes.</w:t>
      </w:r>
    </w:p>
    <w:p>
      <w:pPr>
        <w:pStyle w:val="Heading3"/>
        <w:spacing w:before="200" w:after="80"/>
      </w:pPr>
      <w:r>
        <w:rPr>
          <w:rFonts w:ascii="Arial" w:hAnsi="Arial"/>
          <w:b/>
          <w:color w:val="00897B"/>
          <w:sz w:val="24"/>
        </w:rPr>
        <w:t>Layer 3: Multi-Model Machine Learning Core</w:t>
      </w:r>
    </w:p>
    <w:p>
      <w:r>
        <w:t>Simultaneously fits, validates, and benchmarks 6 distinct ML classification algorithms, ranking them on an automated performance leaderboard and routing live inference through the highest-scoring model (Random Forest, &gt;99% Accuracy).</w:t>
      </w:r>
    </w:p>
    <w:p>
      <w:pPr>
        <w:pStyle w:val="Heading3"/>
        <w:spacing w:before="200" w:after="80"/>
      </w:pPr>
      <w:r>
        <w:rPr>
          <w:rFonts w:ascii="Arial" w:hAnsi="Arial"/>
          <w:b/>
          <w:color w:val="00897B"/>
          <w:sz w:val="24"/>
        </w:rPr>
        <w:t>Layer 4: Agronomic Expert Decision Engines</w:t>
      </w:r>
    </w:p>
    <w:p>
      <w:r>
        <w:t>Translates ML predictions into actionable farming instructions: Dynamic Fertilizer Stoichiometry Engine computes exact kg and bag deficits; Dynamic Irrigation Engine computes daily evapotranspiration (ETc) and pump runtimes.</w:t>
      </w:r>
    </w:p>
    <w:p>
      <w:pPr>
        <w:pStyle w:val="Heading3"/>
        <w:spacing w:before="200" w:after="80"/>
      </w:pPr>
      <w:r>
        <w:rPr>
          <w:rFonts w:ascii="Arial" w:hAnsi="Arial"/>
          <w:b/>
          <w:color w:val="00897B"/>
          <w:sz w:val="24"/>
        </w:rPr>
        <w:t>Layer 5: Presentation &amp; Analytics Interface</w:t>
      </w:r>
    </w:p>
    <w:p>
      <w:r>
        <w:t>Streamlit Glassmorphism UI built in a pure light white-and-green bio-aesthetic featuring 4 dedicated chart modules (Bar Charts, Line Graphs, Pie Charts, Pictographs) with common-person educational guides.</w:t>
      </w:r>
    </w:p>
    <w:p>
      <w:pPr>
        <w:pStyle w:val="Heading1"/>
        <w:pBdr>
          <w:bottom w:val="single" w:sz="18" w:space="4" w:color="2E7D32"/>
        </w:pBdr>
        <w:spacing w:before="400" w:after="160"/>
      </w:pPr>
      <w:r>
        <w:rPr>
          <w:rFonts w:ascii="Arial" w:hAnsi="Arial"/>
          <w:b/>
          <w:color w:val="1B5E20"/>
          <w:sz w:val="36"/>
        </w:rPr>
        <w:t>4. Comprehensive Machine Learning Algorithm Analysis</w:t>
      </w:r>
    </w:p>
    <w:p>
      <w:r>
        <w:t>To ensure rigorous scientific validity, AgroAI trains and benchmarks six distinct classification paradigms on the agricultural dataset. Below is an exhaustive mathematical and algorithmic breakdown of each model:</w:t>
      </w:r>
    </w:p>
    <w:p>
      <w:pPr>
        <w:pStyle w:val="Heading2"/>
        <w:spacing w:before="280" w:after="120"/>
      </w:pPr>
      <w:r>
        <w:rPr>
          <w:rFonts w:ascii="Arial" w:hAnsi="Arial"/>
          <w:b/>
          <w:color w:val="2E7D32"/>
          <w:sz w:val="28"/>
        </w:rPr>
        <w:t>4.1 Random Forest Classifier (Top Performer: ~99.5% Accuracy)</w:t>
      </w:r>
    </w:p>
    <w:p>
      <w:r>
        <w:rPr>
          <w:b/>
          <w:color w:val="2E7D32"/>
        </w:rPr>
        <w:t xml:space="preserve">Model Paradigm: </w:t>
      </w:r>
      <w:r>
        <w:t>Ensemble Bagging (Bootstrap Aggregating)</w:t>
      </w:r>
    </w:p>
    <w:p>
      <w:r>
        <w:t>Random Forest constructs an ensemble of 120 de-correlated decision trees (n_estimators=120, max_depth=16). Each tree is trained on a bootstrap sample of the dataset with random feature subsets selected at each split (mtry = sqrt(p)). By averaging the probabilistic predictions of individual trees, Random Forest drastically reduces variance and eliminates overfitting on continuous agricultural variables (N, P, K, rainfall).</w:t>
        <w:br/>
        <w:t>• Splitting Criterion: Gini Impurity: Gini(p) = 1 - sum(p_i^2)</w:t>
        <w:br/>
        <w:t>• Out-of-Bag (OOB) error estimation ensures generalization on unseen climate extremes.</w:t>
      </w:r>
    </w:p>
    <w:p>
      <w:pPr>
        <w:pStyle w:val="Heading2"/>
        <w:spacing w:before="280" w:after="120"/>
      </w:pPr>
      <w:r>
        <w:rPr>
          <w:rFonts w:ascii="Arial" w:hAnsi="Arial"/>
          <w:b/>
          <w:color w:val="2E7D32"/>
          <w:sz w:val="28"/>
        </w:rPr>
        <w:t>4.2 Gradient Boosting Classifier (~98.8% Accuracy)</w:t>
      </w:r>
    </w:p>
    <w:p>
      <w:r>
        <w:rPr>
          <w:b/>
          <w:color w:val="2E7D32"/>
        </w:rPr>
        <w:t xml:space="preserve">Model Paradigm: </w:t>
      </w:r>
      <w:r>
        <w:t>Ensemble Boosting (Sequential Residual Optimization)</w:t>
      </w:r>
    </w:p>
    <w:p>
      <w:r>
        <w:t>Gradient Boosting trains a sequential ensemble of shallow decision trees where each subsequent tree minimizes the pseudo-residuals (negative gradient of the loss function) of the prior ensemble. Using a shrinkage learning rate (eta = 0.1) and deviance loss, Gradient Boosting constructs sharp, highly non-linear decision boundaries between crops with overlapping environmental tolerances (such as Mungbean and Blackgram).</w:t>
        <w:br/>
        <w:t>• Objective: Minimize L(y, F(x)) via gradient descent in function space.</w:t>
      </w:r>
    </w:p>
    <w:p>
      <w:pPr>
        <w:pStyle w:val="Heading2"/>
        <w:spacing w:before="280" w:after="120"/>
      </w:pPr>
      <w:r>
        <w:rPr>
          <w:rFonts w:ascii="Arial" w:hAnsi="Arial"/>
          <w:b/>
          <w:color w:val="2E7D32"/>
          <w:sz w:val="28"/>
        </w:rPr>
        <w:t>4.3 Decision Tree Classifier (~97.0% Accuracy)</w:t>
      </w:r>
    </w:p>
    <w:p>
      <w:r>
        <w:rPr>
          <w:b/>
          <w:color w:val="2E7D32"/>
        </w:rPr>
        <w:t xml:space="preserve">Model Paradigm: </w:t>
      </w:r>
      <w:r>
        <w:t>Recursive Partitioning (CART Algorithm)</w:t>
      </w:r>
    </w:p>
    <w:p>
      <w:r>
        <w:t>Constructs a single hierarchical decision tree using recursive binary splitting. At each node, the feature and split point that maximizes Information Gain (Reduction in Gini Impurity or Shannon Entropy) are chosen. While highly interpretable as direct agronomic decision rules (e.g. 'If Rainfall &gt; 200mm and Temp &gt; 22°C -&gt; Rice'), individual trees are susceptible to variance on borderline climate inputs.</w:t>
      </w:r>
    </w:p>
    <w:p>
      <w:pPr>
        <w:pStyle w:val="Heading2"/>
        <w:spacing w:before="280" w:after="120"/>
      </w:pPr>
      <w:r>
        <w:rPr>
          <w:rFonts w:ascii="Arial" w:hAnsi="Arial"/>
          <w:b/>
          <w:color w:val="2E7D32"/>
          <w:sz w:val="28"/>
        </w:rPr>
        <w:t>4.4 K-Nearest Neighbors / KNN (~97.5% Accuracy)</w:t>
      </w:r>
    </w:p>
    <w:p>
      <w:r>
        <w:rPr>
          <w:b/>
          <w:color w:val="2E7D32"/>
        </w:rPr>
        <w:t xml:space="preserve">Model Paradigm: </w:t>
      </w:r>
      <w:r>
        <w:t>Instance-Based Non-Parametric Classifier</w:t>
      </w:r>
    </w:p>
    <w:p>
      <w:r>
        <w:t>KNN classifies an input soil-climate vector by calculating the Minkowski / Euclidean distance to all training vectors in the 7-dimensional normalized feature space: d(x, y) = sqrt(sum((x_i - y_i)^2)). The algorithm selects the k=5 nearest neighbors and assigns the majority class label with inverse distance weighting. KNN excels at localized soil clustering.</w:t>
      </w:r>
    </w:p>
    <w:p>
      <w:pPr>
        <w:pStyle w:val="Heading2"/>
        <w:spacing w:before="280" w:after="120"/>
      </w:pPr>
      <w:r>
        <w:rPr>
          <w:rFonts w:ascii="Arial" w:hAnsi="Arial"/>
          <w:b/>
          <w:color w:val="2E7D32"/>
          <w:sz w:val="28"/>
        </w:rPr>
        <w:t>4.5 Gaussian Naive Bayes (~99.1% Accuracy)</w:t>
      </w:r>
    </w:p>
    <w:p>
      <w:r>
        <w:rPr>
          <w:b/>
          <w:color w:val="2E7D32"/>
        </w:rPr>
        <w:t xml:space="preserve">Model Paradigm: </w:t>
      </w:r>
      <w:r>
        <w:t>Probabilistic Maximum A Posteriori (MAP) Classifier</w:t>
      </w:r>
    </w:p>
    <w:p>
      <w:r>
        <w:t>Applies Bayes' Theorem assuming conditional independence between features given the crop class: P(y|X) = P(y) * prod(P(x_i|y)) / P(X). Continuous features (N, P, K, pH, rainfall) are modeled using Gaussian normal probability density functions: P(x_i|y) = (1 / sqrt(2*pi*sigma^2)) * exp(-(x_i - mu)^2 / (2*sigma^2)). Highly robust and computationally efficient.</w:t>
      </w:r>
    </w:p>
    <w:p>
      <w:pPr>
        <w:pStyle w:val="Heading2"/>
        <w:spacing w:before="280" w:after="120"/>
      </w:pPr>
      <w:r>
        <w:rPr>
          <w:rFonts w:ascii="Arial" w:hAnsi="Arial"/>
          <w:b/>
          <w:color w:val="2E7D32"/>
          <w:sz w:val="28"/>
        </w:rPr>
        <w:t>4.6 Multinomial Logistic Regression (~96.5% Accuracy)</w:t>
      </w:r>
    </w:p>
    <w:p>
      <w:r>
        <w:rPr>
          <w:b/>
          <w:color w:val="2E7D32"/>
        </w:rPr>
        <w:t xml:space="preserve">Model Paradigm: </w:t>
      </w:r>
      <w:r>
        <w:t>Linear Generalized Maximum Entropy Model</w:t>
      </w:r>
    </w:p>
    <w:p>
      <w:r>
        <w:t>Models the multi-class probability distribution using the Softmax activation function: P(y=k|X) = exp(w_k^T X + b_k) / sum_j(exp(w_j^T X + b_j)). Trained using L2-regularized Cross-Entropy Log-Loss with L-BFGS optimization across 2,500 iterations. Serves as the primary linear baseline model.</w:t>
      </w:r>
    </w:p>
    <w:p>
      <w:pPr>
        <w:pStyle w:val="Heading3"/>
        <w:spacing w:before="200" w:after="80"/>
      </w:pPr>
      <w:r>
        <w:rPr>
          <w:rFonts w:ascii="Arial" w:hAnsi="Arial"/>
          <w:b/>
          <w:color w:val="00897B"/>
          <w:sz w:val="24"/>
        </w:rPr>
        <w:t>Algorithm Performance Benchmark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2E7D32"/>
            <w:tcMar>
              <w:top w:w="120" w:type="dxa"/>
              <w:bottom w:w="120" w:type="dxa"/>
              <w:left w:w="180" w:type="dxa"/>
              <w:right w:w="180" w:type="dxa"/>
            </w:tcMar>
          </w:tcPr>
          <w:p>
            <w:r>
              <w:rPr>
                <w:rFonts w:ascii="Arial" w:hAnsi="Arial"/>
                <w:b/>
                <w:color w:val="FFFFFF"/>
                <w:sz w:val="19"/>
              </w:rPr>
              <w:t>Algorithm Name</w:t>
            </w:r>
          </w:p>
        </w:tc>
        <w:tc>
          <w:tcPr>
            <w:tcW w:type="dxa" w:w="2340"/>
            <w:shd w:fill="2E7D32"/>
            <w:tcMar>
              <w:top w:w="120" w:type="dxa"/>
              <w:bottom w:w="120" w:type="dxa"/>
              <w:left w:w="180" w:type="dxa"/>
              <w:right w:w="180" w:type="dxa"/>
            </w:tcMar>
          </w:tcPr>
          <w:p>
            <w:r>
              <w:rPr>
                <w:rFonts w:ascii="Arial" w:hAnsi="Arial"/>
                <w:b/>
                <w:color w:val="FFFFFF"/>
                <w:sz w:val="19"/>
              </w:rPr>
              <w:t>Model Type</w:t>
            </w:r>
          </w:p>
        </w:tc>
        <w:tc>
          <w:tcPr>
            <w:tcW w:type="dxa" w:w="2340"/>
            <w:shd w:fill="2E7D32"/>
            <w:tcMar>
              <w:top w:w="120" w:type="dxa"/>
              <w:bottom w:w="120" w:type="dxa"/>
              <w:left w:w="180" w:type="dxa"/>
              <w:right w:w="180" w:type="dxa"/>
            </w:tcMar>
          </w:tcPr>
          <w:p>
            <w:r>
              <w:rPr>
                <w:rFonts w:ascii="Arial" w:hAnsi="Arial"/>
                <w:b/>
                <w:color w:val="FFFFFF"/>
                <w:sz w:val="19"/>
              </w:rPr>
              <w:t>Test Accuracy</w:t>
            </w:r>
          </w:p>
        </w:tc>
        <w:tc>
          <w:tcPr>
            <w:tcW w:type="dxa" w:w="2340"/>
            <w:shd w:fill="2E7D32"/>
            <w:tcMar>
              <w:top w:w="120" w:type="dxa"/>
              <w:bottom w:w="120" w:type="dxa"/>
              <w:left w:w="180" w:type="dxa"/>
              <w:right w:w="180" w:type="dxa"/>
            </w:tcMar>
          </w:tcPr>
          <w:p>
            <w:r>
              <w:rPr>
                <w:rFonts w:ascii="Arial" w:hAnsi="Arial"/>
                <w:b/>
                <w:color w:val="FFFFFF"/>
                <w:sz w:val="19"/>
              </w:rPr>
              <w:t>Agronomic Strength</w:t>
            </w:r>
          </w:p>
        </w:tc>
      </w:tr>
      <w:tr>
        <w:tc>
          <w:tcPr>
            <w:tcW w:type="dxa" w:w="2340"/>
            <w:shd w:fill="F4FBF7"/>
            <w:tcMar>
              <w:top w:w="80" w:type="dxa"/>
              <w:bottom w:w="80" w:type="dxa"/>
              <w:left w:w="180" w:type="dxa"/>
              <w:right w:w="180" w:type="dxa"/>
            </w:tcMar>
          </w:tcPr>
          <w:p>
            <w:r>
              <w:rPr>
                <w:rFonts w:ascii="Calibri" w:hAnsi="Calibri"/>
                <w:b/>
                <w:color w:val="1B5E20"/>
                <w:sz w:val="18"/>
              </w:rPr>
              <w:t>Random Forest Classifier</w:t>
            </w:r>
          </w:p>
        </w:tc>
        <w:tc>
          <w:tcPr>
            <w:tcW w:type="dxa" w:w="2340"/>
            <w:shd w:fill="F4FBF7"/>
            <w:tcMar>
              <w:top w:w="80" w:type="dxa"/>
              <w:bottom w:w="80" w:type="dxa"/>
              <w:left w:w="180" w:type="dxa"/>
              <w:right w:w="180" w:type="dxa"/>
            </w:tcMar>
          </w:tcPr>
          <w:p>
            <w:r>
              <w:rPr>
                <w:rFonts w:ascii="Calibri" w:hAnsi="Calibri"/>
                <w:sz w:val="18"/>
              </w:rPr>
              <w:t>Ensemble Bagging</w:t>
            </w:r>
          </w:p>
        </w:tc>
        <w:tc>
          <w:tcPr>
            <w:tcW w:type="dxa" w:w="2340"/>
            <w:shd w:fill="F4FBF7"/>
            <w:tcMar>
              <w:top w:w="80" w:type="dxa"/>
              <w:bottom w:w="80" w:type="dxa"/>
              <w:left w:w="180" w:type="dxa"/>
              <w:right w:w="180" w:type="dxa"/>
            </w:tcMar>
          </w:tcPr>
          <w:p>
            <w:r>
              <w:rPr>
                <w:rFonts w:ascii="Calibri" w:hAnsi="Calibri"/>
                <w:b/>
                <w:color w:val="2E7D32"/>
                <w:sz w:val="18"/>
              </w:rPr>
              <w:t>99.55%</w:t>
            </w:r>
          </w:p>
        </w:tc>
        <w:tc>
          <w:tcPr>
            <w:tcW w:type="dxa" w:w="2340"/>
            <w:shd w:fill="F4FBF7"/>
            <w:tcMar>
              <w:top w:w="80" w:type="dxa"/>
              <w:bottom w:w="80" w:type="dxa"/>
              <w:left w:w="180" w:type="dxa"/>
              <w:right w:w="180" w:type="dxa"/>
            </w:tcMar>
          </w:tcPr>
          <w:p>
            <w:r>
              <w:rPr>
                <w:rFonts w:ascii="Calibri" w:hAnsi="Calibri"/>
                <w:sz w:val="18"/>
              </w:rPr>
              <w:t>Highest resilience, zero overfitting, handles non-linear interactions</w:t>
            </w:r>
          </w:p>
        </w:tc>
      </w:tr>
      <w:tr>
        <w:tc>
          <w:tcPr>
            <w:tcW w:type="dxa" w:w="2340"/>
            <w:shd w:fill="FFFFFF"/>
            <w:tcMar>
              <w:top w:w="80" w:type="dxa"/>
              <w:bottom w:w="80" w:type="dxa"/>
              <w:left w:w="180" w:type="dxa"/>
              <w:right w:w="180" w:type="dxa"/>
            </w:tcMar>
          </w:tcPr>
          <w:p>
            <w:r>
              <w:rPr>
                <w:rFonts w:ascii="Calibri" w:hAnsi="Calibri"/>
                <w:b/>
                <w:color w:val="1B5E20"/>
                <w:sz w:val="18"/>
              </w:rPr>
              <w:t>Gaussian Naive Bayes</w:t>
            </w:r>
          </w:p>
        </w:tc>
        <w:tc>
          <w:tcPr>
            <w:tcW w:type="dxa" w:w="2340"/>
            <w:shd w:fill="FFFFFF"/>
            <w:tcMar>
              <w:top w:w="80" w:type="dxa"/>
              <w:bottom w:w="80" w:type="dxa"/>
              <w:left w:w="180" w:type="dxa"/>
              <w:right w:w="180" w:type="dxa"/>
            </w:tcMar>
          </w:tcPr>
          <w:p>
            <w:r>
              <w:rPr>
                <w:rFonts w:ascii="Calibri" w:hAnsi="Calibri"/>
                <w:sz w:val="18"/>
              </w:rPr>
              <w:t>Probabilistic MAP</w:t>
            </w:r>
          </w:p>
        </w:tc>
        <w:tc>
          <w:tcPr>
            <w:tcW w:type="dxa" w:w="2340"/>
            <w:shd w:fill="FFFFFF"/>
            <w:tcMar>
              <w:top w:w="80" w:type="dxa"/>
              <w:bottom w:w="80" w:type="dxa"/>
              <w:left w:w="180" w:type="dxa"/>
              <w:right w:w="180" w:type="dxa"/>
            </w:tcMar>
          </w:tcPr>
          <w:p>
            <w:r>
              <w:rPr>
                <w:rFonts w:ascii="Calibri" w:hAnsi="Calibri"/>
                <w:b/>
                <w:color w:val="2E7D32"/>
                <w:sz w:val="18"/>
              </w:rPr>
              <w:t>99.09%</w:t>
            </w:r>
          </w:p>
        </w:tc>
        <w:tc>
          <w:tcPr>
            <w:tcW w:type="dxa" w:w="2340"/>
            <w:shd w:fill="FFFFFF"/>
            <w:tcMar>
              <w:top w:w="80" w:type="dxa"/>
              <w:bottom w:w="80" w:type="dxa"/>
              <w:left w:w="180" w:type="dxa"/>
              <w:right w:w="180" w:type="dxa"/>
            </w:tcMar>
          </w:tcPr>
          <w:p>
            <w:r>
              <w:rPr>
                <w:rFonts w:ascii="Calibri" w:hAnsi="Calibri"/>
                <w:sz w:val="18"/>
              </w:rPr>
              <w:t>Fastest inference, excellent bell-curve environmental mapping</w:t>
            </w:r>
          </w:p>
        </w:tc>
      </w:tr>
      <w:tr>
        <w:tc>
          <w:tcPr>
            <w:tcW w:type="dxa" w:w="2340"/>
            <w:shd w:fill="F4FBF7"/>
            <w:tcMar>
              <w:top w:w="80" w:type="dxa"/>
              <w:bottom w:w="80" w:type="dxa"/>
              <w:left w:w="180" w:type="dxa"/>
              <w:right w:w="180" w:type="dxa"/>
            </w:tcMar>
          </w:tcPr>
          <w:p>
            <w:r>
              <w:rPr>
                <w:rFonts w:ascii="Calibri" w:hAnsi="Calibri"/>
                <w:b/>
                <w:color w:val="1B5E20"/>
                <w:sz w:val="18"/>
              </w:rPr>
              <w:t>Gradient Boosting Classifier</w:t>
            </w:r>
          </w:p>
        </w:tc>
        <w:tc>
          <w:tcPr>
            <w:tcW w:type="dxa" w:w="2340"/>
            <w:shd w:fill="F4FBF7"/>
            <w:tcMar>
              <w:top w:w="80" w:type="dxa"/>
              <w:bottom w:w="80" w:type="dxa"/>
              <w:left w:w="180" w:type="dxa"/>
              <w:right w:w="180" w:type="dxa"/>
            </w:tcMar>
          </w:tcPr>
          <w:p>
            <w:r>
              <w:rPr>
                <w:rFonts w:ascii="Calibri" w:hAnsi="Calibri"/>
                <w:sz w:val="18"/>
              </w:rPr>
              <w:t>Ensemble Boosting</w:t>
            </w:r>
          </w:p>
        </w:tc>
        <w:tc>
          <w:tcPr>
            <w:tcW w:type="dxa" w:w="2340"/>
            <w:shd w:fill="F4FBF7"/>
            <w:tcMar>
              <w:top w:w="80" w:type="dxa"/>
              <w:bottom w:w="80" w:type="dxa"/>
              <w:left w:w="180" w:type="dxa"/>
              <w:right w:w="180" w:type="dxa"/>
            </w:tcMar>
          </w:tcPr>
          <w:p>
            <w:r>
              <w:rPr>
                <w:rFonts w:ascii="Calibri" w:hAnsi="Calibri"/>
                <w:b/>
                <w:color w:val="2E7D32"/>
                <w:sz w:val="18"/>
              </w:rPr>
              <w:t>98.86%</w:t>
            </w:r>
          </w:p>
        </w:tc>
        <w:tc>
          <w:tcPr>
            <w:tcW w:type="dxa" w:w="2340"/>
            <w:shd w:fill="F4FBF7"/>
            <w:tcMar>
              <w:top w:w="80" w:type="dxa"/>
              <w:bottom w:w="80" w:type="dxa"/>
              <w:left w:w="180" w:type="dxa"/>
              <w:right w:w="180" w:type="dxa"/>
            </w:tcMar>
          </w:tcPr>
          <w:p>
            <w:r>
              <w:rPr>
                <w:rFonts w:ascii="Calibri" w:hAnsi="Calibri"/>
                <w:sz w:val="18"/>
              </w:rPr>
              <w:t>Superb precision on tight boundary classes (Mungbean vs Blackgram)</w:t>
            </w:r>
          </w:p>
        </w:tc>
      </w:tr>
      <w:tr>
        <w:tc>
          <w:tcPr>
            <w:tcW w:type="dxa" w:w="2340"/>
            <w:shd w:fill="FFFFFF"/>
            <w:tcMar>
              <w:top w:w="80" w:type="dxa"/>
              <w:bottom w:w="80" w:type="dxa"/>
              <w:left w:w="180" w:type="dxa"/>
              <w:right w:w="180" w:type="dxa"/>
            </w:tcMar>
          </w:tcPr>
          <w:p>
            <w:r>
              <w:rPr>
                <w:rFonts w:ascii="Calibri" w:hAnsi="Calibri"/>
                <w:b/>
                <w:color w:val="1B5E20"/>
                <w:sz w:val="18"/>
              </w:rPr>
              <w:t>K-Nearest Neighbors (KNN)</w:t>
            </w:r>
          </w:p>
        </w:tc>
        <w:tc>
          <w:tcPr>
            <w:tcW w:type="dxa" w:w="2340"/>
            <w:shd w:fill="FFFFFF"/>
            <w:tcMar>
              <w:top w:w="80" w:type="dxa"/>
              <w:bottom w:w="80" w:type="dxa"/>
              <w:left w:w="180" w:type="dxa"/>
              <w:right w:w="180" w:type="dxa"/>
            </w:tcMar>
          </w:tcPr>
          <w:p>
            <w:r>
              <w:rPr>
                <w:rFonts w:ascii="Calibri" w:hAnsi="Calibri"/>
                <w:sz w:val="18"/>
              </w:rPr>
              <w:t>Instance-based</w:t>
            </w:r>
          </w:p>
        </w:tc>
        <w:tc>
          <w:tcPr>
            <w:tcW w:type="dxa" w:w="2340"/>
            <w:shd w:fill="FFFFFF"/>
            <w:tcMar>
              <w:top w:w="80" w:type="dxa"/>
              <w:bottom w:w="80" w:type="dxa"/>
              <w:left w:w="180" w:type="dxa"/>
              <w:right w:w="180" w:type="dxa"/>
            </w:tcMar>
          </w:tcPr>
          <w:p>
            <w:r>
              <w:rPr>
                <w:rFonts w:ascii="Calibri" w:hAnsi="Calibri"/>
                <w:b/>
                <w:color w:val="2E7D32"/>
                <w:sz w:val="18"/>
              </w:rPr>
              <w:t>97.50%</w:t>
            </w:r>
          </w:p>
        </w:tc>
        <w:tc>
          <w:tcPr>
            <w:tcW w:type="dxa" w:w="2340"/>
            <w:shd w:fill="FFFFFF"/>
            <w:tcMar>
              <w:top w:w="80" w:type="dxa"/>
              <w:bottom w:w="80" w:type="dxa"/>
              <w:left w:w="180" w:type="dxa"/>
              <w:right w:w="180" w:type="dxa"/>
            </w:tcMar>
          </w:tcPr>
          <w:p>
            <w:r>
              <w:rPr>
                <w:rFonts w:ascii="Calibri" w:hAnsi="Calibri"/>
                <w:sz w:val="18"/>
              </w:rPr>
              <w:t>Clustering based on soil similarity vectors</w:t>
            </w:r>
          </w:p>
        </w:tc>
      </w:tr>
      <w:tr>
        <w:tc>
          <w:tcPr>
            <w:tcW w:type="dxa" w:w="2340"/>
            <w:shd w:fill="F4FBF7"/>
            <w:tcMar>
              <w:top w:w="80" w:type="dxa"/>
              <w:bottom w:w="80" w:type="dxa"/>
              <w:left w:w="180" w:type="dxa"/>
              <w:right w:w="180" w:type="dxa"/>
            </w:tcMar>
          </w:tcPr>
          <w:p>
            <w:r>
              <w:rPr>
                <w:rFonts w:ascii="Calibri" w:hAnsi="Calibri"/>
                <w:b/>
                <w:color w:val="1B5E20"/>
                <w:sz w:val="18"/>
              </w:rPr>
              <w:t>Decision Tree Classifier</w:t>
            </w:r>
          </w:p>
        </w:tc>
        <w:tc>
          <w:tcPr>
            <w:tcW w:type="dxa" w:w="2340"/>
            <w:shd w:fill="F4FBF7"/>
            <w:tcMar>
              <w:top w:w="80" w:type="dxa"/>
              <w:bottom w:w="80" w:type="dxa"/>
              <w:left w:w="180" w:type="dxa"/>
              <w:right w:w="180" w:type="dxa"/>
            </w:tcMar>
          </w:tcPr>
          <w:p>
            <w:r>
              <w:rPr>
                <w:rFonts w:ascii="Calibri" w:hAnsi="Calibri"/>
                <w:sz w:val="18"/>
              </w:rPr>
              <w:t>Tree / CART</w:t>
            </w:r>
          </w:p>
        </w:tc>
        <w:tc>
          <w:tcPr>
            <w:tcW w:type="dxa" w:w="2340"/>
            <w:shd w:fill="F4FBF7"/>
            <w:tcMar>
              <w:top w:w="80" w:type="dxa"/>
              <w:bottom w:w="80" w:type="dxa"/>
              <w:left w:w="180" w:type="dxa"/>
              <w:right w:w="180" w:type="dxa"/>
            </w:tcMar>
          </w:tcPr>
          <w:p>
            <w:r>
              <w:rPr>
                <w:rFonts w:ascii="Calibri" w:hAnsi="Calibri"/>
                <w:b/>
                <w:color w:val="2E7D32"/>
                <w:sz w:val="18"/>
              </w:rPr>
              <w:t>97.05%</w:t>
            </w:r>
          </w:p>
        </w:tc>
        <w:tc>
          <w:tcPr>
            <w:tcW w:type="dxa" w:w="2340"/>
            <w:shd w:fill="F4FBF7"/>
            <w:tcMar>
              <w:top w:w="80" w:type="dxa"/>
              <w:bottom w:w="80" w:type="dxa"/>
              <w:left w:w="180" w:type="dxa"/>
              <w:right w:w="180" w:type="dxa"/>
            </w:tcMar>
          </w:tcPr>
          <w:p>
            <w:r>
              <w:rPr>
                <w:rFonts w:ascii="Calibri" w:hAnsi="Calibri"/>
                <w:sz w:val="18"/>
              </w:rPr>
              <w:t>High explainability and direct rule extraction</w:t>
            </w:r>
          </w:p>
        </w:tc>
      </w:tr>
      <w:tr>
        <w:tc>
          <w:tcPr>
            <w:tcW w:type="dxa" w:w="2340"/>
            <w:shd w:fill="FFFFFF"/>
            <w:tcMar>
              <w:top w:w="80" w:type="dxa"/>
              <w:bottom w:w="80" w:type="dxa"/>
              <w:left w:w="180" w:type="dxa"/>
              <w:right w:w="180" w:type="dxa"/>
            </w:tcMar>
          </w:tcPr>
          <w:p>
            <w:r>
              <w:rPr>
                <w:rFonts w:ascii="Calibri" w:hAnsi="Calibri"/>
                <w:b/>
                <w:color w:val="1B5E20"/>
                <w:sz w:val="18"/>
              </w:rPr>
              <w:t>Multinomial Logistic Regression</w:t>
            </w:r>
          </w:p>
        </w:tc>
        <w:tc>
          <w:tcPr>
            <w:tcW w:type="dxa" w:w="2340"/>
            <w:shd w:fill="FFFFFF"/>
            <w:tcMar>
              <w:top w:w="80" w:type="dxa"/>
              <w:bottom w:w="80" w:type="dxa"/>
              <w:left w:w="180" w:type="dxa"/>
              <w:right w:w="180" w:type="dxa"/>
            </w:tcMar>
          </w:tcPr>
          <w:p>
            <w:r>
              <w:rPr>
                <w:rFonts w:ascii="Calibri" w:hAnsi="Calibri"/>
                <w:sz w:val="18"/>
              </w:rPr>
              <w:t>Linear Softmax</w:t>
            </w:r>
          </w:p>
        </w:tc>
        <w:tc>
          <w:tcPr>
            <w:tcW w:type="dxa" w:w="2340"/>
            <w:shd w:fill="FFFFFF"/>
            <w:tcMar>
              <w:top w:w="80" w:type="dxa"/>
              <w:bottom w:w="80" w:type="dxa"/>
              <w:left w:w="180" w:type="dxa"/>
              <w:right w:w="180" w:type="dxa"/>
            </w:tcMar>
          </w:tcPr>
          <w:p>
            <w:r>
              <w:rPr>
                <w:rFonts w:ascii="Calibri" w:hAnsi="Calibri"/>
                <w:b/>
                <w:color w:val="2E7D32"/>
                <w:sz w:val="18"/>
              </w:rPr>
              <w:t>96.59%</w:t>
            </w:r>
          </w:p>
        </w:tc>
        <w:tc>
          <w:tcPr>
            <w:tcW w:type="dxa" w:w="2340"/>
            <w:shd w:fill="FFFFFF"/>
            <w:tcMar>
              <w:top w:w="80" w:type="dxa"/>
              <w:bottom w:w="80" w:type="dxa"/>
              <w:left w:w="180" w:type="dxa"/>
              <w:right w:w="180" w:type="dxa"/>
            </w:tcMar>
          </w:tcPr>
          <w:p>
            <w:r>
              <w:rPr>
                <w:rFonts w:ascii="Calibri" w:hAnsi="Calibri"/>
                <w:sz w:val="18"/>
              </w:rPr>
              <w:t>Reliable linear probability baseline benchmark</w:t>
            </w:r>
          </w:p>
        </w:tc>
      </w:tr>
    </w:tbl>
    <w:p>
      <w:pPr>
        <w:spacing w:after="160"/>
      </w:pPr>
    </w:p>
    <w:p>
      <w:pPr>
        <w:pStyle w:val="Heading1"/>
        <w:pBdr>
          <w:bottom w:val="single" w:sz="18" w:space="4" w:color="2E7D32"/>
        </w:pBdr>
        <w:spacing w:before="400" w:after="160"/>
      </w:pPr>
      <w:r>
        <w:rPr>
          <w:rFonts w:ascii="Arial" w:hAnsi="Arial"/>
          <w:b/>
          <w:color w:val="1B5E20"/>
          <w:sz w:val="36"/>
        </w:rPr>
        <w:t>5. Dataset Exploration &amp; Feature Analysis (Crop_Recommendation.csv)</w:t>
      </w:r>
    </w:p>
    <w:p>
      <w:r>
        <w:t>The project utilizes the verified 2,200-instance agricultural dataset (Crop_Recommendation.csv) encompassing 22 target crop species with 100 balanced samples per class. The feature space is defined as follows:</w:t>
      </w:r>
    </w:p>
    <w:tbl>
      <w:tblPr>
        <w:tblW w:type="auto" w:w="0"/>
        <w:jc w:val="center"/>
        <w:tblLook w:firstColumn="1" w:firstRow="1" w:lastColumn="0" w:lastRow="0" w:noHBand="0" w:noVBand="1" w:val="04A0"/>
      </w:tblPr>
      <w:tblGrid>
        <w:gridCol w:w="2340"/>
        <w:gridCol w:w="2340"/>
        <w:gridCol w:w="2340"/>
        <w:gridCol w:w="2340"/>
      </w:tblGrid>
      <w:tr>
        <w:tc>
          <w:tcPr>
            <w:tcW w:type="dxa" w:w="2340"/>
            <w:shd w:fill="1B5E20"/>
            <w:tcMar>
              <w:top w:w="120" w:type="dxa"/>
              <w:bottom w:w="120" w:type="dxa"/>
              <w:left w:w="180" w:type="dxa"/>
              <w:right w:w="180" w:type="dxa"/>
            </w:tcMar>
          </w:tcPr>
          <w:p>
            <w:r>
              <w:rPr>
                <w:b/>
                <w:color w:val="FFFFFF"/>
                <w:sz w:val="19"/>
              </w:rPr>
              <w:t>Feature</w:t>
            </w:r>
          </w:p>
        </w:tc>
        <w:tc>
          <w:tcPr>
            <w:tcW w:type="dxa" w:w="2340"/>
            <w:shd w:fill="1B5E20"/>
            <w:tcMar>
              <w:top w:w="120" w:type="dxa"/>
              <w:bottom w:w="120" w:type="dxa"/>
              <w:left w:w="180" w:type="dxa"/>
              <w:right w:w="180" w:type="dxa"/>
            </w:tcMar>
          </w:tcPr>
          <w:p>
            <w:r>
              <w:rPr>
                <w:b/>
                <w:color w:val="FFFFFF"/>
                <w:sz w:val="19"/>
              </w:rPr>
              <w:t>Unit / Metric</w:t>
            </w:r>
          </w:p>
        </w:tc>
        <w:tc>
          <w:tcPr>
            <w:tcW w:type="dxa" w:w="2340"/>
            <w:shd w:fill="1B5E20"/>
            <w:tcMar>
              <w:top w:w="120" w:type="dxa"/>
              <w:bottom w:w="120" w:type="dxa"/>
              <w:left w:w="180" w:type="dxa"/>
              <w:right w:w="180" w:type="dxa"/>
            </w:tcMar>
          </w:tcPr>
          <w:p>
            <w:r>
              <w:rPr>
                <w:b/>
                <w:color w:val="FFFFFF"/>
                <w:sz w:val="19"/>
              </w:rPr>
              <w:t>Dataset Range</w:t>
            </w:r>
          </w:p>
        </w:tc>
        <w:tc>
          <w:tcPr>
            <w:tcW w:type="dxa" w:w="2340"/>
            <w:shd w:fill="1B5E20"/>
            <w:tcMar>
              <w:top w:w="120" w:type="dxa"/>
              <w:bottom w:w="120" w:type="dxa"/>
              <w:left w:w="180" w:type="dxa"/>
              <w:right w:w="180" w:type="dxa"/>
            </w:tcMar>
          </w:tcPr>
          <w:p>
            <w:r>
              <w:rPr>
                <w:b/>
                <w:color w:val="FFFFFF"/>
                <w:sz w:val="19"/>
              </w:rPr>
              <w:t>Agronomic Role</w:t>
            </w:r>
          </w:p>
        </w:tc>
      </w:tr>
      <w:tr>
        <w:tc>
          <w:tcPr>
            <w:tcW w:type="dxa" w:w="2340"/>
            <w:shd w:fill="F4FBF7"/>
            <w:tcMar>
              <w:top w:w="80" w:type="dxa"/>
              <w:bottom w:w="80" w:type="dxa"/>
              <w:left w:w="180" w:type="dxa"/>
              <w:right w:w="180" w:type="dxa"/>
            </w:tcMar>
          </w:tcPr>
          <w:p>
            <w:r>
              <w:rPr>
                <w:rFonts w:ascii="Calibri" w:hAnsi="Calibri"/>
                <w:b/>
                <w:color w:val="1B5E20"/>
                <w:sz w:val="18"/>
              </w:rPr>
              <w:t>N (Nitrogen)</w:t>
            </w:r>
          </w:p>
        </w:tc>
        <w:tc>
          <w:tcPr>
            <w:tcW w:type="dxa" w:w="2340"/>
            <w:shd w:fill="F4FBF7"/>
            <w:tcMar>
              <w:top w:w="80" w:type="dxa"/>
              <w:bottom w:w="80" w:type="dxa"/>
              <w:left w:w="180" w:type="dxa"/>
              <w:right w:w="180" w:type="dxa"/>
            </w:tcMar>
          </w:tcPr>
          <w:p>
            <w:r>
              <w:rPr>
                <w:rFonts w:ascii="Calibri" w:hAnsi="Calibri"/>
                <w:sz w:val="18"/>
              </w:rPr>
              <w:t>mg/kg (Ratio)</w:t>
            </w:r>
          </w:p>
        </w:tc>
        <w:tc>
          <w:tcPr>
            <w:tcW w:type="dxa" w:w="2340"/>
            <w:shd w:fill="F4FBF7"/>
            <w:tcMar>
              <w:top w:w="80" w:type="dxa"/>
              <w:bottom w:w="80" w:type="dxa"/>
              <w:left w:w="180" w:type="dxa"/>
              <w:right w:w="180" w:type="dxa"/>
            </w:tcMar>
          </w:tcPr>
          <w:p>
            <w:r>
              <w:rPr>
                <w:rFonts w:ascii="Calibri" w:hAnsi="Calibri"/>
                <w:sz w:val="18"/>
              </w:rPr>
              <w:t>0 to 140</w:t>
            </w:r>
          </w:p>
        </w:tc>
        <w:tc>
          <w:tcPr>
            <w:tcW w:type="dxa" w:w="2340"/>
            <w:shd w:fill="F4FBF7"/>
            <w:tcMar>
              <w:top w:w="80" w:type="dxa"/>
              <w:bottom w:w="80" w:type="dxa"/>
              <w:left w:w="180" w:type="dxa"/>
              <w:right w:w="180" w:type="dxa"/>
            </w:tcMar>
          </w:tcPr>
          <w:p>
            <w:r>
              <w:rPr>
                <w:rFonts w:ascii="Calibri" w:hAnsi="Calibri"/>
                <w:sz w:val="18"/>
              </w:rPr>
              <w:t>Vegetative vigor, leaf chlorophyll synthesis, canopy development</w:t>
            </w:r>
          </w:p>
        </w:tc>
      </w:tr>
      <w:tr>
        <w:tc>
          <w:tcPr>
            <w:tcW w:type="dxa" w:w="2340"/>
            <w:shd w:fill="FFFFFF"/>
            <w:tcMar>
              <w:top w:w="80" w:type="dxa"/>
              <w:bottom w:w="80" w:type="dxa"/>
              <w:left w:w="180" w:type="dxa"/>
              <w:right w:w="180" w:type="dxa"/>
            </w:tcMar>
          </w:tcPr>
          <w:p>
            <w:r>
              <w:rPr>
                <w:rFonts w:ascii="Calibri" w:hAnsi="Calibri"/>
                <w:b/>
                <w:color w:val="1B5E20"/>
                <w:sz w:val="18"/>
              </w:rPr>
              <w:t>P (Phosphorus)</w:t>
            </w:r>
          </w:p>
        </w:tc>
        <w:tc>
          <w:tcPr>
            <w:tcW w:type="dxa" w:w="2340"/>
            <w:shd w:fill="FFFFFF"/>
            <w:tcMar>
              <w:top w:w="80" w:type="dxa"/>
              <w:bottom w:w="80" w:type="dxa"/>
              <w:left w:w="180" w:type="dxa"/>
              <w:right w:w="180" w:type="dxa"/>
            </w:tcMar>
          </w:tcPr>
          <w:p>
            <w:r>
              <w:rPr>
                <w:rFonts w:ascii="Calibri" w:hAnsi="Calibri"/>
                <w:sz w:val="18"/>
              </w:rPr>
              <w:t>mg/kg (Ratio)</w:t>
            </w:r>
          </w:p>
        </w:tc>
        <w:tc>
          <w:tcPr>
            <w:tcW w:type="dxa" w:w="2340"/>
            <w:shd w:fill="FFFFFF"/>
            <w:tcMar>
              <w:top w:w="80" w:type="dxa"/>
              <w:bottom w:w="80" w:type="dxa"/>
              <w:left w:w="180" w:type="dxa"/>
              <w:right w:w="180" w:type="dxa"/>
            </w:tcMar>
          </w:tcPr>
          <w:p>
            <w:r>
              <w:rPr>
                <w:rFonts w:ascii="Calibri" w:hAnsi="Calibri"/>
                <w:sz w:val="18"/>
              </w:rPr>
              <w:t>5 to 145</w:t>
            </w:r>
          </w:p>
        </w:tc>
        <w:tc>
          <w:tcPr>
            <w:tcW w:type="dxa" w:w="2340"/>
            <w:shd w:fill="FFFFFF"/>
            <w:tcMar>
              <w:top w:w="80" w:type="dxa"/>
              <w:bottom w:w="80" w:type="dxa"/>
              <w:left w:w="180" w:type="dxa"/>
              <w:right w:w="180" w:type="dxa"/>
            </w:tcMar>
          </w:tcPr>
          <w:p>
            <w:r>
              <w:rPr>
                <w:rFonts w:ascii="Calibri" w:hAnsi="Calibri"/>
                <w:sz w:val="18"/>
              </w:rPr>
              <w:t>Root establishment, ATP energy transfer, flowering, seed setting</w:t>
            </w:r>
          </w:p>
        </w:tc>
      </w:tr>
      <w:tr>
        <w:tc>
          <w:tcPr>
            <w:tcW w:type="dxa" w:w="2340"/>
            <w:shd w:fill="F4FBF7"/>
            <w:tcMar>
              <w:top w:w="80" w:type="dxa"/>
              <w:bottom w:w="80" w:type="dxa"/>
              <w:left w:w="180" w:type="dxa"/>
              <w:right w:w="180" w:type="dxa"/>
            </w:tcMar>
          </w:tcPr>
          <w:p>
            <w:r>
              <w:rPr>
                <w:rFonts w:ascii="Calibri" w:hAnsi="Calibri"/>
                <w:b/>
                <w:color w:val="1B5E20"/>
                <w:sz w:val="18"/>
              </w:rPr>
              <w:t>K (Potassium)</w:t>
            </w:r>
          </w:p>
        </w:tc>
        <w:tc>
          <w:tcPr>
            <w:tcW w:type="dxa" w:w="2340"/>
            <w:shd w:fill="F4FBF7"/>
            <w:tcMar>
              <w:top w:w="80" w:type="dxa"/>
              <w:bottom w:w="80" w:type="dxa"/>
              <w:left w:w="180" w:type="dxa"/>
              <w:right w:w="180" w:type="dxa"/>
            </w:tcMar>
          </w:tcPr>
          <w:p>
            <w:r>
              <w:rPr>
                <w:rFonts w:ascii="Calibri" w:hAnsi="Calibri"/>
                <w:sz w:val="18"/>
              </w:rPr>
              <w:t>mg/kg (Ratio)</w:t>
            </w:r>
          </w:p>
        </w:tc>
        <w:tc>
          <w:tcPr>
            <w:tcW w:type="dxa" w:w="2340"/>
            <w:shd w:fill="F4FBF7"/>
            <w:tcMar>
              <w:top w:w="80" w:type="dxa"/>
              <w:bottom w:w="80" w:type="dxa"/>
              <w:left w:w="180" w:type="dxa"/>
              <w:right w:w="180" w:type="dxa"/>
            </w:tcMar>
          </w:tcPr>
          <w:p>
            <w:r>
              <w:rPr>
                <w:rFonts w:ascii="Calibri" w:hAnsi="Calibri"/>
                <w:sz w:val="18"/>
              </w:rPr>
              <w:t>5 to 205</w:t>
            </w:r>
          </w:p>
        </w:tc>
        <w:tc>
          <w:tcPr>
            <w:tcW w:type="dxa" w:w="2340"/>
            <w:shd w:fill="F4FBF7"/>
            <w:tcMar>
              <w:top w:w="80" w:type="dxa"/>
              <w:bottom w:w="80" w:type="dxa"/>
              <w:left w:w="180" w:type="dxa"/>
              <w:right w:w="180" w:type="dxa"/>
            </w:tcMar>
          </w:tcPr>
          <w:p>
            <w:r>
              <w:rPr>
                <w:rFonts w:ascii="Calibri" w:hAnsi="Calibri"/>
                <w:sz w:val="18"/>
              </w:rPr>
              <w:t>Stomatal regulation, stalk strength, drought/pest resistance, fruit sizing</w:t>
            </w:r>
          </w:p>
        </w:tc>
      </w:tr>
      <w:tr>
        <w:tc>
          <w:tcPr>
            <w:tcW w:type="dxa" w:w="2340"/>
            <w:shd w:fill="FFFFFF"/>
            <w:tcMar>
              <w:top w:w="80" w:type="dxa"/>
              <w:bottom w:w="80" w:type="dxa"/>
              <w:left w:w="180" w:type="dxa"/>
              <w:right w:w="180" w:type="dxa"/>
            </w:tcMar>
          </w:tcPr>
          <w:p>
            <w:r>
              <w:rPr>
                <w:rFonts w:ascii="Calibri" w:hAnsi="Calibri"/>
                <w:b/>
                <w:color w:val="1B5E20"/>
                <w:sz w:val="18"/>
              </w:rPr>
              <w:t>Temperature</w:t>
            </w:r>
          </w:p>
        </w:tc>
        <w:tc>
          <w:tcPr>
            <w:tcW w:type="dxa" w:w="2340"/>
            <w:shd w:fill="FFFFFF"/>
            <w:tcMar>
              <w:top w:w="80" w:type="dxa"/>
              <w:bottom w:w="80" w:type="dxa"/>
              <w:left w:w="180" w:type="dxa"/>
              <w:right w:w="180" w:type="dxa"/>
            </w:tcMar>
          </w:tcPr>
          <w:p>
            <w:r>
              <w:rPr>
                <w:rFonts w:ascii="Calibri" w:hAnsi="Calibri"/>
                <w:sz w:val="18"/>
              </w:rPr>
              <w:t>Degree Celsius (°C)</w:t>
            </w:r>
          </w:p>
        </w:tc>
        <w:tc>
          <w:tcPr>
            <w:tcW w:type="dxa" w:w="2340"/>
            <w:shd w:fill="FFFFFF"/>
            <w:tcMar>
              <w:top w:w="80" w:type="dxa"/>
              <w:bottom w:w="80" w:type="dxa"/>
              <w:left w:w="180" w:type="dxa"/>
              <w:right w:w="180" w:type="dxa"/>
            </w:tcMar>
          </w:tcPr>
          <w:p>
            <w:r>
              <w:rPr>
                <w:rFonts w:ascii="Calibri" w:hAnsi="Calibri"/>
                <w:sz w:val="18"/>
              </w:rPr>
              <w:t>8.8°C to 43.7°C</w:t>
            </w:r>
          </w:p>
        </w:tc>
        <w:tc>
          <w:tcPr>
            <w:tcW w:type="dxa" w:w="2340"/>
            <w:shd w:fill="FFFFFF"/>
            <w:tcMar>
              <w:top w:w="80" w:type="dxa"/>
              <w:bottom w:w="80" w:type="dxa"/>
              <w:left w:w="180" w:type="dxa"/>
              <w:right w:w="180" w:type="dxa"/>
            </w:tcMar>
          </w:tcPr>
          <w:p>
            <w:r>
              <w:rPr>
                <w:rFonts w:ascii="Calibri" w:hAnsi="Calibri"/>
                <w:sz w:val="18"/>
              </w:rPr>
              <w:t>Enzymatic rates, thermal time (Growing Degree Days GDD)</w:t>
            </w:r>
          </w:p>
        </w:tc>
      </w:tr>
      <w:tr>
        <w:tc>
          <w:tcPr>
            <w:tcW w:type="dxa" w:w="2340"/>
            <w:shd w:fill="F4FBF7"/>
            <w:tcMar>
              <w:top w:w="80" w:type="dxa"/>
              <w:bottom w:w="80" w:type="dxa"/>
              <w:left w:w="180" w:type="dxa"/>
              <w:right w:w="180" w:type="dxa"/>
            </w:tcMar>
          </w:tcPr>
          <w:p>
            <w:r>
              <w:rPr>
                <w:rFonts w:ascii="Calibri" w:hAnsi="Calibri"/>
                <w:b/>
                <w:color w:val="1B5E20"/>
                <w:sz w:val="18"/>
              </w:rPr>
              <w:t>Relative Humidity</w:t>
            </w:r>
          </w:p>
        </w:tc>
        <w:tc>
          <w:tcPr>
            <w:tcW w:type="dxa" w:w="2340"/>
            <w:shd w:fill="F4FBF7"/>
            <w:tcMar>
              <w:top w:w="80" w:type="dxa"/>
              <w:bottom w:w="80" w:type="dxa"/>
              <w:left w:w="180" w:type="dxa"/>
              <w:right w:w="180" w:type="dxa"/>
            </w:tcMar>
          </w:tcPr>
          <w:p>
            <w:r>
              <w:rPr>
                <w:rFonts w:ascii="Calibri" w:hAnsi="Calibri"/>
                <w:sz w:val="18"/>
              </w:rPr>
              <w:t>Percentage (%)</w:t>
            </w:r>
          </w:p>
        </w:tc>
        <w:tc>
          <w:tcPr>
            <w:tcW w:type="dxa" w:w="2340"/>
            <w:shd w:fill="F4FBF7"/>
            <w:tcMar>
              <w:top w:w="80" w:type="dxa"/>
              <w:bottom w:w="80" w:type="dxa"/>
              <w:left w:w="180" w:type="dxa"/>
              <w:right w:w="180" w:type="dxa"/>
            </w:tcMar>
          </w:tcPr>
          <w:p>
            <w:r>
              <w:rPr>
                <w:rFonts w:ascii="Calibri" w:hAnsi="Calibri"/>
                <w:sz w:val="18"/>
              </w:rPr>
              <w:t>14.3% to 99.9%</w:t>
            </w:r>
          </w:p>
        </w:tc>
        <w:tc>
          <w:tcPr>
            <w:tcW w:type="dxa" w:w="2340"/>
            <w:shd w:fill="F4FBF7"/>
            <w:tcMar>
              <w:top w:w="80" w:type="dxa"/>
              <w:bottom w:w="80" w:type="dxa"/>
              <w:left w:w="180" w:type="dxa"/>
              <w:right w:w="180" w:type="dxa"/>
            </w:tcMar>
          </w:tcPr>
          <w:p>
            <w:r>
              <w:rPr>
                <w:rFonts w:ascii="Calibri" w:hAnsi="Calibri"/>
                <w:sz w:val="18"/>
              </w:rPr>
              <w:t>Transpiration rate, vapor pressure deficit, fungal risk</w:t>
            </w:r>
          </w:p>
        </w:tc>
      </w:tr>
      <w:tr>
        <w:tc>
          <w:tcPr>
            <w:tcW w:type="dxa" w:w="2340"/>
            <w:shd w:fill="FFFFFF"/>
            <w:tcMar>
              <w:top w:w="80" w:type="dxa"/>
              <w:bottom w:w="80" w:type="dxa"/>
              <w:left w:w="180" w:type="dxa"/>
              <w:right w:w="180" w:type="dxa"/>
            </w:tcMar>
          </w:tcPr>
          <w:p>
            <w:r>
              <w:rPr>
                <w:rFonts w:ascii="Calibri" w:hAnsi="Calibri"/>
                <w:b/>
                <w:color w:val="1B5E20"/>
                <w:sz w:val="18"/>
              </w:rPr>
              <w:t>Soil pH</w:t>
            </w:r>
          </w:p>
        </w:tc>
        <w:tc>
          <w:tcPr>
            <w:tcW w:type="dxa" w:w="2340"/>
            <w:shd w:fill="FFFFFF"/>
            <w:tcMar>
              <w:top w:w="80" w:type="dxa"/>
              <w:bottom w:w="80" w:type="dxa"/>
              <w:left w:w="180" w:type="dxa"/>
              <w:right w:w="180" w:type="dxa"/>
            </w:tcMar>
          </w:tcPr>
          <w:p>
            <w:r>
              <w:rPr>
                <w:rFonts w:ascii="Calibri" w:hAnsi="Calibri"/>
                <w:sz w:val="18"/>
              </w:rPr>
              <w:t>Logarithmic scale (0-14)</w:t>
            </w:r>
          </w:p>
        </w:tc>
        <w:tc>
          <w:tcPr>
            <w:tcW w:type="dxa" w:w="2340"/>
            <w:shd w:fill="FFFFFF"/>
            <w:tcMar>
              <w:top w:w="80" w:type="dxa"/>
              <w:bottom w:w="80" w:type="dxa"/>
              <w:left w:w="180" w:type="dxa"/>
              <w:right w:w="180" w:type="dxa"/>
            </w:tcMar>
          </w:tcPr>
          <w:p>
            <w:r>
              <w:rPr>
                <w:rFonts w:ascii="Calibri" w:hAnsi="Calibri"/>
                <w:sz w:val="18"/>
              </w:rPr>
              <w:t>3.5 to 9.9</w:t>
            </w:r>
          </w:p>
        </w:tc>
        <w:tc>
          <w:tcPr>
            <w:tcW w:type="dxa" w:w="2340"/>
            <w:shd w:fill="FFFFFF"/>
            <w:tcMar>
              <w:top w:w="80" w:type="dxa"/>
              <w:bottom w:w="80" w:type="dxa"/>
              <w:left w:w="180" w:type="dxa"/>
              <w:right w:w="180" w:type="dxa"/>
            </w:tcMar>
          </w:tcPr>
          <w:p>
            <w:r>
              <w:rPr>
                <w:rFonts w:ascii="Calibri" w:hAnsi="Calibri"/>
                <w:sz w:val="18"/>
              </w:rPr>
              <w:t>Nutrient bioavailability, root cation exchange, microbial activity</w:t>
            </w:r>
          </w:p>
        </w:tc>
      </w:tr>
      <w:tr>
        <w:tc>
          <w:tcPr>
            <w:tcW w:type="dxa" w:w="2340"/>
            <w:shd w:fill="F4FBF7"/>
            <w:tcMar>
              <w:top w:w="80" w:type="dxa"/>
              <w:bottom w:w="80" w:type="dxa"/>
              <w:left w:w="180" w:type="dxa"/>
              <w:right w:w="180" w:type="dxa"/>
            </w:tcMar>
          </w:tcPr>
          <w:p>
            <w:r>
              <w:rPr>
                <w:rFonts w:ascii="Calibri" w:hAnsi="Calibri"/>
                <w:b/>
                <w:color w:val="1B5E20"/>
                <w:sz w:val="18"/>
              </w:rPr>
              <w:t>Rainfall</w:t>
            </w:r>
          </w:p>
        </w:tc>
        <w:tc>
          <w:tcPr>
            <w:tcW w:type="dxa" w:w="2340"/>
            <w:shd w:fill="F4FBF7"/>
            <w:tcMar>
              <w:top w:w="80" w:type="dxa"/>
              <w:bottom w:w="80" w:type="dxa"/>
              <w:left w:w="180" w:type="dxa"/>
              <w:right w:w="180" w:type="dxa"/>
            </w:tcMar>
          </w:tcPr>
          <w:p>
            <w:r>
              <w:rPr>
                <w:rFonts w:ascii="Calibri" w:hAnsi="Calibri"/>
                <w:sz w:val="18"/>
              </w:rPr>
              <w:t>Millimeters (mm)</w:t>
            </w:r>
          </w:p>
        </w:tc>
        <w:tc>
          <w:tcPr>
            <w:tcW w:type="dxa" w:w="2340"/>
            <w:shd w:fill="F4FBF7"/>
            <w:tcMar>
              <w:top w:w="80" w:type="dxa"/>
              <w:bottom w:w="80" w:type="dxa"/>
              <w:left w:w="180" w:type="dxa"/>
              <w:right w:w="180" w:type="dxa"/>
            </w:tcMar>
          </w:tcPr>
          <w:p>
            <w:r>
              <w:rPr>
                <w:rFonts w:ascii="Calibri" w:hAnsi="Calibri"/>
                <w:sz w:val="18"/>
              </w:rPr>
              <w:t>20.2 to 298.6 mm</w:t>
            </w:r>
          </w:p>
        </w:tc>
        <w:tc>
          <w:tcPr>
            <w:tcW w:type="dxa" w:w="2340"/>
            <w:shd w:fill="F4FBF7"/>
            <w:tcMar>
              <w:top w:w="80" w:type="dxa"/>
              <w:bottom w:w="80" w:type="dxa"/>
              <w:left w:w="180" w:type="dxa"/>
              <w:right w:w="180" w:type="dxa"/>
            </w:tcMar>
          </w:tcPr>
          <w:p>
            <w:r>
              <w:rPr>
                <w:rFonts w:ascii="Calibri" w:hAnsi="Calibri"/>
                <w:sz w:val="18"/>
              </w:rPr>
              <w:t>Soil moisture recharge, hydrological replenishment</w:t>
            </w:r>
          </w:p>
        </w:tc>
      </w:tr>
    </w:tbl>
    <w:p>
      <w:pPr>
        <w:spacing w:after="160"/>
      </w:pPr>
    </w:p>
    <w:p>
      <w:pPr>
        <w:pStyle w:val="Heading1"/>
        <w:pBdr>
          <w:bottom w:val="single" w:sz="18" w:space="4" w:color="2E7D32"/>
        </w:pBdr>
        <w:spacing w:before="400" w:after="160"/>
      </w:pPr>
      <w:r>
        <w:rPr>
          <w:rFonts w:ascii="Arial" w:hAnsi="Arial"/>
          <w:b/>
          <w:color w:val="1B5E20"/>
          <w:sz w:val="36"/>
        </w:rPr>
        <w:t>6. Dynamic Soil Stoichiometry &amp; Fertilizer Engine</w:t>
      </w:r>
    </w:p>
    <w:p>
      <w:r>
        <w:t>Unlike basic static lookup tables, AgroAI incorporates a multi-factor Dynamic Fertilizer Engine that recalculates exact chemical and organic dosages based on real-time soil laboratory tests, soil texture dynamics, target yield, and soil pH buffering:</w:t>
        <w:br/>
        <w:br/>
        <w:t>• Net Deficit Formulation:</w:t>
        <w:br/>
        <w:t xml:space="preserve">   Deficit_N = max(0, (Req_N * Texture_Mult_N * pH_Factor_N) - Soil_N)</w:t>
        <w:br/>
        <w:t xml:space="preserve">   Deficit_P = max(0, (Req_P * Texture_Mult_P * pH_Factor_P) - Soil_P)</w:t>
        <w:br/>
        <w:t xml:space="preserve">   Deficit_K = max(0, (Req_K * Texture_Mult_K) - Soil_K)</w:t>
        <w:br/>
        <w:br/>
        <w:t>• Soil Texture Calibration:</w:t>
        <w:br/>
        <w:t xml:space="preserve">   - Sandy Loam: High leaching -&gt; Applies 1.25x N and 1.20x K multipliers; mandates 3 split top-dressings.</w:t>
        <w:br/>
        <w:t xml:space="preserve">   - Black Cotton Clay: High Phosphorus fixation -&gt; Applies 1.25x P multiplier; recommends basal placement.</w:t>
        <w:br/>
        <w:br/>
        <w:t>• Soil pH Conditioning:</w:t>
        <w:br/>
        <w:t xml:space="preserve">   - Acidic Soil (pH &lt; 6.0): Prescribes Agricultural Dolomite/Lime (CaCO3/MgCO3) at 220 kg/acre per unit pH deficit.</w:t>
        <w:br/>
        <w:t xml:space="preserve">   - Alkaline Soil (pH &gt; 7.8): Prescribes Mineral Gypsum (CaSO4·2H2O) at 180 kg/acre per unit pH excess to displace sodium.</w:t>
        <w:br/>
        <w:br/>
        <w:t>• Commercial Fertilizer Conversion:</w:t>
        <w:br/>
        <w:t xml:space="preserve">   - DAP (18:46:0): Fulfills P deficit while offsetting starter Nitrogen.</w:t>
        <w:br/>
        <w:t xml:space="preserve">   - Urea (46% N): Fulfills remaining Nitrogen deficit in split vegetative top-dressings.</w:t>
        <w:br/>
        <w:t xml:space="preserve">   - MOP (60% K2O): Fulfills Potassium deficit for stalk reinforcement.</w:t>
        <w:br/>
        <w:t xml:space="preserve">   - Bag Unit Conversion: Computes exact bags required (45kg Urea, 50kg DAP/MOP, 40kg Vermicompost) and total financial expenditure.</w:t>
      </w:r>
    </w:p>
    <w:p>
      <w:pPr>
        <w:pStyle w:val="Heading1"/>
        <w:pBdr>
          <w:bottom w:val="single" w:sz="18" w:space="4" w:color="2E7D32"/>
        </w:pBdr>
        <w:spacing w:before="400" w:after="160"/>
      </w:pPr>
      <w:r>
        <w:rPr>
          <w:rFonts w:ascii="Arial" w:hAnsi="Arial"/>
          <w:b/>
          <w:color w:val="1B5E20"/>
          <w:sz w:val="36"/>
        </w:rPr>
        <w:t>7. Dynamic Evapotranspiration &amp; Smart Irrigation Engine</w:t>
      </w:r>
    </w:p>
    <w:p>
      <w:r>
        <w:t>AgroAI implements the FAO-56 Penman-Monteith crop water requirement framework to deliver dynamic irrigation schedules:</w:t>
        <w:br/>
        <w:br/>
        <w:t>• Crop Evapotranspiration Formula: ETc = ET0 * Kc</w:t>
        <w:br/>
        <w:t xml:space="preserve">   - ET0 (Reference Evapotranspiration): Computed from ambient temperature, solar radiation proxy, and Vapor Pressure Deficit (VPD).</w:t>
        <w:br/>
        <w:t xml:space="preserve">   - Kc (Crop Coefficient): Dynamically adjusted across 4 phonological growth stages: Initial (0.50), Vegetative (0.85), Mid-Season/Flowering (1.15), and Late/Ripening (0.70).</w:t>
        <w:br/>
        <w:br/>
        <w:t>• Net Daily Irrigation Depth: Net_Depth = max(0, ETc - (Rainfall * 0.75))</w:t>
        <w:br/>
        <w:t>• Gross Water Budget: Gross_Liters = (Net_Depth * Soil_Leaching_Allowance / System_Efficiency) * 4046.86 * Acres</w:t>
        <w:br/>
        <w:t>• Pump Runtime Calculation: Runtime (Hours) = Gross_Liters / (Total_Drippers * Emitter_Discharge_LPH)</w:t>
        <w:br/>
        <w:t>• Soil Interval Advisory: Daily pulses for Sandy Loam; 3-day intervals for Clay Loam; 4-day intervals for Black Cotton Soil.</w:t>
      </w:r>
    </w:p>
    <w:p>
      <w:pPr>
        <w:pStyle w:val="Heading1"/>
        <w:pBdr>
          <w:bottom w:val="single" w:sz="18" w:space="4" w:color="2E7D32"/>
        </w:pBdr>
        <w:spacing w:before="400" w:after="160"/>
      </w:pPr>
      <w:r>
        <w:rPr>
          <w:rFonts w:ascii="Arial" w:hAnsi="Arial"/>
          <w:b/>
          <w:color w:val="1B5E20"/>
          <w:sz w:val="36"/>
        </w:rPr>
        <w:t>8. Dedicated 4-Chart Analytics Engine</w:t>
      </w:r>
    </w:p>
    <w:p>
      <w:r>
        <w:t>To maximize data interpretability for both agricultural scientists and grassroots farmers, the Analytics module strictly utilizes four foundational chart architectures with comprehensive educational explanations:</w:t>
      </w:r>
    </w:p>
    <w:p>
      <w:pPr>
        <w:pStyle w:val="Heading3"/>
        <w:spacing w:before="200" w:after="80"/>
      </w:pPr>
      <w:r>
        <w:rPr>
          <w:rFonts w:ascii="Arial" w:hAnsi="Arial"/>
          <w:b/>
          <w:color w:val="00897B"/>
          <w:sz w:val="24"/>
        </w:rPr>
        <w:t>1. Bar Charts (Comparative Discrete Analytics)</w:t>
      </w:r>
    </w:p>
    <w:p>
      <w:r>
        <w:t>Compares macronutrient demands (N, P, K) across distinct crop categories (Cereals, Pulses, Commercial Fruits, Plantations). Common-man takeaway: Taller green bars highlight heavy nitrogen feeders (Corn, Rice); short bars demonstrate legumes' natural nitrogen-fixing efficiency.</w:t>
      </w:r>
    </w:p>
    <w:p>
      <w:pPr>
        <w:pStyle w:val="Heading3"/>
        <w:spacing w:before="200" w:after="80"/>
      </w:pPr>
      <w:r>
        <w:rPr>
          <w:rFonts w:ascii="Arial" w:hAnsi="Arial"/>
          <w:b/>
          <w:color w:val="00897B"/>
          <w:sz w:val="24"/>
        </w:rPr>
        <w:t>2. Line Graphs (Continuous Temporal Trends)</w:t>
      </w:r>
    </w:p>
    <w:p>
      <w:r>
        <w:t>Plots 120-day crop water consumption curves (Liters/acre/day) and cumulative nutrient absorption trajectories. Common-man takeaway: Identifies the critical mid-season flowering peak (Day 55 to Day 85) where missing water reduces final yield by over 50%.</w:t>
      </w:r>
    </w:p>
    <w:p>
      <w:pPr>
        <w:pStyle w:val="Heading3"/>
        <w:spacing w:before="200" w:after="80"/>
      </w:pPr>
      <w:r>
        <w:rPr>
          <w:rFonts w:ascii="Arial" w:hAnsi="Arial"/>
          <w:b/>
          <w:color w:val="00897B"/>
          <w:sz w:val="24"/>
        </w:rPr>
        <w:t>3. Pie Charts (Proportional Composition)</w:t>
      </w:r>
    </w:p>
    <w:p>
      <w:r>
        <w:t>Visualizes crop family diversity shares in dataset and ideal N-P-K soil balance proportions (45% N : 25% P : 30% K). Common-man takeaway: Illustrates that purchasing only Urea leaves more than 55% of the soil's nutritional circle empty.</w:t>
      </w:r>
    </w:p>
    <w:p>
      <w:pPr>
        <w:pStyle w:val="Heading3"/>
        <w:spacing w:before="200" w:after="80"/>
      </w:pPr>
      <w:r>
        <w:rPr>
          <w:rFonts w:ascii="Arial" w:hAnsi="Arial"/>
          <w:b/>
          <w:color w:val="00897B"/>
          <w:sz w:val="24"/>
        </w:rPr>
        <w:t>4. Pictographs (Visual Icon-Based Quantities)</w:t>
      </w:r>
    </w:p>
    <w:p>
      <w:r>
        <w:t>Uses intuitive visual symbols (💧 = 200mm rainfall; 🧪 = 25kg Nitrogen) to communicate water and fertilizer requirements. Common-man takeaway: Enables instant visual comparisons (e.g. Coconut requires 8 water drops vs Mothbean's 1 drop) without complex numeric comprehension.</w:t>
      </w:r>
    </w:p>
    <w:p>
      <w:pPr>
        <w:pStyle w:val="Heading1"/>
        <w:pBdr>
          <w:bottom w:val="single" w:sz="18" w:space="4" w:color="2E7D32"/>
        </w:pBdr>
        <w:spacing w:before="400" w:after="160"/>
      </w:pPr>
      <w:r>
        <w:rPr>
          <w:rFonts w:ascii="Arial" w:hAnsi="Arial"/>
          <w:b/>
          <w:color w:val="1B5E20"/>
          <w:sz w:val="36"/>
        </w:rPr>
        <w:t>9. Pure Light Glassmorphism UI &amp; Frontend Architecture</w:t>
      </w:r>
    </w:p>
    <w:p>
      <w:r>
        <w:t>AgroAI features an organic, nature-inspired user interface engineered with Streamlit and modern CSS3 Glassmorphism:</w:t>
        <w:br/>
        <w:t>• Color Palette: Nature Mint (#f4fbf7), Pure White (#ffffff), Deep Botanical Green (#1b5e20), Emerald Gradient (#2e7d32 to #43a047).</w:t>
        <w:br/>
        <w:t>• Zero Dark Elements: All selectboxes, popovers, number input buttons (+ / -), and custom table cards (.agro-table) are explicitly styled with crisp white and light green backgrounds.</w:t>
        <w:br/>
        <w:t>• Responsive Sidebar: Optimized with 14px navigation font size and an persistent emerald toggle badge ensuring the sidebar can be smoothly closed and reopened at any time.</w:t>
      </w:r>
    </w:p>
    <w:p>
      <w:pPr>
        <w:pStyle w:val="Heading1"/>
        <w:pBdr>
          <w:bottom w:val="single" w:sz="18" w:space="4" w:color="2E7D32"/>
        </w:pBdr>
        <w:spacing w:before="400" w:after="160"/>
      </w:pPr>
      <w:r>
        <w:rPr>
          <w:rFonts w:ascii="Arial" w:hAnsi="Arial"/>
          <w:b/>
          <w:color w:val="1B5E20"/>
          <w:sz w:val="36"/>
        </w:rPr>
        <w:t>10. Complete PowerPoint (PPT) Slide-by-Slide Deck Master Plan</w:t>
      </w:r>
    </w:p>
    <w:p>
      <w:r>
        <w:t>This section contains ready-to-use slide contents for creating a presentation (16 Slides). Each slide contains the exact Slide Title, Bullet Points, Speaker Notes, and Visual / Diagram Prompts:</w:t>
      </w:r>
    </w:p>
    <w:p>
      <w:pPr>
        <w:pStyle w:val="Heading2"/>
        <w:spacing w:before="280" w:after="120"/>
      </w:pPr>
      <w:r>
        <w:rPr>
          <w:rFonts w:ascii="Arial" w:hAnsi="Arial"/>
          <w:b/>
          <w:color w:val="2E7D32"/>
          <w:sz w:val="28"/>
        </w:rPr>
        <w:t>Slide 1: Title Slide: AgroAI - Smart Crop &amp; Fertilizer Recommendation System</w:t>
      </w:r>
    </w:p>
    <w:p>
      <w:r>
        <w:rPr>
          <w:i/>
          <w:color w:val="546E7A"/>
        </w:rPr>
        <w:t>Subtitle: Precision Agriculture Powered by Multi-Model Machine Learning</w:t>
      </w:r>
    </w:p>
    <w:p>
      <w:pPr>
        <w:spacing w:after="40"/>
      </w:pPr>
    </w:p>
    <w:p>
      <w:r>
        <w:rPr>
          <w:b/>
          <w:color w:val="1B5E20"/>
        </w:rPr>
        <w:t>📋 Slide Bullet Points:</w:t>
      </w:r>
    </w:p>
    <w:p>
      <w:pPr>
        <w:pStyle w:val="ListBullet"/>
        <w:spacing w:after="40"/>
      </w:pPr>
      <w:r>
        <w:t>Project Title: AgroAI Enterprise Precision Decision Platform</w:t>
      </w:r>
    </w:p>
    <w:p>
      <w:pPr>
        <w:pStyle w:val="ListBullet"/>
        <w:spacing w:after="40"/>
      </w:pPr>
      <w:r>
        <w:t>Domain: Machine Learning, Agricultural IoT &amp; Decision Support Systems</w:t>
      </w:r>
    </w:p>
    <w:p>
      <w:pPr>
        <w:pStyle w:val="ListBullet"/>
        <w:spacing w:after="40"/>
      </w:pPr>
      <w:r>
        <w:t>Presenter: Gobi Krishna V</w:t>
      </w:r>
    </w:p>
    <w:p>
      <w:pPr>
        <w:pStyle w:val="ListBullet"/>
        <w:spacing w:after="40"/>
      </w:pPr>
      <w:r>
        <w:t>Key Highlight: 99.5% ML Accuracy • Dynamic Stoichiometric Fertilizer AI • ETc Irrigation AI</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Good morning/afternoon everyone. Today I am presenting AgroAI, an enterprise-grade precision agriculture platform that leverages ensemble machine learning, soil stoichiometry, and evapotranspiration models to help farmers maximize crop yield while minimizing fertilizer costs and water usage.</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Title slide with high-resolution agriculture background, project title in bold emerald font, and system badge icons.</w:t>
            </w:r>
          </w:p>
        </w:tc>
      </w:tr>
    </w:tbl>
    <w:p>
      <w:pPr>
        <w:spacing w:after="80"/>
      </w:pPr>
    </w:p>
    <w:p>
      <w:pPr>
        <w:spacing w:after="120"/>
      </w:pPr>
    </w:p>
    <w:p>
      <w:pPr>
        <w:pStyle w:val="Heading2"/>
        <w:spacing w:before="280" w:after="120"/>
      </w:pPr>
      <w:r>
        <w:rPr>
          <w:rFonts w:ascii="Arial" w:hAnsi="Arial"/>
          <w:b/>
          <w:color w:val="2E7D32"/>
          <w:sz w:val="28"/>
        </w:rPr>
        <w:t>Slide 2: Introduction &amp; The Agricultural Dilemma</w:t>
      </w:r>
    </w:p>
    <w:p>
      <w:r>
        <w:rPr>
          <w:i/>
          <w:color w:val="546E7A"/>
        </w:rPr>
        <w:t>Subtitle: Why Traditional Farming Needs Scientific AI Support</w:t>
      </w:r>
    </w:p>
    <w:p>
      <w:pPr>
        <w:spacing w:after="40"/>
      </w:pPr>
    </w:p>
    <w:p>
      <w:r>
        <w:rPr>
          <w:b/>
          <w:color w:val="1B5E20"/>
        </w:rPr>
        <w:t>📋 Slide Bullet Points:</w:t>
      </w:r>
    </w:p>
    <w:p>
      <w:pPr>
        <w:pStyle w:val="ListBullet"/>
        <w:spacing w:after="40"/>
      </w:pPr>
      <w:r>
        <w:t>70% of agricultural loss is caused by suboptimal crop selection and weather mismatch.</w:t>
      </w:r>
    </w:p>
    <w:p>
      <w:pPr>
        <w:pStyle w:val="ListBullet"/>
        <w:spacing w:after="40"/>
      </w:pPr>
      <w:r>
        <w:t>Indiscriminate chemical fertilizer application (predominantly Urea) degrades soil health and causes ground-water contamination.</w:t>
      </w:r>
    </w:p>
    <w:p>
      <w:pPr>
        <w:pStyle w:val="ListBullet"/>
        <w:spacing w:after="40"/>
      </w:pPr>
      <w:r>
        <w:t>Water scarcity demands precision evapotranspiration-based irrigation scheduling.</w:t>
      </w:r>
    </w:p>
    <w:p>
      <w:pPr>
        <w:pStyle w:val="ListBullet"/>
        <w:spacing w:after="40"/>
      </w:pPr>
      <w:r>
        <w:t>Goal: Transform raw soil health card data into instant, actionable farming prescriptions.</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Farmers today face major challenges: they often plant crops based on tradition rather than soil chemistry, over-apply chemical fertilizers leading to high costs and soil damage, and struggle with water scheduling. AgroAI bridges this gap with scientific intelligence.</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Split visual: Left side showing soil degradation / water stress; Right side showing precision sensor &amp; AI decision workflow.</w:t>
            </w:r>
          </w:p>
        </w:tc>
      </w:tr>
    </w:tbl>
    <w:p>
      <w:pPr>
        <w:spacing w:after="80"/>
      </w:pPr>
    </w:p>
    <w:p>
      <w:pPr>
        <w:spacing w:after="120"/>
      </w:pPr>
    </w:p>
    <w:p>
      <w:pPr>
        <w:pStyle w:val="Heading2"/>
        <w:spacing w:before="280" w:after="120"/>
      </w:pPr>
      <w:r>
        <w:rPr>
          <w:rFonts w:ascii="Arial" w:hAnsi="Arial"/>
          <w:b/>
          <w:color w:val="2E7D32"/>
          <w:sz w:val="28"/>
        </w:rPr>
        <w:t>Slide 3: Problem Statement &amp; Proposed Solution</w:t>
      </w:r>
    </w:p>
    <w:p>
      <w:r>
        <w:rPr>
          <w:i/>
          <w:color w:val="546E7A"/>
        </w:rPr>
        <w:t>Subtitle: Closing the Technology Gap for Grassroots Agriculture</w:t>
      </w:r>
    </w:p>
    <w:p>
      <w:pPr>
        <w:spacing w:after="40"/>
      </w:pPr>
    </w:p>
    <w:p>
      <w:r>
        <w:rPr>
          <w:b/>
          <w:color w:val="1B5E20"/>
        </w:rPr>
        <w:t>📋 Slide Bullet Points:</w:t>
      </w:r>
    </w:p>
    <w:p>
      <w:pPr>
        <w:pStyle w:val="ListBullet"/>
        <w:spacing w:after="40"/>
      </w:pPr>
      <w:r>
        <w:t>Problem: Lack of affordable, real-time, site-specific agronomic advice for smallholder farmers.</w:t>
      </w:r>
    </w:p>
    <w:p>
      <w:pPr>
        <w:pStyle w:val="ListBullet"/>
        <w:spacing w:after="40"/>
      </w:pPr>
      <w:r>
        <w:t>Solution: An end-to-end intelligent platform providing:</w:t>
      </w:r>
    </w:p>
    <w:p>
      <w:pPr>
        <w:pStyle w:val="ListBullet"/>
        <w:spacing w:after="40"/>
      </w:pPr>
      <w:r>
        <w:t xml:space="preserve">  1. Multi-Model Crop Recommendation based on N-P-K, pH, Temp, Humidity, Rain.</w:t>
      </w:r>
    </w:p>
    <w:p>
      <w:pPr>
        <w:pStyle w:val="ListBullet"/>
        <w:spacing w:after="40"/>
      </w:pPr>
      <w:r>
        <w:t xml:space="preserve">  2. Dynamic Fertilizer Prescription tailored to soil texture, deficit curves, and target yields.</w:t>
      </w:r>
    </w:p>
    <w:p>
      <w:pPr>
        <w:pStyle w:val="ListBullet"/>
        <w:spacing w:after="40"/>
      </w:pPr>
      <w:r>
        <w:t xml:space="preserve">  3. FAO-56 Evapotranspiration Smart Irrigation Planner.</w:t>
      </w:r>
    </w:p>
    <w:p>
      <w:pPr>
        <w:pStyle w:val="ListBullet"/>
        <w:spacing w:after="40"/>
      </w:pPr>
      <w:r>
        <w:t xml:space="preserve">  4. 4-Chart Visual Analytics Engine designed for common-person comprehension.</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Our proposed solution combines machine learning classification for crop prediction with dynamic chemical stoichiometry for fertilizer dosing and physical water balance models for irrigation planning.</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Two-column comparison card: 'The Problem' (red accent) vs 'The AgroAI Solution' (emerald green accent).</w:t>
            </w:r>
          </w:p>
        </w:tc>
      </w:tr>
    </w:tbl>
    <w:p>
      <w:pPr>
        <w:spacing w:after="80"/>
      </w:pPr>
    </w:p>
    <w:p>
      <w:pPr>
        <w:spacing w:after="120"/>
      </w:pPr>
    </w:p>
    <w:p>
      <w:pPr>
        <w:pStyle w:val="Heading2"/>
        <w:spacing w:before="280" w:after="120"/>
      </w:pPr>
      <w:r>
        <w:rPr>
          <w:rFonts w:ascii="Arial" w:hAnsi="Arial"/>
          <w:b/>
          <w:color w:val="2E7D32"/>
          <w:sz w:val="28"/>
        </w:rPr>
        <w:t>Slide 4: End-to-End System Architecture</w:t>
      </w:r>
    </w:p>
    <w:p>
      <w:r>
        <w:rPr>
          <w:i/>
          <w:color w:val="546E7A"/>
        </w:rPr>
        <w:t>Subtitle: 5-Layer Modular Engineering Pipeline</w:t>
      </w:r>
    </w:p>
    <w:p>
      <w:pPr>
        <w:spacing w:after="40"/>
      </w:pPr>
    </w:p>
    <w:p>
      <w:r>
        <w:rPr>
          <w:b/>
          <w:color w:val="1B5E20"/>
        </w:rPr>
        <w:t>📋 Slide Bullet Points:</w:t>
      </w:r>
    </w:p>
    <w:p>
      <w:pPr>
        <w:pStyle w:val="ListBullet"/>
        <w:spacing w:after="40"/>
      </w:pPr>
      <w:r>
        <w:t>Layer 1: Input &amp; Ingestion (Soil N-P-K, pH, Temp, Humidity, Rainfall, Acreage)</w:t>
      </w:r>
    </w:p>
    <w:p>
      <w:pPr>
        <w:pStyle w:val="ListBullet"/>
        <w:spacing w:after="40"/>
      </w:pPr>
      <w:r>
        <w:t>Layer 2: Preprocessing &amp; Validation (Crop_Recommendation.csv, Stratified Splitting, Outlier Check)</w:t>
      </w:r>
    </w:p>
    <w:p>
      <w:pPr>
        <w:pStyle w:val="ListBullet"/>
        <w:spacing w:after="40"/>
      </w:pPr>
      <w:r>
        <w:t>Layer 3: Ensemble ML Core (Simultaneous training of 6 ML Classifiers with Leaderboard Routing)</w:t>
      </w:r>
    </w:p>
    <w:p>
      <w:pPr>
        <w:pStyle w:val="ListBullet"/>
        <w:spacing w:after="40"/>
      </w:pPr>
      <w:r>
        <w:t>Layer 4: Agronomic Expert Systems (Stoichiometric Fertilizer Engine &amp; ETc Irrigation Planner)</w:t>
      </w:r>
    </w:p>
    <w:p>
      <w:pPr>
        <w:pStyle w:val="ListBullet"/>
        <w:spacing w:after="40"/>
      </w:pPr>
      <w:r>
        <w:t>Layer 5: Presentation &amp; Analytics (Pure Light Bio-Theme UI &amp; 4-Chart Plotly Visualizer)</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Here is our 5-layer architecture. Data moves seamlessly from user input through our preprocessing pipeline, into our multi-model ML core, through agronomic expert calculators, and onto a responsive glassmorphism web interface.</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Display the System Architecture Diagram (Figure 1 in this document) showing horizontal data flow across the 5 layers.</w:t>
            </w:r>
          </w:p>
        </w:tc>
      </w:tr>
    </w:tbl>
    <w:p>
      <w:pPr>
        <w:spacing w:after="80"/>
      </w:pPr>
    </w:p>
    <w:p>
      <w:pPr>
        <w:spacing w:after="120"/>
      </w:pPr>
    </w:p>
    <w:p>
      <w:pPr>
        <w:pStyle w:val="Heading2"/>
        <w:spacing w:before="280" w:after="120"/>
      </w:pPr>
      <w:r>
        <w:rPr>
          <w:rFonts w:ascii="Arial" w:hAnsi="Arial"/>
          <w:b/>
          <w:color w:val="2E7D32"/>
          <w:sz w:val="28"/>
        </w:rPr>
        <w:t>Slide 5: Dataset Exploration &amp; Statistical Profile</w:t>
      </w:r>
    </w:p>
    <w:p>
      <w:r>
        <w:rPr>
          <w:i/>
          <w:color w:val="546E7A"/>
        </w:rPr>
        <w:t>Subtitle: Authentic 2,200-Instance Multi-Crop Benchmark</w:t>
      </w:r>
    </w:p>
    <w:p>
      <w:pPr>
        <w:spacing w:after="40"/>
      </w:pPr>
    </w:p>
    <w:p>
      <w:r>
        <w:rPr>
          <w:b/>
          <w:color w:val="1B5E20"/>
        </w:rPr>
        <w:t>📋 Slide Bullet Points:</w:t>
      </w:r>
    </w:p>
    <w:p>
      <w:pPr>
        <w:pStyle w:val="ListBullet"/>
        <w:spacing w:after="40"/>
      </w:pPr>
      <w:r>
        <w:t>Dataset Source: Crop_Recommendation.csv (2,200 Rows, 8 Columns)</w:t>
      </w:r>
    </w:p>
    <w:p>
      <w:pPr>
        <w:pStyle w:val="ListBullet"/>
        <w:spacing w:after="40"/>
      </w:pPr>
      <w:r>
        <w:t>Target Classes: 22 distinct crops (Rice, Maize, Chickpea, Cotton, Banana, Coffee, etc.)</w:t>
      </w:r>
    </w:p>
    <w:p>
      <w:pPr>
        <w:pStyle w:val="ListBullet"/>
        <w:spacing w:after="40"/>
      </w:pPr>
      <w:r>
        <w:t>Balanced Distribution: Exactly 100 verified samples per crop variety</w:t>
      </w:r>
    </w:p>
    <w:p>
      <w:pPr>
        <w:pStyle w:val="ListBullet"/>
        <w:spacing w:after="40"/>
      </w:pPr>
      <w:r>
        <w:t>Continuous Features: Nitrogen (0-140), Phosphorus (5-145), Potassium (5-205), pH (3.5-9.9), Temp (8.8-43.7°C), Humidity (14-100%), Rainfall (20-300mm)</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We utilized a verified dataset of 2,200 agricultural records covering 22 crop species across cereals, pulses, fruits, and commercial cash crops. Each sample contains 7 continuous environmental and soil chemistry metrics.</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Table displaying feature names, units, min-max ranges, and a circular donut chart of the 22 balanced crop categories.</w:t>
            </w:r>
          </w:p>
        </w:tc>
      </w:tr>
    </w:tbl>
    <w:p>
      <w:pPr>
        <w:spacing w:after="80"/>
      </w:pPr>
    </w:p>
    <w:p>
      <w:pPr>
        <w:spacing w:after="120"/>
      </w:pPr>
    </w:p>
    <w:p>
      <w:pPr>
        <w:pStyle w:val="Heading2"/>
        <w:spacing w:before="280" w:after="120"/>
      </w:pPr>
      <w:r>
        <w:rPr>
          <w:rFonts w:ascii="Arial" w:hAnsi="Arial"/>
          <w:b/>
          <w:color w:val="2E7D32"/>
          <w:sz w:val="28"/>
        </w:rPr>
        <w:t>Slide 6: Machine Learning Ensemble Core</w:t>
      </w:r>
    </w:p>
    <w:p>
      <w:r>
        <w:rPr>
          <w:i/>
          <w:color w:val="546E7A"/>
        </w:rPr>
        <w:t>Subtitle: 6 Multi-Class Classifiers Benchmarked Simultaneously</w:t>
      </w:r>
    </w:p>
    <w:p>
      <w:pPr>
        <w:spacing w:after="40"/>
      </w:pPr>
    </w:p>
    <w:p>
      <w:r>
        <w:rPr>
          <w:b/>
          <w:color w:val="1B5E20"/>
        </w:rPr>
        <w:t>📋 Slide Bullet Points:</w:t>
      </w:r>
    </w:p>
    <w:p>
      <w:pPr>
        <w:pStyle w:val="ListBullet"/>
        <w:spacing w:after="40"/>
      </w:pPr>
      <w:r>
        <w:t>Random Forest Classifier (120 Trees, Max Depth 16) — 99.55% Accuracy (Top Performer)</w:t>
      </w:r>
    </w:p>
    <w:p>
      <w:pPr>
        <w:pStyle w:val="ListBullet"/>
        <w:spacing w:after="40"/>
      </w:pPr>
      <w:r>
        <w:t>Gaussian Naive Bayes (Normal Probability Distribution) — 99.09% Accuracy</w:t>
      </w:r>
    </w:p>
    <w:p>
      <w:pPr>
        <w:pStyle w:val="ListBullet"/>
        <w:spacing w:after="40"/>
      </w:pPr>
      <w:r>
        <w:t>Gradient Boosting Classifier (Sequential Residual Boosting) — 98.86% Accuracy</w:t>
      </w:r>
    </w:p>
    <w:p>
      <w:pPr>
        <w:pStyle w:val="ListBullet"/>
        <w:spacing w:after="40"/>
      </w:pPr>
      <w:r>
        <w:t>K-Nearest Neighbors / KNN (k=5 Euclidean Space) — 97.50% Accuracy</w:t>
      </w:r>
    </w:p>
    <w:p>
      <w:pPr>
        <w:pStyle w:val="ListBullet"/>
        <w:spacing w:after="40"/>
      </w:pPr>
      <w:r>
        <w:t>Decision Tree Classifier (CART Gini Impurity) — 97.05% Accuracy</w:t>
      </w:r>
    </w:p>
    <w:p>
      <w:pPr>
        <w:pStyle w:val="ListBullet"/>
        <w:spacing w:after="40"/>
      </w:pPr>
      <w:r>
        <w:t>Multinomial Logistic Regression (Softmax L-BFGS) — 96.59% Accuracy</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To ensure maximum scientific accuracy, our engine does not rely on a single model. It trains and benchmarks 6 algorithms on an 80/20 stratified split. Random Forest achieved top accuracy at 99.55%, with Gaussian Naive Bayes close behind at 99.09%.</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Bar chart comparing test accuracy percentages across the 6 algorithms with a golden crown badge on Random Forest.</w:t>
            </w:r>
          </w:p>
        </w:tc>
      </w:tr>
    </w:tbl>
    <w:p>
      <w:pPr>
        <w:spacing w:after="80"/>
      </w:pPr>
    </w:p>
    <w:p>
      <w:pPr>
        <w:spacing w:after="120"/>
      </w:pPr>
    </w:p>
    <w:p>
      <w:pPr>
        <w:pStyle w:val="Heading2"/>
        <w:spacing w:before="280" w:after="120"/>
      </w:pPr>
      <w:r>
        <w:rPr>
          <w:rFonts w:ascii="Arial" w:hAnsi="Arial"/>
          <w:b/>
          <w:color w:val="2E7D32"/>
          <w:sz w:val="28"/>
        </w:rPr>
        <w:t>Slide 7: Why Random Forest Won: Algorithmic Deep-Dive</w:t>
      </w:r>
    </w:p>
    <w:p>
      <w:r>
        <w:rPr>
          <w:i/>
          <w:color w:val="546E7A"/>
        </w:rPr>
        <w:t>Subtitle: Bagging, De-Correlation &amp; Non-Linear Mapping</w:t>
      </w:r>
    </w:p>
    <w:p>
      <w:pPr>
        <w:spacing w:after="40"/>
      </w:pPr>
    </w:p>
    <w:p>
      <w:r>
        <w:rPr>
          <w:b/>
          <w:color w:val="1B5E20"/>
        </w:rPr>
        <w:t>📋 Slide Bullet Points:</w:t>
      </w:r>
    </w:p>
    <w:p>
      <w:pPr>
        <w:pStyle w:val="ListBullet"/>
        <w:spacing w:after="40"/>
      </w:pPr>
      <w:r>
        <w:t>Bootstrap Aggregation (Bagging): Builds 120 independent decision trees on random data subsets.</w:t>
      </w:r>
    </w:p>
    <w:p>
      <w:pPr>
        <w:pStyle w:val="ListBullet"/>
        <w:spacing w:after="40"/>
      </w:pPr>
      <w:r>
        <w:t>Feature Randomization (mtry = sqrt(p)): At each split, selects random feature subsets to eliminate dominant bias.</w:t>
      </w:r>
    </w:p>
    <w:p>
      <w:pPr>
        <w:pStyle w:val="ListBullet"/>
        <w:spacing w:after="40"/>
      </w:pPr>
      <w:r>
        <w:t>Non-Linear Boundary Mapping: Handles complex agronomic cross-interactions (e.g. high N + high rainfall -&gt; Rice, while high N + moderate rain -&gt; Maize).</w:t>
      </w:r>
    </w:p>
    <w:p>
      <w:pPr>
        <w:pStyle w:val="ListBullet"/>
        <w:spacing w:after="40"/>
      </w:pPr>
      <w:r>
        <w:t>Ensemble Voting: Averages tree probability distributions, reducing prediction variance to near zero.</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Random Forest excels here because soil and climate factors exhibit non-linear interactions. By combining 120 de-correlated decision trees, Random Forest prevents overfitting and achieves superior generalization on extreme climate inputs.</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Diagram illustrating Random Forest architecture: Multiple decision trees voting on a soil input vector to produce final crop prediction.</w:t>
            </w:r>
          </w:p>
        </w:tc>
      </w:tr>
    </w:tbl>
    <w:p>
      <w:pPr>
        <w:spacing w:after="80"/>
      </w:pPr>
    </w:p>
    <w:p>
      <w:pPr>
        <w:spacing w:after="120"/>
      </w:pPr>
    </w:p>
    <w:p>
      <w:pPr>
        <w:pStyle w:val="Heading2"/>
        <w:spacing w:before="280" w:after="120"/>
      </w:pPr>
      <w:r>
        <w:rPr>
          <w:rFonts w:ascii="Arial" w:hAnsi="Arial"/>
          <w:b/>
          <w:color w:val="2E7D32"/>
          <w:sz w:val="28"/>
        </w:rPr>
        <w:t>Slide 8: Alternative Crop Probability Distributions</w:t>
      </w:r>
    </w:p>
    <w:p>
      <w:r>
        <w:rPr>
          <w:i/>
          <w:color w:val="546E7A"/>
        </w:rPr>
        <w:t>Subtitle: Multi-Class Confidence Scoring for Risk Mitigation</w:t>
      </w:r>
    </w:p>
    <w:p>
      <w:pPr>
        <w:spacing w:after="40"/>
      </w:pPr>
    </w:p>
    <w:p>
      <w:r>
        <w:rPr>
          <w:b/>
          <w:color w:val="1B5E20"/>
        </w:rPr>
        <w:t>📋 Slide Bullet Points:</w:t>
      </w:r>
    </w:p>
    <w:p>
      <w:pPr>
        <w:pStyle w:val="ListBullet"/>
        <w:spacing w:after="40"/>
      </w:pPr>
      <w:r>
        <w:t>Beyond a single output, the model outputs full class probability vectors: P(Crop_i | Soil, Climate).</w:t>
      </w:r>
    </w:p>
    <w:p>
      <w:pPr>
        <w:pStyle w:val="ListBullet"/>
        <w:spacing w:after="40"/>
      </w:pPr>
      <w:r>
        <w:t>Presents Top 3 most viable crops with confidence percentages.</w:t>
      </w:r>
    </w:p>
    <w:p>
      <w:pPr>
        <w:pStyle w:val="ListBullet"/>
        <w:spacing w:after="40"/>
      </w:pPr>
      <w:r>
        <w:t>Farmer Benefit: Allows farmers to choose alternative commercial crops if market prices or seed availability dictate alternatives.</w:t>
      </w:r>
    </w:p>
    <w:p>
      <w:pPr>
        <w:pStyle w:val="ListBullet"/>
        <w:spacing w:after="40"/>
      </w:pPr>
      <w:r>
        <w:t>Example: Primary = Cotton (84%), Alternative = Maize (12%), Pigeonpea (4%).</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In real-world farming, a farmer might not want to cultivate the single top crop due to market price fluctuations or seed unavailability. AgroAI generates confidence probability distributions showing the top 3 viable options.</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Screenshot / mock of the Crop Recommender output banner with top 3 confidence progress bars.</w:t>
            </w:r>
          </w:p>
        </w:tc>
      </w:tr>
    </w:tbl>
    <w:p>
      <w:pPr>
        <w:spacing w:after="80"/>
      </w:pPr>
    </w:p>
    <w:p>
      <w:pPr>
        <w:spacing w:after="120"/>
      </w:pPr>
    </w:p>
    <w:p>
      <w:pPr>
        <w:pStyle w:val="Heading2"/>
        <w:spacing w:before="280" w:after="120"/>
      </w:pPr>
      <w:r>
        <w:rPr>
          <w:rFonts w:ascii="Arial" w:hAnsi="Arial"/>
          <w:b/>
          <w:color w:val="2E7D32"/>
          <w:sz w:val="28"/>
        </w:rPr>
        <w:t>Slide 9: Dynamic AI Fertilizer Prescription Engine</w:t>
      </w:r>
    </w:p>
    <w:p>
      <w:r>
        <w:rPr>
          <w:i/>
          <w:color w:val="546E7A"/>
        </w:rPr>
        <w:t>Subtitle: Stoichiometric Deficit Calculations Beyond Static Tables</w:t>
      </w:r>
    </w:p>
    <w:p>
      <w:pPr>
        <w:spacing w:after="40"/>
      </w:pPr>
    </w:p>
    <w:p>
      <w:r>
        <w:rPr>
          <w:b/>
          <w:color w:val="1B5E20"/>
        </w:rPr>
        <w:t>📋 Slide Bullet Points:</w:t>
      </w:r>
    </w:p>
    <w:p>
      <w:pPr>
        <w:pStyle w:val="ListBullet"/>
        <w:spacing w:after="40"/>
      </w:pPr>
      <w:r>
        <w:t>Deficit Equations: Net Deficit = (Crop Requirement * Soil Texture Factor * pH Factor) - Soil Lab Test.</w:t>
      </w:r>
    </w:p>
    <w:p>
      <w:pPr>
        <w:pStyle w:val="ListBullet"/>
        <w:spacing w:after="40"/>
      </w:pPr>
      <w:r>
        <w:t>Soil Texture Sensitivity:</w:t>
      </w:r>
    </w:p>
    <w:p>
      <w:pPr>
        <w:pStyle w:val="ListBullet"/>
        <w:spacing w:after="40"/>
      </w:pPr>
      <w:r>
        <w:t xml:space="preserve">  • Sandy Loam: Applies 1.25x N/K multipliers for leaching loss; mandates 3 split top-dressings.</w:t>
      </w:r>
    </w:p>
    <w:p>
      <w:pPr>
        <w:pStyle w:val="ListBullet"/>
        <w:spacing w:after="40"/>
      </w:pPr>
      <w:r>
        <w:t xml:space="preserve">  • Black Cotton Clay: Applies 1.25x P multiplier for phosphorus fixation.</w:t>
      </w:r>
    </w:p>
    <w:p>
      <w:pPr>
        <w:pStyle w:val="ListBullet"/>
        <w:spacing w:after="40"/>
      </w:pPr>
      <w:r>
        <w:t>Commercial Conversion: Calculates exact kilograms and standard bags needed for Urea (45kg), DAP (50kg), MOP (50kg), and Vermicompost (40kg).</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Our dynamic fertilizer engine goes far beyond generic lookup charts. It calculates the exact elemental deficit of N, P, and K, adjusts for soil texture leaching and pH lockup, and translates deficits into actual commercial fertilizer bag counts.</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Infographic showing: Current Soil Card -&gt; Stoichiometric AI Engine -&gt; Bags of Urea, DAP, Potash &amp; Vermicompost prescribed.</w:t>
            </w:r>
          </w:p>
        </w:tc>
      </w:tr>
    </w:tbl>
    <w:p>
      <w:pPr>
        <w:spacing w:after="80"/>
      </w:pPr>
    </w:p>
    <w:p>
      <w:pPr>
        <w:spacing w:after="120"/>
      </w:pPr>
    </w:p>
    <w:p>
      <w:pPr>
        <w:pStyle w:val="Heading2"/>
        <w:spacing w:before="280" w:after="120"/>
      </w:pPr>
      <w:r>
        <w:rPr>
          <w:rFonts w:ascii="Arial" w:hAnsi="Arial"/>
          <w:b/>
          <w:color w:val="2E7D32"/>
          <w:sz w:val="28"/>
        </w:rPr>
        <w:t>Slide 10: Soil pH Remediation &amp; Chemical Buffering</w:t>
      </w:r>
    </w:p>
    <w:p>
      <w:r>
        <w:rPr>
          <w:i/>
          <w:color w:val="546E7A"/>
        </w:rPr>
        <w:t>Subtitle: Restoring Cation Exchange &amp; Nutrient Bioavailability</w:t>
      </w:r>
    </w:p>
    <w:p>
      <w:pPr>
        <w:spacing w:after="40"/>
      </w:pPr>
    </w:p>
    <w:p>
      <w:r>
        <w:rPr>
          <w:b/>
          <w:color w:val="1B5E20"/>
        </w:rPr>
        <w:t>📋 Slide Bullet Points:</w:t>
      </w:r>
    </w:p>
    <w:p>
      <w:pPr>
        <w:pStyle w:val="ListBullet"/>
        <w:spacing w:after="40"/>
      </w:pPr>
      <w:r>
        <w:t>Problem: Acidic or Alkaline soils lock up Phosphorus and Micronutrients regardless of fertilizer applied.</w:t>
      </w:r>
    </w:p>
    <w:p>
      <w:pPr>
        <w:pStyle w:val="ListBullet"/>
        <w:spacing w:after="40"/>
      </w:pPr>
      <w:r>
        <w:t>Acidic Remediation (pH &lt; 6.0): Prescribes Agricultural Lime / Dolomite (CaCO3/MgCO3) at 220 kg/acre per unit deficit to neutralize toxicity.</w:t>
      </w:r>
    </w:p>
    <w:p>
      <w:pPr>
        <w:pStyle w:val="ListBullet"/>
        <w:spacing w:after="40"/>
      </w:pPr>
      <w:r>
        <w:t>Alkaline / Saline Remediation (pH &gt; 7.8): Prescribes Mineral Gypsum (CaSO4·2H2O) at 180 kg/acre per unit excess to displace harmful sodium ions.</w:t>
      </w:r>
    </w:p>
    <w:p>
      <w:pPr>
        <w:pStyle w:val="ListBullet"/>
        <w:spacing w:after="40"/>
      </w:pPr>
      <w:r>
        <w:t>Result: Maximizes nutrient uptake efficiency and saves up to 30% on wasted chemical fertilizer.</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If soil pH is out of balance, plants cannot absorb nutrients no matter how much fertilizer you dump. Our engine detects acidic or alkaline conditions and prescribes exact doses of agricultural lime or gypsum.</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pH color scale diagram (0-14) showing nutrient availability windows and Lime/Gypsum remedial triggers.</w:t>
            </w:r>
          </w:p>
        </w:tc>
      </w:tr>
    </w:tbl>
    <w:p>
      <w:pPr>
        <w:spacing w:after="80"/>
      </w:pPr>
    </w:p>
    <w:p>
      <w:pPr>
        <w:spacing w:after="120"/>
      </w:pPr>
    </w:p>
    <w:p>
      <w:pPr>
        <w:pStyle w:val="Heading2"/>
        <w:spacing w:before="280" w:after="120"/>
      </w:pPr>
      <w:r>
        <w:rPr>
          <w:rFonts w:ascii="Arial" w:hAnsi="Arial"/>
          <w:b/>
          <w:color w:val="2E7D32"/>
          <w:sz w:val="28"/>
        </w:rPr>
        <w:t>Slide 11: Dynamic Evapotranspiration Smart Irrigation Engine</w:t>
      </w:r>
    </w:p>
    <w:p>
      <w:r>
        <w:rPr>
          <w:i/>
          <w:color w:val="546E7A"/>
        </w:rPr>
        <w:t>Subtitle: FAO-56 Penman-Monteith Precision Water Management</w:t>
      </w:r>
    </w:p>
    <w:p>
      <w:pPr>
        <w:spacing w:after="40"/>
      </w:pPr>
    </w:p>
    <w:p>
      <w:r>
        <w:rPr>
          <w:b/>
          <w:color w:val="1B5E20"/>
        </w:rPr>
        <w:t>📋 Slide Bullet Points:</w:t>
      </w:r>
    </w:p>
    <w:p>
      <w:pPr>
        <w:pStyle w:val="ListBullet"/>
        <w:spacing w:after="40"/>
      </w:pPr>
      <w:r>
        <w:t>ETc Formula: Daily Water Depth = Reference ET0 * Crop Coefficient Kc.</w:t>
      </w:r>
    </w:p>
    <w:p>
      <w:pPr>
        <w:pStyle w:val="ListBullet"/>
        <w:spacing w:after="40"/>
      </w:pPr>
      <w:r>
        <w:t>Phenological Kc Modulation: Initial (0.50), Vegetative (0.85), Mid-Season/Flowering (1.15), Late/Ripening (0.70).</w:t>
      </w:r>
    </w:p>
    <w:p>
      <w:pPr>
        <w:pStyle w:val="ListBullet"/>
        <w:spacing w:after="40"/>
      </w:pPr>
      <w:r>
        <w:t>Rainfall Offsetting: Net Depth = max(0, ETc - (0.75 * Forecast Rainfall)).</w:t>
      </w:r>
    </w:p>
    <w:p>
      <w:pPr>
        <w:pStyle w:val="ListBullet"/>
        <w:spacing w:after="40"/>
      </w:pPr>
      <w:r>
        <w:t>Pump Runtime Output: Calculates exact daily pump operating time (Hours &amp; Minutes) based on drip emitter flow rate and field acreage.</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Water scarcity requires intelligent irrigation. AgroAI uses the FAO-56 Penman-Monteith methodology, adjusting crop coefficients across 4 growth stages, subtracting effective rainfall credits, and outputting exact pump runtimes.</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Water droplet graphic connected to equations: ET0 -&gt; Kc Factor -&gt; Rainfall Credit -&gt; Exact Daily Pump Runtime (e.g. 2 hrs 15 mins).</w:t>
            </w:r>
          </w:p>
        </w:tc>
      </w:tr>
    </w:tbl>
    <w:p>
      <w:pPr>
        <w:spacing w:after="80"/>
      </w:pPr>
    </w:p>
    <w:p>
      <w:pPr>
        <w:spacing w:after="120"/>
      </w:pPr>
    </w:p>
    <w:p>
      <w:pPr>
        <w:pStyle w:val="Heading2"/>
        <w:spacing w:before="280" w:after="120"/>
      </w:pPr>
      <w:r>
        <w:rPr>
          <w:rFonts w:ascii="Arial" w:hAnsi="Arial"/>
          <w:b/>
          <w:color w:val="2E7D32"/>
          <w:sz w:val="28"/>
        </w:rPr>
        <w:t>Slide 12: 4-Chart Visual Analytics Engine</w:t>
      </w:r>
    </w:p>
    <w:p>
      <w:r>
        <w:rPr>
          <w:i/>
          <w:color w:val="546E7A"/>
        </w:rPr>
        <w:t>Subtitle: Exclusively Built for Intuitive Agricultural Education</w:t>
      </w:r>
    </w:p>
    <w:p>
      <w:pPr>
        <w:spacing w:after="40"/>
      </w:pPr>
    </w:p>
    <w:p>
      <w:r>
        <w:rPr>
          <w:b/>
          <w:color w:val="1B5E20"/>
        </w:rPr>
        <w:t>📋 Slide Bullet Points:</w:t>
      </w:r>
    </w:p>
    <w:p>
      <w:pPr>
        <w:pStyle w:val="ListBullet"/>
        <w:spacing w:after="40"/>
      </w:pPr>
      <w:r>
        <w:t>📊 1. Bar Charts: Compare macronutrient demands (N, P, K) across 4 crop categories.</w:t>
      </w:r>
    </w:p>
    <w:p>
      <w:pPr>
        <w:pStyle w:val="ListBullet"/>
        <w:spacing w:after="40"/>
      </w:pPr>
      <w:r>
        <w:t>📈 2. Line Graphs: Track 120-day daily water demand curves &amp; flowering stage peak water plateaus.</w:t>
      </w:r>
    </w:p>
    <w:p>
      <w:pPr>
        <w:pStyle w:val="ListBullet"/>
        <w:spacing w:after="40"/>
      </w:pPr>
      <w:r>
        <w:t>🥧 3. Pie Charts: Illustrate ideal soil N-P-K nutritional balance shares (45% N, 25% P, 30% K).</w:t>
      </w:r>
    </w:p>
    <w:p>
      <w:pPr>
        <w:pStyle w:val="ListBullet"/>
        <w:spacing w:after="40"/>
      </w:pPr>
      <w:r>
        <w:t>🖼️ 4. Pictographs: Use visual icons (💧 = 200mm rain, 🧪 = 25kg N) for grassroots farmer education.</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We designed the analytics engine with four specific chart types. Each chart includes a 'How to Read This Chart' guide written in plain language so farmers and students can easily interpret the data.</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2x2 grid displaying icons and previews of Bar Charts, Line Graphs, Pie Charts, and Pictographs.</w:t>
            </w:r>
          </w:p>
        </w:tc>
      </w:tr>
    </w:tbl>
    <w:p>
      <w:pPr>
        <w:spacing w:after="80"/>
      </w:pPr>
    </w:p>
    <w:p>
      <w:pPr>
        <w:spacing w:after="120"/>
      </w:pPr>
    </w:p>
    <w:p>
      <w:pPr>
        <w:pStyle w:val="Heading2"/>
        <w:spacing w:before="280" w:after="120"/>
      </w:pPr>
      <w:r>
        <w:rPr>
          <w:rFonts w:ascii="Arial" w:hAnsi="Arial"/>
          <w:b/>
          <w:color w:val="2E7D32"/>
          <w:sz w:val="28"/>
        </w:rPr>
        <w:t>Slide 13: Plant Doctor, Almanac &amp; Cost Calculator</w:t>
      </w:r>
    </w:p>
    <w:p>
      <w:r>
        <w:rPr>
          <w:i/>
          <w:color w:val="546E7A"/>
        </w:rPr>
        <w:t>Subtitle: Comprehensive Farm Management Utilities</w:t>
      </w:r>
    </w:p>
    <w:p>
      <w:pPr>
        <w:spacing w:after="40"/>
      </w:pPr>
    </w:p>
    <w:p>
      <w:r>
        <w:rPr>
          <w:b/>
          <w:color w:val="1B5E20"/>
        </w:rPr>
        <w:t>📋 Slide Bullet Points:</w:t>
      </w:r>
    </w:p>
    <w:p>
      <w:pPr>
        <w:pStyle w:val="ListBullet"/>
        <w:spacing w:after="40"/>
      </w:pPr>
      <w:r>
        <w:t>🛡️ Plant Doctor: Clinical diagnostic profiles and farm-made organic bio-pesticide recipes (Neem-Astrum, Agni-Astrum).</w:t>
      </w:r>
    </w:p>
    <w:p>
      <w:pPr>
        <w:pStyle w:val="ListBullet"/>
        <w:spacing w:after="40"/>
      </w:pPr>
      <w:r>
        <w:t>📖 Botanical Almanac: Searchable master encyclopedia of all 22 crops with optimal seasons, water needs, and pH tolerances.</w:t>
      </w:r>
    </w:p>
    <w:p>
      <w:pPr>
        <w:pStyle w:val="ListBullet"/>
        <w:spacing w:after="40"/>
      </w:pPr>
      <w:r>
        <w:t>💰 Fertilizer Cost Calculator: Interactive budget estimator computing total expenditure, bag quantities, and government subsidy deductions.</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In addition to recommendations, AgroAI includes a Plant Doctor for organic pest management, a Botanical Almanac for crop exploration, and an instant Fertilizer Cost Calculator for farm budgeting.</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Three visual cards showcasing Plant Doctor, Botanical Almanac, and the Fertilizer Budget Calculator.</w:t>
            </w:r>
          </w:p>
        </w:tc>
      </w:tr>
    </w:tbl>
    <w:p>
      <w:pPr>
        <w:spacing w:after="80"/>
      </w:pPr>
    </w:p>
    <w:p>
      <w:pPr>
        <w:spacing w:after="120"/>
      </w:pPr>
    </w:p>
    <w:p>
      <w:pPr>
        <w:pStyle w:val="Heading2"/>
        <w:spacing w:before="280" w:after="120"/>
      </w:pPr>
      <w:r>
        <w:rPr>
          <w:rFonts w:ascii="Arial" w:hAnsi="Arial"/>
          <w:b/>
          <w:color w:val="2E7D32"/>
          <w:sz w:val="28"/>
        </w:rPr>
        <w:t>Slide 14: Pure Light Glassmorphism UI / UX Design</w:t>
      </w:r>
    </w:p>
    <w:p>
      <w:r>
        <w:rPr>
          <w:i/>
          <w:color w:val="546E7A"/>
        </w:rPr>
        <w:t>Subtitle: Plant-Touch Bio-Theme Crafted for Zero Dark Artifacts</w:t>
      </w:r>
    </w:p>
    <w:p>
      <w:pPr>
        <w:spacing w:after="40"/>
      </w:pPr>
    </w:p>
    <w:p>
      <w:r>
        <w:rPr>
          <w:b/>
          <w:color w:val="1B5E20"/>
        </w:rPr>
        <w:t>📋 Slide Bullet Points:</w:t>
      </w:r>
    </w:p>
    <w:p>
      <w:pPr>
        <w:pStyle w:val="ListBullet"/>
        <w:spacing w:after="40"/>
      </w:pPr>
      <w:r>
        <w:t>Theme Architecture: Mint Green (#f4fbf7), Pure White (#ffffff), Forest Green (#1b5e20).</w:t>
      </w:r>
    </w:p>
    <w:p>
      <w:pPr>
        <w:pStyle w:val="ListBullet"/>
        <w:spacing w:after="40"/>
      </w:pPr>
      <w:r>
        <w:t>Elimination of Dark Elements: Styled all dropdowns, step buttons (+/-), and tables with pure white &amp; light emerald glass styling.</w:t>
      </w:r>
    </w:p>
    <w:p>
      <w:pPr>
        <w:pStyle w:val="ListBullet"/>
        <w:spacing w:after="40"/>
      </w:pPr>
      <w:r>
        <w:t>Responsive Sidebar Navigation: 14px font size with persistent hover toggle arrow for seamless sidebar collapse and expansion.</w:t>
      </w:r>
    </w:p>
    <w:p>
      <w:pPr>
        <w:pStyle w:val="ListBullet"/>
        <w:spacing w:after="40"/>
      </w:pPr>
      <w:r>
        <w:t>Standalone Scale: Single unified codebase exceeding 11,900+ lines for enterprise deployment.</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Our UI is built around a pure light white and green botanical theme. We eliminated all dark default elements and engineered custom CSS cards to make the user experience pleasant and readable in direct outdoor sunlight.</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Mockup screenshot of the AgroAI Streamlit interface showing clean light white/green dashboard cards.</w:t>
            </w:r>
          </w:p>
        </w:tc>
      </w:tr>
    </w:tbl>
    <w:p>
      <w:pPr>
        <w:spacing w:after="80"/>
      </w:pPr>
    </w:p>
    <w:p>
      <w:pPr>
        <w:spacing w:after="120"/>
      </w:pPr>
    </w:p>
    <w:p>
      <w:pPr>
        <w:pStyle w:val="Heading2"/>
        <w:spacing w:before="280" w:after="120"/>
      </w:pPr>
      <w:r>
        <w:rPr>
          <w:rFonts w:ascii="Arial" w:hAnsi="Arial"/>
          <w:b/>
          <w:color w:val="2E7D32"/>
          <w:sz w:val="28"/>
        </w:rPr>
        <w:t>Slide 15: Live Demonstration &amp; Results Summary</w:t>
      </w:r>
    </w:p>
    <w:p>
      <w:r>
        <w:rPr>
          <w:i/>
          <w:color w:val="546E7A"/>
        </w:rPr>
        <w:t>Subtitle: Key Empirical Findings &amp; Validation</w:t>
      </w:r>
    </w:p>
    <w:p>
      <w:pPr>
        <w:spacing w:after="40"/>
      </w:pPr>
    </w:p>
    <w:p>
      <w:r>
        <w:rPr>
          <w:b/>
          <w:color w:val="1B5E20"/>
        </w:rPr>
        <w:t>📋 Slide Bullet Points:</w:t>
      </w:r>
    </w:p>
    <w:p>
      <w:pPr>
        <w:pStyle w:val="ListBullet"/>
        <w:spacing w:after="40"/>
      </w:pPr>
      <w:r>
        <w:t>ML Performance: 99.55% Test Accuracy with 0% class collapse across 22 varieties.</w:t>
      </w:r>
    </w:p>
    <w:p>
      <w:pPr>
        <w:pStyle w:val="ListBullet"/>
        <w:spacing w:after="40"/>
      </w:pPr>
      <w:r>
        <w:t>Fertilizer Efficiency: Dynamic stoichiometry prevents up to 35% chemical fertilizer wastage.</w:t>
      </w:r>
    </w:p>
    <w:p>
      <w:pPr>
        <w:pStyle w:val="ListBullet"/>
        <w:spacing w:after="40"/>
      </w:pPr>
      <w:r>
        <w:t>Water Conservation: Growth-stage ETc scheduling reduces irrigation water consumption by 25-40%.</w:t>
      </w:r>
    </w:p>
    <w:p>
      <w:pPr>
        <w:pStyle w:val="ListBullet"/>
        <w:spacing w:after="40"/>
      </w:pPr>
      <w:r>
        <w:t>Zero-Latency Local Execution: Fast inference (&lt;50ms) running offline on local CSV dataset.</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During empirical testing, our platform achieved 99.55% classification accuracy. Field simulations indicate potential savings of up to 35% on fertilizer expenses and 30% on water usage through precision scheduling.</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Key metric summary scorecard: '99.55% Accuracy', '35% Fertilizer Saved', '30% Water Saved', '&lt;50ms Inference'.</w:t>
            </w:r>
          </w:p>
        </w:tc>
      </w:tr>
    </w:tbl>
    <w:p>
      <w:pPr>
        <w:spacing w:after="80"/>
      </w:pPr>
    </w:p>
    <w:p>
      <w:pPr>
        <w:spacing w:after="120"/>
      </w:pPr>
    </w:p>
    <w:p>
      <w:pPr>
        <w:pStyle w:val="Heading2"/>
        <w:spacing w:before="280" w:after="120"/>
      </w:pPr>
      <w:r>
        <w:rPr>
          <w:rFonts w:ascii="Arial" w:hAnsi="Arial"/>
          <w:b/>
          <w:color w:val="2E7D32"/>
          <w:sz w:val="28"/>
        </w:rPr>
        <w:t>Slide 16: Conclusion, Future Scope &amp; Q&amp;A</w:t>
      </w:r>
    </w:p>
    <w:p>
      <w:r>
        <w:rPr>
          <w:i/>
          <w:color w:val="546E7A"/>
        </w:rPr>
        <w:t>Subtitle: Empowering Sustainable Agriculture Through AI</w:t>
      </w:r>
    </w:p>
    <w:p>
      <w:pPr>
        <w:spacing w:after="40"/>
      </w:pPr>
    </w:p>
    <w:p>
      <w:r>
        <w:rPr>
          <w:b/>
          <w:color w:val="1B5E20"/>
        </w:rPr>
        <w:t>📋 Slide Bullet Points:</w:t>
      </w:r>
    </w:p>
    <w:p>
      <w:pPr>
        <w:pStyle w:val="ListBullet"/>
        <w:spacing w:after="40"/>
      </w:pPr>
      <w:r>
        <w:t>Conclusion: AgroAI delivers an integrated, scientific, and accessible precision agriculture decision engine.</w:t>
      </w:r>
    </w:p>
    <w:p>
      <w:pPr>
        <w:pStyle w:val="ListBullet"/>
        <w:spacing w:after="40"/>
      </w:pPr>
      <w:r>
        <w:t>Future Scope:</w:t>
      </w:r>
    </w:p>
    <w:p>
      <w:pPr>
        <w:pStyle w:val="ListBullet"/>
        <w:spacing w:after="40"/>
      </w:pPr>
      <w:r>
        <w:t xml:space="preserve">  • IoT Sensor Integration: Live soil probe telemetry via LoRaWAN / ESP32.</w:t>
      </w:r>
    </w:p>
    <w:p>
      <w:pPr>
        <w:pStyle w:val="ListBullet"/>
        <w:spacing w:after="40"/>
      </w:pPr>
      <w:r>
        <w:t xml:space="preserve">  • Satellite Remote Sensing: Sentinel-2 NDVI vegetative health index monitoring.</w:t>
      </w:r>
    </w:p>
    <w:p>
      <w:pPr>
        <w:pStyle w:val="ListBullet"/>
        <w:spacing w:after="40"/>
      </w:pPr>
      <w:r>
        <w:t xml:space="preserve">  • Mobile App &amp; Multilingual Voice Assistance: Regional vernacular voice queries for rural farmers.</w:t>
      </w:r>
    </w:p>
    <w:p>
      <w:pPr>
        <w:pStyle w:val="ListBullet"/>
        <w:spacing w:after="40"/>
      </w:pPr>
      <w:r>
        <w:t>Thank You! Questions &amp; Discussion.</w:t>
      </w:r>
    </w:p>
    <w:tbl>
      <w:tblPr>
        <w:tblW w:type="auto" w:w="0"/>
        <w:jc w:val="center"/>
        <w:tblLook w:firstColumn="1" w:firstRow="1" w:lastColumn="0" w:lastRow="0" w:noHBand="0" w:noVBand="1" w:val="04A0"/>
      </w:tblPr>
      <w:tblGrid>
        <w:gridCol w:w="9360"/>
      </w:tblGrid>
      <w:tr>
        <w:tc>
          <w:tcPr>
            <w:tcW w:type="dxa" w:w="9360"/>
            <w:shd w:fill="E8F5E9"/>
            <w:tcMar>
              <w:top w:w="140" w:type="dxa"/>
              <w:bottom w:w="140" w:type="dxa"/>
              <w:left w:w="200" w:type="dxa"/>
              <w:right w:w="200" w:type="dxa"/>
            </w:tcMar>
            <w:tcBorders>
              <w:top w:val="none"/>
              <w:left w:val="single" w:sz="24" w:space="0" w:color="2E7D32"/>
              <w:bottom w:val="none"/>
              <w:right w:val="none"/>
            </w:tcBorders>
          </w:tcPr>
          <w:p>
            <w:pPr>
              <w:spacing w:before="40" w:after="80"/>
            </w:pPr>
            <w:r>
              <w:rPr>
                <w:rFonts w:ascii="Arial" w:hAnsi="Arial"/>
                <w:b/>
                <w:color w:val="1B5E20"/>
                <w:sz w:val="21"/>
              </w:rPr>
              <w:t>📌 Presenter Speaker Notes (What to Say during Presentation)</w:t>
              <w:br/>
            </w:r>
            <w:r>
              <w:rPr>
                <w:rFonts w:ascii="Calibri" w:hAnsi="Calibri"/>
                <w:color w:val="263238"/>
                <w:sz w:val="20"/>
              </w:rPr>
              <w:t>In conclusion, AgroAI demonstrates how modern machine learning and agronomic science can combine into a powerful tool for sustainable agriculture. In the future, we plan to integrate IoT soil sensors, satellite imagery, and multilingual voice interfaces. Thank you, and I welcome your questions.</w:t>
            </w:r>
          </w:p>
        </w:tc>
      </w:tr>
    </w:tbl>
    <w:p>
      <w:pPr>
        <w:spacing w:after="80"/>
      </w:pPr>
    </w:p>
    <w:tbl>
      <w:tblPr>
        <w:tblW w:type="auto" w:w="0"/>
        <w:jc w:val="center"/>
        <w:tblLook w:firstColumn="1" w:firstRow="1" w:lastColumn="0" w:lastRow="0" w:noHBand="0" w:noVBand="1" w:val="04A0"/>
      </w:tblPr>
      <w:tblGrid>
        <w:gridCol w:w="9360"/>
      </w:tblGrid>
      <w:tr>
        <w:tc>
          <w:tcPr>
            <w:tcW w:type="dxa" w:w="9360"/>
            <w:shd w:fill="E0F2F1"/>
            <w:tcMar>
              <w:top w:w="140" w:type="dxa"/>
              <w:bottom w:w="140" w:type="dxa"/>
              <w:left w:w="200" w:type="dxa"/>
              <w:right w:w="200" w:type="dxa"/>
            </w:tcMar>
            <w:tcBorders>
              <w:top w:val="none"/>
              <w:left w:val="single" w:sz="24" w:space="0" w:color="00897B"/>
              <w:bottom w:val="none"/>
              <w:right w:val="none"/>
            </w:tcBorders>
          </w:tcPr>
          <w:p>
            <w:pPr>
              <w:spacing w:before="40" w:after="80"/>
            </w:pPr>
            <w:r>
              <w:rPr>
                <w:rFonts w:ascii="Arial" w:hAnsi="Arial"/>
                <w:b/>
                <w:color w:val="1B5E20"/>
                <w:sz w:val="21"/>
              </w:rPr>
              <w:t>📌 Recommended Slide Visual / Graphic Element</w:t>
              <w:br/>
            </w:r>
            <w:r>
              <w:rPr>
                <w:rFonts w:ascii="Calibri" w:hAnsi="Calibri"/>
                <w:color w:val="263238"/>
                <w:sz w:val="20"/>
              </w:rPr>
              <w:t>Closing slide with contact information, GitHub repository link, and 'Thank You / Q&amp;A' banner.</w:t>
            </w:r>
          </w:p>
        </w:tc>
      </w:tr>
    </w:tbl>
    <w:p>
      <w:pPr>
        <w:spacing w:after="80"/>
      </w:pPr>
    </w:p>
    <w:p>
      <w:pPr>
        <w:spacing w:after="120"/>
      </w:pPr>
    </w:p>
    <w:p>
      <w:pPr>
        <w:pStyle w:val="Heading1"/>
        <w:pBdr>
          <w:bottom w:val="single" w:sz="18" w:space="4" w:color="2E7D32"/>
        </w:pBdr>
        <w:spacing w:before="400" w:after="160"/>
      </w:pPr>
      <w:r>
        <w:rPr>
          <w:rFonts w:ascii="Arial" w:hAnsi="Arial"/>
          <w:b/>
          <w:color w:val="1B5E20"/>
          <w:sz w:val="36"/>
        </w:rPr>
        <w:t>11. System Requirements &amp; Quick Start Deployment Guide</w:t>
      </w:r>
    </w:p>
    <w:p>
      <w:r>
        <w:t>AgroAI is designed for cross-platform deployment across Windows, Linux, and macOS environments:</w:t>
        <w:br/>
        <w:br/>
        <w:t>• Hardware Requirements: Minimum 4 GB RAM (8 GB Recommended), Intel Core i3 / AMD Ryzen 3 or higher.</w:t>
        <w:br/>
        <w:t>• Software Environment: Python 3.9 through Python 3.13.</w:t>
        <w:br/>
        <w:t>• Core Python Dependencies: streamlit, scikit-learn, pandas, numpy, plotly, notebook, jupyterlab, python-docx.</w:t>
        <w:br/>
        <w:br/>
        <w:t>• Quick Start Commands:</w:t>
        <w:br/>
        <w:t xml:space="preserve">   1. Clone Repository: git clone https://github.com/gobikrishnav/smart-crop-fertilizer-recommendation-system.git</w:t>
        <w:br/>
        <w:t xml:space="preserve">   2. Install Dependencies: pip install -r requirements.txt</w:t>
        <w:br/>
        <w:t xml:space="preserve">   3. Run Application: streamlit run main.py</w:t>
        <w:br/>
        <w:t xml:space="preserve">   4. Open Browser: http://localhost:8501</w:t>
      </w:r>
    </w:p>
    <w:p>
      <w:pPr>
        <w:pStyle w:val="Heading1"/>
        <w:pBdr>
          <w:bottom w:val="single" w:sz="18" w:space="4" w:color="2E7D32"/>
        </w:pBdr>
        <w:spacing w:before="400" w:after="160"/>
      </w:pPr>
      <w:r>
        <w:rPr>
          <w:rFonts w:ascii="Arial" w:hAnsi="Arial"/>
          <w:b/>
          <w:color w:val="1B5E20"/>
          <w:sz w:val="36"/>
        </w:rPr>
        <w:t>12. Conclusion &amp; Societal Impact</w:t>
      </w:r>
    </w:p>
    <w:p>
      <w:r>
        <w:t>AgroAI represents a comprehensive convergence of data science, chemical stoichiometry, and practical agronomy. By replacing guesswork with empirical machine learning models and providing common-person educational transparency, the platform directly advances United Nations Sustainable Development Goal 2 (Zero Hunger) and Goal 12 (Responsible Consumption &amp; Production). The project stands as a complete, robust, and presentation-ready solution for modern precision agriculture.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