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rFonts w:ascii="Aptos" w:hAnsi="Aptos"/>
          <w:b/>
          <w:color w:val="97192C"/>
          <w:sz w:val="18"/>
        </w:rPr>
        <w:t>INTERNAL OPERATING PLAYBOOK</w:t>
      </w:r>
    </w:p>
    <w:p>
      <w:pPr>
        <w:pStyle w:val="Title"/>
        <w:spacing w:before="960" w:after="260"/>
      </w:pPr>
      <w:r>
        <w:t>bits&amp;bytes™ Originals</w:t>
        <w:br/>
        <w:t>Techfest 2026</w:t>
      </w:r>
    </w:p>
    <w:p>
      <w:pPr>
        <w:spacing w:after="600"/>
      </w:pPr>
      <w:r>
        <w:rPr>
          <w:rFonts w:ascii="Georgia" w:hAnsi="Georgia"/>
          <w:color w:val="595959"/>
          <w:sz w:val="30"/>
        </w:rPr>
        <w:t>twelve city zonals and one national final at IIT Bombay</w:t>
      </w:r>
    </w:p>
    <w:tbl>
      <w:tblPr>
        <w:tblW w:type="auto" w:w="0"/>
        <w:jc w:val="center"/>
        <w:tblLayout w:type="fixed"/>
        <w:tblLook w:firstColumn="1" w:firstRow="1" w:lastColumn="0" w:lastRow="0" w:noHBand="0" w:noVBand="1" w:val="04A0"/>
        <w:tblBorders>
          <w:top w:val="single" w:sz="12" w:space="0" w:color="120F0A"/>
          <w:left w:val="single" w:sz="12" w:space="0" w:color="120F0A"/>
          <w:bottom w:val="single" w:sz="12" w:space="0" w:color="120F0A"/>
          <w:right w:val="single" w:sz="12" w:space="0" w:color="120F0A"/>
          <w:insideH w:val="single" w:sz="12" w:space="0" w:color="120F0A"/>
          <w:insideV w:val="single" w:sz="12" w:space="0" w:color="120F0A"/>
        </w:tblBorders>
      </w:tblPr>
      <w:tblGrid>
        <w:gridCol w:w="2409"/>
        <w:gridCol w:w="2409"/>
        <w:gridCol w:w="2409"/>
        <w:gridCol w:w="2409"/>
      </w:tblGrid>
      <w:tr>
        <w:tc>
          <w:tcPr>
            <w:tcW w:type="dxa" w:w="2409"/>
            <w:tcMar>
              <w:top w:w="170" w:type="dxa"/>
              <w:start w:w="100" w:type="dxa"/>
              <w:bottom w:w="170" w:type="dxa"/>
              <w:end w:w="100" w:type="dxa"/>
            </w:tcMar>
            <w:vAlign w:val="center"/>
          </w:tcPr>
          <w:p>
            <w:pPr>
              <w:spacing w:after="40"/>
              <w:jc w:val="center"/>
            </w:pPr>
            <w:r>
              <w:rPr>
                <w:rFonts w:ascii="Aptos" w:hAnsi="Aptos"/>
                <w:b/>
                <w:color w:val="120F0A"/>
                <w:sz w:val="32"/>
              </w:rPr>
              <w:t>12</w:t>
            </w:r>
          </w:p>
          <w:p>
            <w:pPr>
              <w:spacing w:after="0"/>
              <w:jc w:val="center"/>
            </w:pPr>
            <w:r>
              <w:rPr>
                <w:rFonts w:ascii="Aptos" w:hAnsi="Aptos"/>
                <w:color w:val="120F0A"/>
                <w:sz w:val="15"/>
              </w:rPr>
              <w:t>zonal hackathons</w:t>
            </w:r>
          </w:p>
        </w:tc>
        <w:tc>
          <w:tcPr>
            <w:tcW w:type="dxa" w:w="2409"/>
            <w:tcMar>
              <w:top w:w="170" w:type="dxa"/>
              <w:start w:w="100" w:type="dxa"/>
              <w:bottom w:w="170" w:type="dxa"/>
              <w:end w:w="100" w:type="dxa"/>
            </w:tcMar>
            <w:vAlign w:val="center"/>
            <w:shd w:fill="97192C"/>
          </w:tcPr>
          <w:p>
            <w:pPr>
              <w:spacing w:after="40"/>
              <w:jc w:val="center"/>
            </w:pPr>
            <w:r>
              <w:rPr>
                <w:rFonts w:ascii="Aptos" w:hAnsi="Aptos"/>
                <w:b/>
                <w:color w:val="FFFFFF"/>
                <w:sz w:val="32"/>
              </w:rPr>
              <w:t>₹2 crore</w:t>
            </w:r>
          </w:p>
          <w:p>
            <w:pPr>
              <w:spacing w:after="0"/>
              <w:jc w:val="center"/>
            </w:pPr>
            <w:r>
              <w:rPr>
                <w:rFonts w:ascii="Aptos" w:hAnsi="Aptos"/>
                <w:color w:val="FFFFFF"/>
                <w:sz w:val="15"/>
              </w:rPr>
              <w:t>gross sponsorship target</w:t>
            </w:r>
          </w:p>
        </w:tc>
        <w:tc>
          <w:tcPr>
            <w:tcW w:type="dxa" w:w="2409"/>
            <w:tcMar>
              <w:top w:w="170" w:type="dxa"/>
              <w:start w:w="100" w:type="dxa"/>
              <w:bottom w:w="170" w:type="dxa"/>
              <w:end w:w="100" w:type="dxa"/>
            </w:tcMar>
            <w:vAlign w:val="center"/>
          </w:tcPr>
          <w:p>
            <w:pPr>
              <w:spacing w:after="40"/>
              <w:jc w:val="center"/>
            </w:pPr>
            <w:r>
              <w:rPr>
                <w:rFonts w:ascii="Aptos" w:hAnsi="Aptos"/>
                <w:b/>
                <w:color w:val="120F0A"/>
                <w:sz w:val="32"/>
              </w:rPr>
              <w:t>80%</w:t>
            </w:r>
          </w:p>
          <w:p>
            <w:pPr>
              <w:spacing w:after="0"/>
              <w:jc w:val="center"/>
            </w:pPr>
            <w:r>
              <w:rPr>
                <w:rFonts w:ascii="Aptos" w:hAnsi="Aptos"/>
                <w:color w:val="120F0A"/>
                <w:sz w:val="15"/>
              </w:rPr>
              <w:t>high school participation target</w:t>
            </w:r>
          </w:p>
        </w:tc>
        <w:tc>
          <w:tcPr>
            <w:tcW w:type="dxa" w:w="2409"/>
            <w:tcMar>
              <w:top w:w="170" w:type="dxa"/>
              <w:start w:w="100" w:type="dxa"/>
              <w:bottom w:w="170" w:type="dxa"/>
              <w:end w:w="100" w:type="dxa"/>
            </w:tcMar>
            <w:vAlign w:val="center"/>
            <w:shd w:fill="FC920D"/>
          </w:tcPr>
          <w:p>
            <w:pPr>
              <w:spacing w:after="40"/>
              <w:jc w:val="center"/>
            </w:pPr>
            <w:r>
              <w:rPr>
                <w:rFonts w:ascii="Aptos" w:hAnsi="Aptos"/>
                <w:b/>
                <w:color w:val="120F0A"/>
                <w:sz w:val="32"/>
              </w:rPr>
              <w:t>17 to 18 Dec</w:t>
            </w:r>
          </w:p>
          <w:p>
            <w:pPr>
              <w:spacing w:after="0"/>
              <w:jc w:val="center"/>
            </w:pPr>
            <w:r>
              <w:rPr>
                <w:rFonts w:ascii="Aptos" w:hAnsi="Aptos"/>
                <w:color w:val="120F0A"/>
                <w:sz w:val="15"/>
              </w:rPr>
              <w:t>IIT Bombay final</w:t>
            </w:r>
          </w:p>
        </w:tc>
      </w:tr>
    </w:tbl>
    <w:p>
      <w:pPr>
        <w:spacing w:before="1160" w:after="160"/>
      </w:pPr>
      <w:r>
        <w:rPr>
          <w:rFonts w:ascii="Aptos" w:hAnsi="Aptos"/>
          <w:b/>
          <w:color w:val="120F0A"/>
          <w:sz w:val="24"/>
        </w:rPr>
        <w:t>One operating truth for everyone doing the work.</w:t>
      </w:r>
    </w:p>
    <w:p>
      <w:r>
        <w:rPr>
          <w:rFonts w:ascii="Aptos" w:hAnsi="Aptos"/>
          <w:color w:val="595959"/>
          <w:sz w:val="18"/>
        </w:rPr>
        <w:t>Version 1.0  |  10 September 2026  |  GOBITSNBYTES FOUNDATION</w:t>
      </w:r>
    </w:p>
    <w:p>
      <w:pPr>
        <w:pageBreakBefore/>
        <w:spacing w:after="100"/>
      </w:pPr>
      <w:r>
        <w:rPr>
          <w:rFonts w:ascii="Aptos" w:hAnsi="Aptos"/>
          <w:b/>
          <w:color w:val="97192C"/>
          <w:sz w:val="17"/>
        </w:rPr>
        <w:t>READ THIS FIRST</w:t>
      </w:r>
    </w:p>
    <w:p>
      <w:pPr>
        <w:pStyle w:val="Heading1"/>
        <w:keepNext/>
      </w:pPr>
      <w:r>
        <w:t>The campaign is ambitious and the constraint is money</w:t>
      </w:r>
    </w:p>
    <w:p>
      <w:pPr>
        <w:spacing w:after="120" w:line="269" w:lineRule="auto"/>
      </w:pPr>
      <w:r>
        <w:rPr>
          <w:rFonts w:ascii="Aptos" w:hAnsi="Aptos"/>
          <w:i w:val="0"/>
          <w:color w:val="120F0A"/>
          <w:sz w:val="21"/>
        </w:rPr>
        <w:t>We are building twelve city hackathons that lead to a national final at IIT Bombay. The campaign is designed mainly for high school builders, with a campaign-wide target of at least 80 percent high school participation.</w:t>
      </w:r>
    </w:p>
    <w:p>
      <w:pPr>
        <w:spacing w:after="120" w:line="269" w:lineRule="auto"/>
      </w:pPr>
      <w:r>
        <w:rPr>
          <w:rFonts w:ascii="Aptos" w:hAnsi="Aptos"/>
          <w:i w:val="0"/>
          <w:color w:val="120F0A"/>
          <w:sz w:val="21"/>
        </w:rPr>
        <w:t>The uncomfortable version is simple: this campaign is expensive. If sponsorship stalls, the programme shrinks. The gross sponsorship target for the bits&amp;bytes™ campaign is ₹2 crore. That number is aggressive, and this document does not pretend otherwise. It turns the target into one pipeline, one set of rules, and a weekly view of whether the work is moving.</w:t>
      </w:r>
    </w:p>
    <w:p>
      <w:pPr>
        <w:spacing w:after="120" w:line="269" w:lineRule="auto"/>
      </w:pPr>
      <w:r>
        <w:rPr>
          <w:rFonts w:ascii="Aptos" w:hAnsi="Aptos"/>
          <w:i w:val="0"/>
          <w:color w:val="120F0A"/>
          <w:sz w:val="21"/>
        </w:rPr>
        <w:t>This is the internal source of truth for the campaign. It explains what has been agreed, what we are currently planning, what remains open, and who is allowed to make which kind of commitment. It does not replace the signed partnership agreement or the Foundation's statutory and safeguarding obligations.</w:t>
      </w:r>
    </w:p>
    <w:p>
      <w:pPr>
        <w:pStyle w:val="Heading2"/>
        <w:keepNext/>
      </w:pPr>
      <w:r>
        <w:t>What is fixed</w:t>
      </w:r>
    </w:p>
    <w:p>
      <w:pPr>
        <w:pStyle w:val="ListBullet"/>
        <w:spacing w:after="60" w:line="259" w:lineRule="auto"/>
      </w:pPr>
      <w:r>
        <w:rPr>
          <w:rFonts w:ascii="Aptos" w:hAnsi="Aptos"/>
          <w:color w:val="120F0A"/>
          <w:sz w:val="20"/>
        </w:rPr>
        <w:t>Twelve city zonal hackathons will lead into one national final.</w:t>
      </w:r>
    </w:p>
    <w:p>
      <w:pPr>
        <w:pStyle w:val="ListBullet"/>
        <w:spacing w:after="60" w:line="259" w:lineRule="auto"/>
      </w:pPr>
      <w:r>
        <w:rPr>
          <w:rFonts w:ascii="Aptos" w:hAnsi="Aptos"/>
          <w:color w:val="120F0A"/>
          <w:sz w:val="20"/>
        </w:rPr>
        <w:t>The national final is planned for 17 and 18 December 2026 at IIT Bombay.</w:t>
      </w:r>
    </w:p>
    <w:p>
      <w:pPr>
        <w:pStyle w:val="ListBullet"/>
        <w:spacing w:after="60" w:line="259" w:lineRule="auto"/>
      </w:pPr>
      <w:r>
        <w:rPr>
          <w:rFonts w:ascii="Aptos" w:hAnsi="Aptos"/>
          <w:color w:val="120F0A"/>
          <w:sz w:val="20"/>
        </w:rPr>
        <w:t>The bits&amp;bytes™ campaign has a gross sponsorship target of ₹2 crore.</w:t>
      </w:r>
    </w:p>
    <w:p>
      <w:pPr>
        <w:pStyle w:val="ListBullet"/>
        <w:spacing w:after="60" w:line="259" w:lineRule="auto"/>
      </w:pPr>
      <w:r>
        <w:rPr>
          <w:rFonts w:ascii="Aptos" w:hAnsi="Aptos"/>
          <w:color w:val="120F0A"/>
          <w:sz w:val="20"/>
        </w:rPr>
        <w:t>At least 80 percent of verified participants across all twelve zonals should be high school students. This is not a per-city quota.</w:t>
      </w:r>
    </w:p>
    <w:p>
      <w:pPr>
        <w:pStyle w:val="ListBullet"/>
        <w:spacing w:after="60" w:line="259" w:lineRule="auto"/>
      </w:pPr>
      <w:r>
        <w:rPr>
          <w:rFonts w:ascii="Aptos" w:hAnsi="Aptos"/>
          <w:color w:val="120F0A"/>
          <w:sz w:val="20"/>
        </w:rPr>
        <w:t>Zonals may use Mini, Original, or Extended formats.</w:t>
      </w:r>
    </w:p>
    <w:p>
      <w:pPr>
        <w:pStyle w:val="Heading2"/>
        <w:keepNext/>
      </w:pPr>
      <w:r>
        <w:t>What is still open</w:t>
      </w:r>
    </w:p>
    <w:p>
      <w:pPr>
        <w:spacing w:after="120" w:line="269" w:lineRule="auto"/>
      </w:pPr>
      <w:r>
        <w:rPr>
          <w:rFonts w:ascii="Aptos" w:hAnsi="Aptos"/>
          <w:i w:val="0"/>
          <w:color w:val="120F0A"/>
          <w:sz w:val="21"/>
        </w:rPr>
        <w:t>Cities, city formats, exact zonal dates, capacities, qualification numbers, travel support, prizes, sponsor inventory, and detailed budgets remain open decisions. Blank space in this playbook is deliberate. It is safer than turning an early guess into team folklore.</w:t>
      </w:r>
    </w:p>
    <w:p>
      <w:pPr>
        <w:pStyle w:val="Heading2"/>
        <w:keepNext/>
      </w:pPr>
      <w:r>
        <w:t>How to use this playbook</w:t>
      </w:r>
    </w:p>
    <w:p>
      <w:pPr>
        <w:spacing w:after="80"/>
        <w:ind w:left="351" w:hanging="295"/>
      </w:pPr>
      <w:r>
        <w:rPr>
          <w:rFonts w:ascii="Aptos" w:hAnsi="Aptos"/>
          <w:color w:val="120F0A"/>
          <w:sz w:val="20"/>
        </w:rPr>
        <w:t>1.  Read the partnership, money, authority, and safeguarding sections before speaking for the campaign.</w:t>
      </w:r>
    </w:p>
    <w:p>
      <w:pPr>
        <w:spacing w:after="80"/>
        <w:ind w:left="351" w:hanging="295"/>
      </w:pPr>
      <w:r>
        <w:rPr>
          <w:rFonts w:ascii="Aptos" w:hAnsi="Aptos"/>
          <w:color w:val="120F0A"/>
          <w:sz w:val="20"/>
        </w:rPr>
        <w:t>2.  Use the sponsor pipeline and city records during day-to-day execution.</w:t>
      </w:r>
    </w:p>
    <w:p>
      <w:pPr>
        <w:spacing w:after="80"/>
        <w:ind w:left="351" w:hanging="295"/>
      </w:pPr>
      <w:r>
        <w:rPr>
          <w:rFonts w:ascii="Aptos" w:hAnsi="Aptos"/>
          <w:color w:val="120F0A"/>
          <w:sz w:val="20"/>
        </w:rPr>
        <w:t>3.  Use the weekly control room to see the campaign as a whole.</w:t>
      </w:r>
    </w:p>
    <w:p>
      <w:pPr>
        <w:spacing w:after="80"/>
        <w:ind w:left="351" w:hanging="295"/>
      </w:pPr>
      <w:r>
        <w:rPr>
          <w:rFonts w:ascii="Aptos" w:hAnsi="Aptos"/>
          <w:color w:val="120F0A"/>
          <w:sz w:val="20"/>
        </w:rPr>
        <w:t>4.  Record material decisions and written approvals in the decision register.</w:t>
      </w:r>
    </w:p>
    <w:p>
      <w:pPr>
        <w:pageBreakBefore/>
        <w:spacing w:after="100"/>
      </w:pPr>
      <w:r>
        <w:rPr>
          <w:rFonts w:ascii="Aptos" w:hAnsi="Aptos"/>
          <w:b/>
          <w:color w:val="97192C"/>
          <w:sz w:val="17"/>
        </w:rPr>
        <w:t>DOCUMENT CONTROL</w:t>
      </w:r>
    </w:p>
    <w:p>
      <w:pPr>
        <w:pStyle w:val="Heading1"/>
        <w:keepNext/>
      </w:pPr>
      <w:r>
        <w:t>How truth moves through this document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737"/>
            <w:shd w:fill="97192C"/>
            <w:tcMar>
              <w:top w:w="115" w:type="dxa"/>
              <w:start w:w="120" w:type="dxa"/>
              <w:bottom w:w="115" w:type="dxa"/>
              <w:end w:w="120" w:type="dxa"/>
            </w:tcMar>
            <w:vAlign w:val="center"/>
          </w:tcPr>
          <w:p>
            <w:pPr>
              <w:spacing w:after="0"/>
              <w:jc w:val="center"/>
            </w:pPr>
            <w:r>
              <w:rPr>
                <w:rFonts w:ascii="Aptos" w:hAnsi="Aptos"/>
                <w:b/>
                <w:color w:val="FFFFFF"/>
                <w:sz w:val="18"/>
              </w:rPr>
              <w:t>Priority</w:t>
            </w:r>
          </w:p>
        </w:tc>
        <w:tc>
          <w:tcPr>
            <w:tcW w:type="dxa" w:w="3118"/>
            <w:shd w:fill="97192C"/>
            <w:tcMar>
              <w:top w:w="115" w:type="dxa"/>
              <w:start w:w="120" w:type="dxa"/>
              <w:bottom w:w="115" w:type="dxa"/>
              <w:end w:w="120" w:type="dxa"/>
            </w:tcMar>
            <w:vAlign w:val="center"/>
          </w:tcPr>
          <w:p>
            <w:pPr>
              <w:spacing w:after="0"/>
              <w:jc w:val="center"/>
            </w:pPr>
            <w:r>
              <w:rPr>
                <w:rFonts w:ascii="Aptos" w:hAnsi="Aptos"/>
                <w:b/>
                <w:color w:val="FFFFFF"/>
                <w:sz w:val="18"/>
              </w:rPr>
              <w:t>Source</w:t>
            </w:r>
          </w:p>
        </w:tc>
        <w:tc>
          <w:tcPr>
            <w:tcW w:type="dxa" w:w="5386"/>
            <w:shd w:fill="97192C"/>
            <w:tcMar>
              <w:top w:w="115" w:type="dxa"/>
              <w:start w:w="120" w:type="dxa"/>
              <w:bottom w:w="115" w:type="dxa"/>
              <w:end w:w="120" w:type="dxa"/>
            </w:tcMar>
            <w:vAlign w:val="center"/>
          </w:tcPr>
          <w:p>
            <w:pPr>
              <w:spacing w:after="0"/>
              <w:jc w:val="center"/>
            </w:pPr>
            <w:r>
              <w:rPr>
                <w:rFonts w:ascii="Aptos" w:hAnsi="Aptos"/>
                <w:b/>
                <w:color w:val="FFFFFF"/>
                <w:sz w:val="18"/>
              </w:rPr>
              <w:t>What it means</w:t>
            </w:r>
          </w:p>
        </w:tc>
      </w:tr>
      <w:tr>
        <w:tc>
          <w:tcPr>
            <w:tcW w:type="dxa" w:w="737"/>
            <w:tcMar>
              <w:top w:w="105" w:type="dxa"/>
              <w:start w:w="120" w:type="dxa"/>
              <w:bottom w:w="105" w:type="dxa"/>
              <w:end w:w="120" w:type="dxa"/>
            </w:tcMar>
            <w:vAlign w:val="center"/>
          </w:tcPr>
          <w:p>
            <w:pPr>
              <w:spacing w:after="0" w:line="252" w:lineRule="auto"/>
            </w:pPr>
            <w:r>
              <w:rPr>
                <w:rFonts w:ascii="Aptos" w:hAnsi="Aptos"/>
                <w:color w:val="120F0A"/>
                <w:sz w:val="18"/>
              </w:rPr>
              <w:t>1</w:t>
            </w:r>
          </w:p>
        </w:tc>
        <w:tc>
          <w:tcPr>
            <w:tcW w:type="dxa" w:w="3118"/>
            <w:tcMar>
              <w:top w:w="105" w:type="dxa"/>
              <w:start w:w="120" w:type="dxa"/>
              <w:bottom w:w="105" w:type="dxa"/>
              <w:end w:w="120" w:type="dxa"/>
            </w:tcMar>
            <w:vAlign w:val="center"/>
          </w:tcPr>
          <w:p>
            <w:pPr>
              <w:spacing w:after="0" w:line="252" w:lineRule="auto"/>
            </w:pPr>
            <w:r>
              <w:rPr>
                <w:rFonts w:ascii="Aptos" w:hAnsi="Aptos"/>
                <w:color w:val="120F0A"/>
                <w:sz w:val="18"/>
              </w:rPr>
              <w:t>Applicable law and statutory documents</w:t>
            </w:r>
          </w:p>
        </w:tc>
        <w:tc>
          <w:tcPr>
            <w:tcW w:type="dxa" w:w="5386"/>
            <w:tcMar>
              <w:top w:w="105" w:type="dxa"/>
              <w:start w:w="120" w:type="dxa"/>
              <w:bottom w:w="105" w:type="dxa"/>
              <w:end w:w="120" w:type="dxa"/>
            </w:tcMar>
            <w:vAlign w:val="center"/>
          </w:tcPr>
          <w:p>
            <w:pPr>
              <w:spacing w:after="0" w:line="252" w:lineRule="auto"/>
              <w:jc w:val="center"/>
            </w:pPr>
            <w:r>
              <w:rPr>
                <w:rFonts w:ascii="Aptos" w:hAnsi="Aptos"/>
                <w:color w:val="120F0A"/>
                <w:sz w:val="18"/>
              </w:rPr>
              <w:t>Always controls</w:t>
            </w:r>
          </w:p>
        </w:tc>
      </w:tr>
      <w:tr>
        <w:tc>
          <w:tcPr>
            <w:tcW w:type="dxa" w:w="737"/>
            <w:tcMar>
              <w:top w:w="105" w:type="dxa"/>
              <w:start w:w="120" w:type="dxa"/>
              <w:bottom w:w="105" w:type="dxa"/>
              <w:end w:w="120" w:type="dxa"/>
            </w:tcMar>
            <w:vAlign w:val="center"/>
            <w:shd w:fill="F8F3F1"/>
          </w:tcPr>
          <w:p>
            <w:pPr>
              <w:spacing w:after="0" w:line="252" w:lineRule="auto"/>
            </w:pPr>
            <w:r>
              <w:rPr>
                <w:rFonts w:ascii="Aptos" w:hAnsi="Aptos"/>
                <w:color w:val="120F0A"/>
                <w:sz w:val="18"/>
              </w:rPr>
              <w:t>2</w:t>
            </w:r>
          </w:p>
        </w:tc>
        <w:tc>
          <w:tcPr>
            <w:tcW w:type="dxa" w:w="3118"/>
            <w:tcMar>
              <w:top w:w="105" w:type="dxa"/>
              <w:start w:w="120" w:type="dxa"/>
              <w:bottom w:w="105" w:type="dxa"/>
              <w:end w:w="120" w:type="dxa"/>
            </w:tcMar>
            <w:vAlign w:val="center"/>
            <w:shd w:fill="F8F3F1"/>
          </w:tcPr>
          <w:p>
            <w:pPr>
              <w:spacing w:after="0" w:line="252" w:lineRule="auto"/>
            </w:pPr>
            <w:r>
              <w:rPr>
                <w:rFonts w:ascii="Aptos" w:hAnsi="Aptos"/>
                <w:color w:val="120F0A"/>
                <w:sz w:val="18"/>
              </w:rPr>
              <w:t>Executed Techfest partnership agreement</w:t>
            </w:r>
          </w:p>
        </w:tc>
        <w:tc>
          <w:tcPr>
            <w:tcW w:type="dxa" w:w="5386"/>
            <w:tcMar>
              <w:top w:w="105" w:type="dxa"/>
              <w:start w:w="120" w:type="dxa"/>
              <w:bottom w:w="105" w:type="dxa"/>
              <w:end w:w="120" w:type="dxa"/>
            </w:tcMar>
            <w:vAlign w:val="center"/>
            <w:shd w:fill="F8F3F1"/>
          </w:tcPr>
          <w:p>
            <w:pPr>
              <w:spacing w:after="0" w:line="252" w:lineRule="auto"/>
            </w:pPr>
            <w:r>
              <w:rPr>
                <w:rFonts w:ascii="Aptos" w:hAnsi="Aptos"/>
                <w:color w:val="120F0A"/>
                <w:sz w:val="18"/>
              </w:rPr>
              <w:t>Controls the joint programme</w:t>
            </w:r>
          </w:p>
        </w:tc>
      </w:tr>
      <w:tr>
        <w:tc>
          <w:tcPr>
            <w:tcW w:type="dxa" w:w="737"/>
            <w:tcMar>
              <w:top w:w="105" w:type="dxa"/>
              <w:start w:w="120" w:type="dxa"/>
              <w:bottom w:w="105" w:type="dxa"/>
              <w:end w:w="120" w:type="dxa"/>
            </w:tcMar>
            <w:vAlign w:val="center"/>
          </w:tcPr>
          <w:p>
            <w:pPr>
              <w:spacing w:after="0" w:line="252" w:lineRule="auto"/>
            </w:pPr>
            <w:r>
              <w:rPr>
                <w:rFonts w:ascii="Aptos" w:hAnsi="Aptos"/>
                <w:color w:val="120F0A"/>
                <w:sz w:val="18"/>
              </w:rPr>
              <w:t>3</w:t>
            </w:r>
          </w:p>
        </w:tc>
        <w:tc>
          <w:tcPr>
            <w:tcW w:type="dxa" w:w="3118"/>
            <w:tcMar>
              <w:top w:w="105" w:type="dxa"/>
              <w:start w:w="120" w:type="dxa"/>
              <w:bottom w:w="105" w:type="dxa"/>
              <w:end w:w="120" w:type="dxa"/>
            </w:tcMar>
            <w:vAlign w:val="center"/>
          </w:tcPr>
          <w:p>
            <w:pPr>
              <w:spacing w:after="0" w:line="252" w:lineRule="auto"/>
            </w:pPr>
            <w:r>
              <w:rPr>
                <w:rFonts w:ascii="Aptos" w:hAnsi="Aptos"/>
                <w:color w:val="120F0A"/>
                <w:sz w:val="18"/>
              </w:rPr>
              <w:t>Written joint decisions by authorised representatives</w:t>
            </w:r>
          </w:p>
        </w:tc>
        <w:tc>
          <w:tcPr>
            <w:tcW w:type="dxa" w:w="5386"/>
            <w:tcMar>
              <w:top w:w="105" w:type="dxa"/>
              <w:start w:w="120" w:type="dxa"/>
              <w:bottom w:w="105" w:type="dxa"/>
              <w:end w:w="120" w:type="dxa"/>
            </w:tcMar>
            <w:vAlign w:val="center"/>
          </w:tcPr>
          <w:p>
            <w:pPr>
              <w:spacing w:after="0" w:line="252" w:lineRule="auto"/>
            </w:pPr>
            <w:r>
              <w:rPr>
                <w:rFonts w:ascii="Aptos" w:hAnsi="Aptos"/>
                <w:color w:val="120F0A"/>
                <w:sz w:val="18"/>
              </w:rPr>
              <w:t>Updates operating decisions within the agreement</w:t>
            </w:r>
          </w:p>
        </w:tc>
      </w:tr>
      <w:tr>
        <w:tc>
          <w:tcPr>
            <w:tcW w:type="dxa" w:w="737"/>
            <w:tcMar>
              <w:top w:w="105" w:type="dxa"/>
              <w:start w:w="120" w:type="dxa"/>
              <w:bottom w:w="105" w:type="dxa"/>
              <w:end w:w="120" w:type="dxa"/>
            </w:tcMar>
            <w:vAlign w:val="center"/>
            <w:shd w:fill="F8F3F1"/>
          </w:tcPr>
          <w:p>
            <w:pPr>
              <w:spacing w:after="0" w:line="252" w:lineRule="auto"/>
            </w:pPr>
            <w:r>
              <w:rPr>
                <w:rFonts w:ascii="Aptos" w:hAnsi="Aptos"/>
                <w:color w:val="120F0A"/>
                <w:sz w:val="18"/>
              </w:rPr>
              <w:t>4</w:t>
            </w:r>
          </w:p>
        </w:tc>
        <w:tc>
          <w:tcPr>
            <w:tcW w:type="dxa" w:w="3118"/>
            <w:tcMar>
              <w:top w:w="105" w:type="dxa"/>
              <w:start w:w="120" w:type="dxa"/>
              <w:bottom w:w="105" w:type="dxa"/>
              <w:end w:w="120" w:type="dxa"/>
            </w:tcMar>
            <w:vAlign w:val="center"/>
            <w:shd w:fill="F8F3F1"/>
          </w:tcPr>
          <w:p>
            <w:pPr>
              <w:spacing w:after="0" w:line="252" w:lineRule="auto"/>
            </w:pPr>
            <w:r>
              <w:rPr>
                <w:rFonts w:ascii="Aptos" w:hAnsi="Aptos"/>
                <w:color w:val="120F0A"/>
                <w:sz w:val="18"/>
              </w:rPr>
              <w:t>Board-approved Foundation policies</w:t>
            </w:r>
          </w:p>
        </w:tc>
        <w:tc>
          <w:tcPr>
            <w:tcW w:type="dxa" w:w="5386"/>
            <w:tcMar>
              <w:top w:w="105" w:type="dxa"/>
              <w:start w:w="120" w:type="dxa"/>
              <w:bottom w:w="105" w:type="dxa"/>
              <w:end w:w="120" w:type="dxa"/>
            </w:tcMar>
            <w:vAlign w:val="center"/>
            <w:shd w:fill="F8F3F1"/>
          </w:tcPr>
          <w:p>
            <w:pPr>
              <w:spacing w:after="0" w:line="252" w:lineRule="auto"/>
            </w:pPr>
            <w:r>
              <w:rPr>
                <w:rFonts w:ascii="Aptos" w:hAnsi="Aptos"/>
                <w:color w:val="120F0A"/>
                <w:sz w:val="18"/>
              </w:rPr>
              <w:t>Controls internal authority, finance, brand, and safeguarding</w:t>
            </w:r>
          </w:p>
        </w:tc>
      </w:tr>
      <w:tr>
        <w:tc>
          <w:tcPr>
            <w:tcW w:type="dxa" w:w="737"/>
            <w:tcMar>
              <w:top w:w="105" w:type="dxa"/>
              <w:start w:w="120" w:type="dxa"/>
              <w:bottom w:w="105" w:type="dxa"/>
              <w:end w:w="120" w:type="dxa"/>
            </w:tcMar>
            <w:vAlign w:val="center"/>
          </w:tcPr>
          <w:p>
            <w:pPr>
              <w:spacing w:after="0" w:line="252" w:lineRule="auto"/>
            </w:pPr>
            <w:r>
              <w:rPr>
                <w:rFonts w:ascii="Aptos" w:hAnsi="Aptos"/>
                <w:color w:val="120F0A"/>
                <w:sz w:val="18"/>
              </w:rPr>
              <w:t>5</w:t>
            </w:r>
          </w:p>
        </w:tc>
        <w:tc>
          <w:tcPr>
            <w:tcW w:type="dxa" w:w="3118"/>
            <w:tcMar>
              <w:top w:w="105" w:type="dxa"/>
              <w:start w:w="120" w:type="dxa"/>
              <w:bottom w:w="105" w:type="dxa"/>
              <w:end w:w="120" w:type="dxa"/>
            </w:tcMar>
            <w:vAlign w:val="center"/>
          </w:tcPr>
          <w:p>
            <w:pPr>
              <w:spacing w:after="0" w:line="252" w:lineRule="auto"/>
              <w:jc w:val="center"/>
            </w:pPr>
            <w:r>
              <w:rPr>
                <w:rFonts w:ascii="Aptos" w:hAnsi="Aptos"/>
                <w:color w:val="120F0A"/>
                <w:sz w:val="18"/>
              </w:rPr>
              <w:t>This playbook</w:t>
            </w:r>
          </w:p>
        </w:tc>
        <w:tc>
          <w:tcPr>
            <w:tcW w:type="dxa" w:w="5386"/>
            <w:tcMar>
              <w:top w:w="105" w:type="dxa"/>
              <w:start w:w="120" w:type="dxa"/>
              <w:bottom w:w="105" w:type="dxa"/>
              <w:end w:w="120" w:type="dxa"/>
            </w:tcMar>
            <w:vAlign w:val="center"/>
          </w:tcPr>
          <w:p>
            <w:pPr>
              <w:spacing w:after="0" w:line="252" w:lineRule="auto"/>
            </w:pPr>
            <w:r>
              <w:rPr>
                <w:rFonts w:ascii="Aptos" w:hAnsi="Aptos"/>
                <w:color w:val="120F0A"/>
                <w:sz w:val="18"/>
              </w:rPr>
              <w:t>Current internal operating source of truth</w:t>
            </w:r>
          </w:p>
        </w:tc>
      </w:tr>
      <w:tr>
        <w:tc>
          <w:tcPr>
            <w:tcW w:type="dxa" w:w="737"/>
            <w:tcMar>
              <w:top w:w="105" w:type="dxa"/>
              <w:start w:w="120" w:type="dxa"/>
              <w:bottom w:w="105" w:type="dxa"/>
              <w:end w:w="120" w:type="dxa"/>
            </w:tcMar>
            <w:vAlign w:val="center"/>
            <w:shd w:fill="F8F3F1"/>
          </w:tcPr>
          <w:p>
            <w:pPr>
              <w:spacing w:after="0" w:line="252" w:lineRule="auto"/>
            </w:pPr>
            <w:r>
              <w:rPr>
                <w:rFonts w:ascii="Aptos" w:hAnsi="Aptos"/>
                <w:color w:val="120F0A"/>
                <w:sz w:val="18"/>
              </w:rPr>
              <w:t>6</w:t>
            </w:r>
          </w:p>
        </w:tc>
        <w:tc>
          <w:tcPr>
            <w:tcW w:type="dxa" w:w="3118"/>
            <w:tcMar>
              <w:top w:w="105" w:type="dxa"/>
              <w:start w:w="120" w:type="dxa"/>
              <w:bottom w:w="105" w:type="dxa"/>
              <w:end w:w="120" w:type="dxa"/>
            </w:tcMar>
            <w:vAlign w:val="center"/>
            <w:shd w:fill="F8F3F1"/>
          </w:tcPr>
          <w:p>
            <w:pPr>
              <w:spacing w:after="0" w:line="252" w:lineRule="auto"/>
            </w:pPr>
            <w:r>
              <w:rPr>
                <w:rFonts w:ascii="Aptos" w:hAnsi="Aptos"/>
                <w:color w:val="120F0A"/>
                <w:sz w:val="18"/>
              </w:rPr>
              <w:t>Messages, call notes, and verbal instructions</w:t>
            </w:r>
          </w:p>
        </w:tc>
        <w:tc>
          <w:tcPr>
            <w:tcW w:type="dxa" w:w="5386"/>
            <w:tcMar>
              <w:top w:w="105" w:type="dxa"/>
              <w:start w:w="120" w:type="dxa"/>
              <w:bottom w:w="105" w:type="dxa"/>
              <w:end w:w="120" w:type="dxa"/>
            </w:tcMar>
            <w:vAlign w:val="center"/>
            <w:shd w:fill="F8F3F1"/>
          </w:tcPr>
          <w:p>
            <w:pPr>
              <w:spacing w:after="0" w:line="252" w:lineRule="auto"/>
            </w:pPr>
            <w:r>
              <w:rPr>
                <w:rFonts w:ascii="Aptos" w:hAnsi="Aptos"/>
                <w:color w:val="120F0A"/>
                <w:sz w:val="18"/>
              </w:rPr>
              <w:t>Useful evidence, but they cannot silently change the playbook</w:t>
            </w:r>
          </w:p>
        </w:tc>
      </w:tr>
    </w:tbl>
    <w:p>
      <w:pPr>
        <w:spacing w:after="20"/>
      </w:pPr>
    </w:p>
    <w:p>
      <w:pPr>
        <w:pStyle w:val="Heading2"/>
        <w:keepNext/>
      </w:pPr>
      <w:r>
        <w:t>Contents</w:t>
      </w:r>
    </w:p>
    <w:p>
      <w:pPr>
        <w:spacing w:after="80"/>
        <w:ind w:left="351" w:hanging="295"/>
      </w:pPr>
      <w:r>
        <w:rPr>
          <w:rFonts w:ascii="Aptos" w:hAnsi="Aptos"/>
          <w:color w:val="120F0A"/>
          <w:sz w:val="20"/>
        </w:rPr>
        <w:t>1.  The partnership in plain English</w:t>
      </w:r>
    </w:p>
    <w:p>
      <w:pPr>
        <w:spacing w:after="80"/>
        <w:ind w:left="351" w:hanging="295"/>
      </w:pPr>
      <w:r>
        <w:rPr>
          <w:rFonts w:ascii="Aptos" w:hAnsi="Aptos"/>
          <w:color w:val="120F0A"/>
          <w:sz w:val="20"/>
        </w:rPr>
        <w:t>2.  The programme model</w:t>
      </w:r>
    </w:p>
    <w:p>
      <w:pPr>
        <w:spacing w:after="80"/>
        <w:ind w:left="351" w:hanging="295"/>
      </w:pPr>
      <w:r>
        <w:rPr>
          <w:rFonts w:ascii="Aptos" w:hAnsi="Aptos"/>
          <w:color w:val="120F0A"/>
          <w:sz w:val="20"/>
        </w:rPr>
        <w:t>3.  The campaign calendar</w:t>
      </w:r>
    </w:p>
    <w:p>
      <w:pPr>
        <w:spacing w:after="80"/>
        <w:ind w:left="351" w:hanging="295"/>
      </w:pPr>
      <w:r>
        <w:rPr>
          <w:rFonts w:ascii="Aptos" w:hAnsi="Aptos"/>
          <w:color w:val="120F0A"/>
          <w:sz w:val="20"/>
        </w:rPr>
        <w:t>4.  The twelve city rollout</w:t>
      </w:r>
    </w:p>
    <w:p>
      <w:pPr>
        <w:spacing w:after="80"/>
        <w:ind w:left="351" w:hanging="295"/>
      </w:pPr>
      <w:r>
        <w:rPr>
          <w:rFonts w:ascii="Aptos" w:hAnsi="Aptos"/>
          <w:color w:val="120F0A"/>
          <w:sz w:val="20"/>
        </w:rPr>
        <w:t>5.  Participants and qualification</w:t>
      </w:r>
    </w:p>
    <w:p>
      <w:pPr>
        <w:spacing w:after="80"/>
        <w:ind w:left="351" w:hanging="295"/>
      </w:pPr>
      <w:r>
        <w:rPr>
          <w:rFonts w:ascii="Aptos" w:hAnsi="Aptos"/>
          <w:color w:val="120F0A"/>
          <w:sz w:val="20"/>
        </w:rPr>
        <w:t>6.  The sponsorship engine</w:t>
      </w:r>
    </w:p>
    <w:p>
      <w:pPr>
        <w:spacing w:after="80"/>
        <w:ind w:left="351" w:hanging="295"/>
      </w:pPr>
      <w:r>
        <w:rPr>
          <w:rFonts w:ascii="Aptos" w:hAnsi="Aptos"/>
          <w:color w:val="120F0A"/>
          <w:sz w:val="20"/>
        </w:rPr>
        <w:t>7.  The outreach machine</w:t>
      </w:r>
    </w:p>
    <w:p>
      <w:pPr>
        <w:spacing w:after="80"/>
        <w:ind w:left="351" w:hanging="295"/>
      </w:pPr>
      <w:r>
        <w:rPr>
          <w:rFonts w:ascii="Aptos" w:hAnsi="Aptos"/>
          <w:color w:val="120F0A"/>
          <w:sz w:val="20"/>
        </w:rPr>
        <w:t>8.  Commission rules</w:t>
      </w:r>
    </w:p>
    <w:p>
      <w:pPr>
        <w:spacing w:after="80"/>
        <w:ind w:left="351" w:hanging="295"/>
      </w:pPr>
      <w:r>
        <w:rPr>
          <w:rFonts w:ascii="Aptos" w:hAnsi="Aptos"/>
          <w:color w:val="120F0A"/>
          <w:sz w:val="20"/>
        </w:rPr>
        <w:t>9.  Content and public communication</w:t>
      </w:r>
    </w:p>
    <w:p>
      <w:pPr>
        <w:spacing w:after="80"/>
        <w:ind w:left="351" w:hanging="295"/>
      </w:pPr>
      <w:r>
        <w:rPr>
          <w:rFonts w:ascii="Aptos" w:hAnsi="Aptos"/>
          <w:color w:val="120F0A"/>
          <w:sz w:val="20"/>
        </w:rPr>
        <w:t>10.  Safeguarding and participant care</w:t>
      </w:r>
    </w:p>
    <w:p>
      <w:pPr>
        <w:spacing w:after="80"/>
        <w:ind w:left="351" w:hanging="295"/>
      </w:pPr>
      <w:r>
        <w:rPr>
          <w:rFonts w:ascii="Aptos" w:hAnsi="Aptos"/>
          <w:color w:val="120F0A"/>
          <w:sz w:val="20"/>
        </w:rPr>
        <w:t>11.  Money authority and records</w:t>
      </w:r>
    </w:p>
    <w:p>
      <w:pPr>
        <w:spacing w:after="80"/>
        <w:ind w:left="351" w:hanging="295"/>
      </w:pPr>
      <w:r>
        <w:rPr>
          <w:rFonts w:ascii="Aptos" w:hAnsi="Aptos"/>
          <w:color w:val="120F0A"/>
          <w:sz w:val="20"/>
        </w:rPr>
        <w:t>12.  Weekly control room</w:t>
      </w:r>
    </w:p>
    <w:p>
      <w:pPr>
        <w:spacing w:after="80"/>
        <w:ind w:left="351" w:hanging="295"/>
      </w:pPr>
      <w:r>
        <w:rPr>
          <w:rFonts w:ascii="Aptos" w:hAnsi="Aptos"/>
          <w:color w:val="120F0A"/>
          <w:sz w:val="20"/>
        </w:rPr>
        <w:t>13.  Known risks and failure modes</w:t>
      </w:r>
    </w:p>
    <w:p>
      <w:pPr>
        <w:spacing w:after="80"/>
        <w:ind w:left="351" w:hanging="295"/>
      </w:pPr>
      <w:r>
        <w:rPr>
          <w:rFonts w:ascii="Aptos" w:hAnsi="Aptos"/>
          <w:color w:val="120F0A"/>
          <w:sz w:val="20"/>
        </w:rPr>
        <w:t>14.  Decision register and working assumptions</w:t>
      </w:r>
    </w:p>
    <w:p>
      <w:pPr>
        <w:pStyle w:val="Heading2"/>
        <w:keepNext/>
      </w:pPr>
      <w:r>
        <w:t>Status language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268"/>
            <w:shd w:fill="97192C"/>
            <w:tcMar>
              <w:top w:w="115" w:type="dxa"/>
              <w:start w:w="120" w:type="dxa"/>
              <w:bottom w:w="115" w:type="dxa"/>
              <w:end w:w="120" w:type="dxa"/>
            </w:tcMar>
            <w:vAlign w:val="center"/>
          </w:tcPr>
          <w:p>
            <w:pPr>
              <w:spacing w:after="0"/>
              <w:jc w:val="center"/>
            </w:pPr>
            <w:r>
              <w:rPr>
                <w:rFonts w:ascii="Aptos" w:hAnsi="Aptos"/>
                <w:b/>
                <w:color w:val="FFFFFF"/>
                <w:sz w:val="18"/>
              </w:rPr>
              <w:t>Label</w:t>
            </w:r>
          </w:p>
        </w:tc>
        <w:tc>
          <w:tcPr>
            <w:tcW w:type="dxa" w:w="6973"/>
            <w:shd w:fill="97192C"/>
            <w:tcMar>
              <w:top w:w="115" w:type="dxa"/>
              <w:start w:w="120" w:type="dxa"/>
              <w:bottom w:w="115" w:type="dxa"/>
              <w:end w:w="120" w:type="dxa"/>
            </w:tcMar>
            <w:vAlign w:val="center"/>
          </w:tcPr>
          <w:p>
            <w:pPr>
              <w:spacing w:after="0"/>
              <w:jc w:val="center"/>
            </w:pPr>
            <w:r>
              <w:rPr>
                <w:rFonts w:ascii="Aptos" w:hAnsi="Aptos"/>
                <w:b/>
                <w:color w:val="FFFFFF"/>
                <w:sz w:val="18"/>
              </w:rPr>
              <w:t>Meaning</w:t>
            </w:r>
          </w:p>
        </w:tc>
      </w:tr>
      <w:tr>
        <w:tc>
          <w:tcPr>
            <w:tcW w:type="dxa" w:w="2268"/>
            <w:tcMar>
              <w:top w:w="105" w:type="dxa"/>
              <w:start w:w="120" w:type="dxa"/>
              <w:bottom w:w="105" w:type="dxa"/>
              <w:end w:w="120" w:type="dxa"/>
            </w:tcMar>
            <w:vAlign w:val="center"/>
          </w:tcPr>
          <w:p>
            <w:pPr>
              <w:spacing w:after="0" w:line="252" w:lineRule="auto"/>
            </w:pPr>
            <w:r>
              <w:rPr>
                <w:rFonts w:ascii="Aptos" w:hAnsi="Aptos"/>
                <w:color w:val="120F0A"/>
                <w:sz w:val="18"/>
              </w:rPr>
              <w:t>Fixed</w:t>
            </w:r>
          </w:p>
        </w:tc>
        <w:tc>
          <w:tcPr>
            <w:tcW w:type="dxa" w:w="6973"/>
            <w:tcMar>
              <w:top w:w="105" w:type="dxa"/>
              <w:start w:w="120" w:type="dxa"/>
              <w:bottom w:w="105" w:type="dxa"/>
              <w:end w:w="120" w:type="dxa"/>
            </w:tcMar>
            <w:vAlign w:val="center"/>
          </w:tcPr>
          <w:p>
            <w:pPr>
              <w:spacing w:after="0" w:line="252" w:lineRule="auto"/>
            </w:pPr>
            <w:r>
              <w:rPr>
                <w:rFonts w:ascii="Aptos" w:hAnsi="Aptos"/>
                <w:color w:val="120F0A"/>
                <w:sz w:val="18"/>
              </w:rPr>
              <w:t>Confirmed by the agreement or an approved campaign decision</w:t>
            </w:r>
          </w:p>
        </w:tc>
      </w:tr>
      <w:tr>
        <w:tc>
          <w:tcPr>
            <w:tcW w:type="dxa" w:w="2268"/>
            <w:tcMar>
              <w:top w:w="105" w:type="dxa"/>
              <w:start w:w="120" w:type="dxa"/>
              <w:bottom w:w="105" w:type="dxa"/>
              <w:end w:w="120" w:type="dxa"/>
            </w:tcMar>
            <w:vAlign w:val="center"/>
            <w:shd w:fill="F8F3F1"/>
          </w:tcPr>
          <w:p>
            <w:pPr>
              <w:spacing w:after="0" w:line="252" w:lineRule="auto"/>
            </w:pPr>
            <w:r>
              <w:rPr>
                <w:rFonts w:ascii="Aptos" w:hAnsi="Aptos"/>
                <w:color w:val="120F0A"/>
                <w:sz w:val="18"/>
              </w:rPr>
              <w:t>Working plan</w:t>
            </w:r>
          </w:p>
        </w:tc>
        <w:tc>
          <w:tcPr>
            <w:tcW w:type="dxa" w:w="6973"/>
            <w:tcMar>
              <w:top w:w="105" w:type="dxa"/>
              <w:start w:w="120" w:type="dxa"/>
              <w:bottom w:w="105" w:type="dxa"/>
              <w:end w:w="120" w:type="dxa"/>
            </w:tcMar>
            <w:vAlign w:val="center"/>
            <w:shd w:fill="F8F3F1"/>
          </w:tcPr>
          <w:p>
            <w:pPr>
              <w:spacing w:after="0" w:line="252" w:lineRule="auto"/>
            </w:pPr>
            <w:r>
              <w:rPr>
                <w:rFonts w:ascii="Aptos" w:hAnsi="Aptos"/>
                <w:color w:val="120F0A"/>
                <w:sz w:val="18"/>
              </w:rPr>
              <w:t>The current direction, still subject to operational confirmation</w:t>
            </w:r>
          </w:p>
        </w:tc>
      </w:tr>
      <w:tr>
        <w:tc>
          <w:tcPr>
            <w:tcW w:type="dxa" w:w="2268"/>
            <w:tcMar>
              <w:top w:w="105" w:type="dxa"/>
              <w:start w:w="120" w:type="dxa"/>
              <w:bottom w:w="105" w:type="dxa"/>
              <w:end w:w="120" w:type="dxa"/>
            </w:tcMar>
            <w:vAlign w:val="center"/>
          </w:tcPr>
          <w:p>
            <w:pPr>
              <w:spacing w:after="0" w:line="252" w:lineRule="auto"/>
            </w:pPr>
            <w:r>
              <w:rPr>
                <w:rFonts w:ascii="Aptos" w:hAnsi="Aptos"/>
                <w:color w:val="120F0A"/>
                <w:sz w:val="18"/>
              </w:rPr>
              <w:t>Open decision</w:t>
            </w:r>
          </w:p>
        </w:tc>
        <w:tc>
          <w:tcPr>
            <w:tcW w:type="dxa" w:w="6973"/>
            <w:tcMar>
              <w:top w:w="105" w:type="dxa"/>
              <w:start w:w="120" w:type="dxa"/>
              <w:bottom w:w="105" w:type="dxa"/>
              <w:end w:w="120" w:type="dxa"/>
            </w:tcMar>
            <w:vAlign w:val="center"/>
          </w:tcPr>
          <w:p>
            <w:pPr>
              <w:spacing w:after="0" w:line="252" w:lineRule="auto"/>
            </w:pPr>
            <w:r>
              <w:rPr>
                <w:rFonts w:ascii="Aptos" w:hAnsi="Aptos"/>
                <w:color w:val="120F0A"/>
                <w:sz w:val="18"/>
              </w:rPr>
              <w:t>No answer has been approved yet</w:t>
            </w:r>
          </w:p>
        </w:tc>
      </w:tr>
      <w:tr>
        <w:tc>
          <w:tcPr>
            <w:tcW w:type="dxa" w:w="2268"/>
            <w:tcMar>
              <w:top w:w="105" w:type="dxa"/>
              <w:start w:w="120" w:type="dxa"/>
              <w:bottom w:w="105" w:type="dxa"/>
              <w:end w:w="120" w:type="dxa"/>
            </w:tcMar>
            <w:vAlign w:val="center"/>
            <w:shd w:fill="F8F3F1"/>
          </w:tcPr>
          <w:p>
            <w:pPr>
              <w:spacing w:after="0" w:line="252" w:lineRule="auto"/>
            </w:pPr>
            <w:r>
              <w:rPr>
                <w:rFonts w:ascii="Aptos" w:hAnsi="Aptos"/>
                <w:color w:val="120F0A"/>
                <w:sz w:val="18"/>
              </w:rPr>
              <w:t>Needs written confirmation</w:t>
            </w:r>
          </w:p>
        </w:tc>
        <w:tc>
          <w:tcPr>
            <w:tcW w:type="dxa" w:w="6973"/>
            <w:tcMar>
              <w:top w:w="105" w:type="dxa"/>
              <w:start w:w="120" w:type="dxa"/>
              <w:bottom w:w="105" w:type="dxa"/>
              <w:end w:w="120" w:type="dxa"/>
            </w:tcMar>
            <w:vAlign w:val="center"/>
            <w:shd w:fill="F8F3F1"/>
          </w:tcPr>
          <w:p>
            <w:pPr>
              <w:spacing w:after="0" w:line="252" w:lineRule="auto"/>
            </w:pPr>
            <w:r>
              <w:rPr>
                <w:rFonts w:ascii="Aptos" w:hAnsi="Aptos"/>
                <w:color w:val="120F0A"/>
                <w:sz w:val="18"/>
              </w:rPr>
              <w:t>The team has a working interpretation that must be confirmed before it is promised or applied</w:t>
            </w:r>
          </w:p>
        </w:tc>
      </w:tr>
    </w:tbl>
    <w:p>
      <w:pPr>
        <w:pageBreakBefore/>
        <w:spacing w:after="100"/>
      </w:pPr>
      <w:r>
        <w:rPr>
          <w:rFonts w:ascii="Aptos" w:hAnsi="Aptos"/>
          <w:b/>
          <w:color w:val="97192C"/>
          <w:sz w:val="17"/>
        </w:rPr>
        <w:t>PARTNERSHIP</w:t>
      </w:r>
    </w:p>
    <w:p>
      <w:pPr>
        <w:pStyle w:val="Heading1"/>
        <w:keepNext/>
      </w:pPr>
      <w:r>
        <w:t>The partnership in plain English</w:t>
      </w:r>
    </w:p>
    <w:p>
      <w:pPr>
        <w:spacing w:after="120" w:line="269" w:lineRule="auto"/>
      </w:pPr>
      <w:r>
        <w:rPr>
          <w:rFonts w:ascii="Aptos" w:hAnsi="Aptos"/>
          <w:i w:val="0"/>
          <w:color w:val="120F0A"/>
          <w:sz w:val="21"/>
        </w:rPr>
        <w:t>Techfest IIT Bombay is the Lead Organiser and GOBITSNBYTES FOUNDATION is the Co Organiser for the 30th edition. The parties remain independent entities. The agreement creates a contractual collaboration for this event; it does not create a legal partnership, employment relationship, agency, or joint venture.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Workstream</w:t>
            </w:r>
          </w:p>
        </w:tc>
        <w:tc>
          <w:tcPr>
            <w:tcW w:type="dxa" w:w="3713"/>
            <w:shd w:fill="97192C"/>
            <w:tcMar>
              <w:top w:w="115" w:type="dxa"/>
              <w:start w:w="120" w:type="dxa"/>
              <w:bottom w:w="115" w:type="dxa"/>
              <w:end w:w="120" w:type="dxa"/>
            </w:tcMar>
            <w:vAlign w:val="center"/>
          </w:tcPr>
          <w:p>
            <w:pPr>
              <w:spacing w:after="0"/>
              <w:jc w:val="center"/>
            </w:pPr>
            <w:r>
              <w:rPr>
                <w:rFonts w:ascii="Aptos" w:hAnsi="Aptos"/>
                <w:b/>
                <w:color w:val="FFFFFF"/>
                <w:sz w:val="18"/>
              </w:rPr>
              <w:t>Techfest leads</w:t>
            </w:r>
          </w:p>
        </w:tc>
        <w:tc>
          <w:tcPr>
            <w:tcW w:type="dxa" w:w="3713"/>
            <w:shd w:fill="97192C"/>
            <w:tcMar>
              <w:top w:w="115" w:type="dxa"/>
              <w:start w:w="120" w:type="dxa"/>
              <w:bottom w:w="115" w:type="dxa"/>
              <w:end w:w="120" w:type="dxa"/>
            </w:tcMar>
            <w:vAlign w:val="center"/>
          </w:tcPr>
          <w:p>
            <w:pPr>
              <w:spacing w:after="0"/>
              <w:jc w:val="center"/>
            </w:pPr>
            <w:r>
              <w:rPr>
                <w:rFonts w:ascii="Aptos" w:hAnsi="Aptos"/>
                <w:b/>
                <w:color w:val="FFFFFF"/>
                <w:sz w:val="18"/>
              </w:rPr>
              <w:t>bits&amp;bytes™ leads</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7"/>
              </w:rPr>
              <w:t>Venue and infrastructure</w:t>
            </w:r>
          </w:p>
        </w:tc>
        <w:tc>
          <w:tcPr>
            <w:tcW w:type="dxa" w:w="3713"/>
            <w:tcMar>
              <w:top w:w="105" w:type="dxa"/>
              <w:start w:w="120" w:type="dxa"/>
              <w:bottom w:w="105" w:type="dxa"/>
              <w:end w:w="120" w:type="dxa"/>
            </w:tcMar>
            <w:vAlign w:val="center"/>
          </w:tcPr>
          <w:p>
            <w:pPr>
              <w:spacing w:after="0" w:line="252" w:lineRule="auto"/>
            </w:pPr>
            <w:r>
              <w:rPr>
                <w:rFonts w:ascii="Aptos" w:hAnsi="Aptos"/>
                <w:color w:val="120F0A"/>
                <w:sz w:val="17"/>
              </w:rPr>
              <w:t>IIT Bombay permissions, SAC venues, security, network, power, staging, and audiovisual logistics</w:t>
            </w:r>
          </w:p>
        </w:tc>
        <w:tc>
          <w:tcPr>
            <w:tcW w:type="dxa" w:w="3713"/>
            <w:tcMar>
              <w:top w:w="105" w:type="dxa"/>
              <w:start w:w="120" w:type="dxa"/>
              <w:bottom w:w="105" w:type="dxa"/>
              <w:end w:w="120" w:type="dxa"/>
            </w:tcMar>
            <w:vAlign w:val="center"/>
          </w:tcPr>
          <w:p>
            <w:pPr>
              <w:spacing w:after="0" w:line="252" w:lineRule="auto"/>
            </w:pPr>
            <w:r>
              <w:rPr>
                <w:rFonts w:ascii="Aptos" w:hAnsi="Aptos"/>
                <w:color w:val="120F0A"/>
                <w:sz w:val="17"/>
              </w:rPr>
              <w:t>Technical requirements for hackathon booths, power, and presentations</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7"/>
              </w:rPr>
              <w:t>Outreach</w:t>
            </w:r>
          </w:p>
        </w:tc>
        <w:tc>
          <w:tcPr>
            <w:tcW w:type="dxa" w:w="3713"/>
            <w:tcMar>
              <w:top w:w="105" w:type="dxa"/>
              <w:start w:w="120" w:type="dxa"/>
              <w:bottom w:w="105" w:type="dxa"/>
              <w:end w:w="120" w:type="dxa"/>
            </w:tcMar>
            <w:vAlign w:val="center"/>
            <w:shd w:fill="F8F3F1"/>
          </w:tcPr>
          <w:p>
            <w:pPr>
              <w:spacing w:after="0" w:line="252" w:lineRule="auto"/>
            </w:pPr>
            <w:r>
              <w:rPr>
                <w:rFonts w:ascii="Aptos" w:hAnsi="Aptos"/>
                <w:color w:val="120F0A"/>
                <w:sz w:val="17"/>
              </w:rPr>
              <w:t>College ambassador network and national festival channels</w:t>
            </w:r>
          </w:p>
        </w:tc>
        <w:tc>
          <w:tcPr>
            <w:tcW w:type="dxa" w:w="3713"/>
            <w:tcMar>
              <w:top w:w="105" w:type="dxa"/>
              <w:start w:w="120" w:type="dxa"/>
              <w:bottom w:w="105" w:type="dxa"/>
              <w:end w:w="120" w:type="dxa"/>
            </w:tcMar>
            <w:vAlign w:val="center"/>
            <w:shd w:fill="F8F3F1"/>
          </w:tcPr>
          <w:p>
            <w:pPr>
              <w:spacing w:after="0" w:line="252" w:lineRule="auto"/>
            </w:pPr>
            <w:r>
              <w:rPr>
                <w:rFonts w:ascii="Aptos" w:hAnsi="Aptos"/>
                <w:color w:val="120F0A"/>
                <w:sz w:val="17"/>
              </w:rPr>
              <w:t>Teen and student builder mobilisation, communities, social campaigns, and registration drives</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7"/>
              </w:rPr>
              <w:t>Sponsorship</w:t>
            </w:r>
          </w:p>
        </w:tc>
        <w:tc>
          <w:tcPr>
            <w:tcW w:type="dxa" w:w="3713"/>
            <w:tcMar>
              <w:top w:w="105" w:type="dxa"/>
              <w:start w:w="120" w:type="dxa"/>
              <w:bottom w:w="105" w:type="dxa"/>
              <w:end w:w="120" w:type="dxa"/>
            </w:tcMar>
            <w:vAlign w:val="center"/>
          </w:tcPr>
          <w:p>
            <w:pPr>
              <w:spacing w:after="0" w:line="252" w:lineRule="auto"/>
            </w:pPr>
            <w:r>
              <w:rPr>
                <w:rFonts w:ascii="Aptos" w:hAnsi="Aptos"/>
                <w:color w:val="120F0A"/>
                <w:sz w:val="17"/>
              </w:rPr>
              <w:t>Title sponsors, enterprise brands, institutional partners, and general festival funding</w:t>
            </w:r>
          </w:p>
        </w:tc>
        <w:tc>
          <w:tcPr>
            <w:tcW w:type="dxa" w:w="3713"/>
            <w:tcMar>
              <w:top w:w="105" w:type="dxa"/>
              <w:start w:w="120" w:type="dxa"/>
              <w:bottom w:w="105" w:type="dxa"/>
              <w:end w:w="120" w:type="dxa"/>
            </w:tcMar>
            <w:vAlign w:val="center"/>
          </w:tcPr>
          <w:p>
            <w:pPr>
              <w:spacing w:after="0" w:line="252" w:lineRule="auto"/>
            </w:pPr>
            <w:r>
              <w:rPr>
                <w:rFonts w:ascii="Aptos" w:hAnsi="Aptos"/>
                <w:color w:val="120F0A"/>
                <w:sz w:val="17"/>
              </w:rPr>
              <w:t>Developer tools, AI and cloud infrastructure, hardware, student kits, and track prize pools</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7"/>
              </w:rPr>
              <w:t>Technical programme</w:t>
            </w:r>
          </w:p>
        </w:tc>
        <w:tc>
          <w:tcPr>
            <w:tcW w:type="dxa" w:w="3713"/>
            <w:tcMar>
              <w:top w:w="105" w:type="dxa"/>
              <w:start w:w="120" w:type="dxa"/>
              <w:bottom w:w="105" w:type="dxa"/>
              <w:end w:w="120" w:type="dxa"/>
            </w:tcMar>
            <w:vAlign w:val="center"/>
            <w:shd w:fill="F8F3F1"/>
          </w:tcPr>
          <w:p>
            <w:pPr>
              <w:spacing w:after="0" w:line="252" w:lineRule="auto"/>
            </w:pPr>
            <w:r>
              <w:rPr>
                <w:rFonts w:ascii="Aptos" w:hAnsi="Aptos"/>
                <w:color w:val="120F0A"/>
                <w:sz w:val="17"/>
              </w:rPr>
              <w:t>Festival schedule integration and main stage coordination</w:t>
            </w:r>
          </w:p>
        </w:tc>
        <w:tc>
          <w:tcPr>
            <w:tcW w:type="dxa" w:w="3713"/>
            <w:tcMar>
              <w:top w:w="105" w:type="dxa"/>
              <w:start w:w="120" w:type="dxa"/>
              <w:bottom w:w="105" w:type="dxa"/>
              <w:end w:w="120" w:type="dxa"/>
            </w:tcMar>
            <w:vAlign w:val="center"/>
            <w:shd w:fill="F8F3F1"/>
          </w:tcPr>
          <w:p>
            <w:pPr>
              <w:spacing w:after="0" w:line="252" w:lineRule="auto"/>
            </w:pPr>
            <w:r>
              <w:rPr>
                <w:rFonts w:ascii="Aptos" w:hAnsi="Aptos"/>
                <w:color w:val="120F0A"/>
                <w:sz w:val="17"/>
              </w:rPr>
              <w:t>Problem statements, tracks, workshops, judging rubrics, cohorts, and mentors</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7"/>
              </w:rPr>
              <w:t>Zonal programme</w:t>
            </w:r>
          </w:p>
        </w:tc>
        <w:tc>
          <w:tcPr>
            <w:tcW w:type="dxa" w:w="3713"/>
            <w:tcMar>
              <w:top w:w="105" w:type="dxa"/>
              <w:start w:w="120" w:type="dxa"/>
              <w:bottom w:w="105" w:type="dxa"/>
              <w:end w:w="120" w:type="dxa"/>
            </w:tcMar>
            <w:vAlign w:val="center"/>
          </w:tcPr>
          <w:p>
            <w:pPr>
              <w:spacing w:after="0" w:line="252" w:lineRule="auto"/>
            </w:pPr>
            <w:r>
              <w:rPr>
                <w:rFonts w:ascii="Aptos" w:hAnsi="Aptos"/>
                <w:color w:val="120F0A"/>
                <w:sz w:val="17"/>
              </w:rPr>
              <w:t>Institutional coordination with regional host colleges</w:t>
            </w:r>
          </w:p>
        </w:tc>
        <w:tc>
          <w:tcPr>
            <w:tcW w:type="dxa" w:w="3713"/>
            <w:tcMar>
              <w:top w:w="105" w:type="dxa"/>
              <w:start w:w="120" w:type="dxa"/>
              <w:bottom w:w="105" w:type="dxa"/>
              <w:end w:w="120" w:type="dxa"/>
            </w:tcMar>
            <w:vAlign w:val="center"/>
          </w:tcPr>
          <w:p>
            <w:pPr>
              <w:spacing w:after="0" w:line="252" w:lineRule="auto"/>
            </w:pPr>
            <w:r>
              <w:rPr>
                <w:rFonts w:ascii="Aptos" w:hAnsi="Aptos"/>
                <w:color w:val="120F0A"/>
                <w:sz w:val="17"/>
              </w:rPr>
              <w:t>On-ground execution, workshops, qualification, and regional judging</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7"/>
              </w:rPr>
              <w:t>Finalist experience</w:t>
            </w:r>
          </w:p>
        </w:tc>
        <w:tc>
          <w:tcPr>
            <w:tcW w:type="dxa" w:w="3713"/>
            <w:tcMar>
              <w:top w:w="105" w:type="dxa"/>
              <w:start w:w="120" w:type="dxa"/>
              <w:bottom w:w="105" w:type="dxa"/>
              <w:end w:w="120" w:type="dxa"/>
            </w:tcMar>
            <w:vAlign w:val="center"/>
            <w:shd w:fill="F8F3F1"/>
          </w:tcPr>
          <w:p>
            <w:pPr>
              <w:spacing w:after="0" w:line="252" w:lineRule="auto"/>
            </w:pPr>
            <w:r>
              <w:rPr>
                <w:rFonts w:ascii="Aptos" w:hAnsi="Aptos"/>
                <w:color w:val="120F0A"/>
                <w:sz w:val="17"/>
              </w:rPr>
              <w:t>Campus hospitality, access, accommodation logistics, and ushering</w:t>
            </w:r>
          </w:p>
        </w:tc>
        <w:tc>
          <w:tcPr>
            <w:tcW w:type="dxa" w:w="3713"/>
            <w:tcMar>
              <w:top w:w="105" w:type="dxa"/>
              <w:start w:w="120" w:type="dxa"/>
              <w:bottom w:w="105" w:type="dxa"/>
              <w:end w:w="120" w:type="dxa"/>
            </w:tcMar>
            <w:vAlign w:val="center"/>
            <w:shd w:fill="F8F3F1"/>
          </w:tcPr>
          <w:p>
            <w:pPr>
              <w:spacing w:after="0" w:line="252" w:lineRule="auto"/>
            </w:pPr>
            <w:r>
              <w:rPr>
                <w:rFonts w:ascii="Aptos" w:hAnsi="Aptos"/>
                <w:color w:val="120F0A"/>
                <w:sz w:val="17"/>
              </w:rPr>
              <w:t>Technical judges, mentors, submissions, evaluation, and live mentoring</w:t>
            </w:r>
          </w:p>
        </w:tc>
      </w:tr>
    </w:tbl>
    <w:p>
      <w:pPr>
        <w:spacing w:after="20"/>
      </w:pPr>
    </w:p>
    <w:p>
      <w:pPr>
        <w:pStyle w:val="Heading2"/>
        <w:keepNext/>
      </w:pPr>
      <w:r>
        <w:t>What requires joint written approval</w:t>
      </w:r>
    </w:p>
    <w:p>
      <w:pPr>
        <w:pStyle w:val="ListBullet"/>
        <w:spacing w:after="60" w:line="259" w:lineRule="auto"/>
      </w:pPr>
      <w:r>
        <w:rPr>
          <w:rFonts w:ascii="Aptos" w:hAnsi="Aptos"/>
          <w:color w:val="120F0A"/>
          <w:sz w:val="20"/>
        </w:rPr>
        <w:t>Material budget changes, venue changes, date changes, sponsor additions or removals with strategic significance, and substantial changes to the agreed plan.</w:t>
      </w:r>
    </w:p>
    <w:p>
      <w:pPr>
        <w:pStyle w:val="ListBullet"/>
        <w:spacing w:after="60" w:line="259" w:lineRule="auto"/>
      </w:pPr>
      <w:r>
        <w:rPr>
          <w:rFonts w:ascii="Aptos" w:hAnsi="Aptos"/>
          <w:color w:val="120F0A"/>
          <w:sz w:val="20"/>
        </w:rPr>
        <w:t>Financial obligations above ₹25,000 unless the spend is already covered by a jointly approved budget line.</w:t>
      </w:r>
    </w:p>
    <w:p>
      <w:pPr>
        <w:pStyle w:val="ListBullet"/>
        <w:spacing w:after="60" w:line="259" w:lineRule="auto"/>
      </w:pPr>
      <w:r>
        <w:rPr>
          <w:rFonts w:ascii="Aptos" w:hAnsi="Aptos"/>
          <w:color w:val="120F0A"/>
          <w:sz w:val="20"/>
        </w:rPr>
        <w:t>Co-branded public announcements and sponsor commitments that affect the other party's scope, cost, reputation, or legal obligations.</w:t>
      </w:r>
    </w:p>
    <w:p>
      <w:pPr>
        <w:spacing w:after="120" w:line="269" w:lineRule="auto"/>
      </w:pPr>
      <w:r>
        <w:rPr>
          <w:rFonts w:ascii="Aptos" w:hAnsi="Aptos"/>
          <w:i w:val="0"/>
          <w:color w:val="120F0A"/>
          <w:sz w:val="21"/>
        </w:rPr>
        <w:t>Operational work inside an approved lane can move without asking both parties about every small choice. When ownership is unclear, check Schedule 1 first, then the latest written joint decision.</w:t>
      </w:r>
    </w:p>
    <w:p>
      <w:pPr>
        <w:pStyle w:val="Heading2"/>
        <w:keepNext/>
      </w:pPr>
      <w:r>
        <w:t>What contributors cannot do</w:t>
      </w:r>
    </w:p>
    <w:p>
      <w:pPr>
        <w:pStyle w:val="ListBullet"/>
        <w:spacing w:after="60" w:line="259" w:lineRule="auto"/>
      </w:pPr>
      <w:r>
        <w:rPr>
          <w:rFonts w:ascii="Aptos" w:hAnsi="Aptos"/>
          <w:color w:val="120F0A"/>
          <w:sz w:val="20"/>
        </w:rPr>
        <w:t>Bind either organisation, sign contracts, or imply that a volunteer title creates legal authority.</w:t>
      </w:r>
    </w:p>
    <w:p>
      <w:pPr>
        <w:pStyle w:val="ListBullet"/>
        <w:spacing w:after="60" w:line="259" w:lineRule="auto"/>
      </w:pPr>
      <w:r>
        <w:rPr>
          <w:rFonts w:ascii="Aptos" w:hAnsi="Aptos"/>
          <w:color w:val="120F0A"/>
          <w:sz w:val="20"/>
        </w:rPr>
        <w:t>Promise sponsor benefits, money, dates, venues, publicity, participant data, or exclusivity outside an approved package.</w:t>
      </w:r>
    </w:p>
    <w:p>
      <w:pPr>
        <w:pStyle w:val="ListBullet"/>
        <w:spacing w:after="60" w:line="259" w:lineRule="auto"/>
      </w:pPr>
      <w:r>
        <w:rPr>
          <w:rFonts w:ascii="Aptos" w:hAnsi="Aptos"/>
          <w:color w:val="120F0A"/>
          <w:sz w:val="20"/>
        </w:rPr>
        <w:t>Collect or route funds through personal bank accounts, personal UPI IDs, wallets, or cash.</w:t>
      </w:r>
    </w:p>
    <w:p>
      <w:pPr>
        <w:pStyle w:val="ListBullet"/>
        <w:spacing w:after="60" w:line="259" w:lineRule="auto"/>
      </w:pPr>
      <w:r>
        <w:rPr>
          <w:rFonts w:ascii="Aptos" w:hAnsi="Aptos"/>
          <w:color w:val="120F0A"/>
          <w:sz w:val="20"/>
        </w:rPr>
        <w:t>Publish a strategic announcement before the required approval is recorded.</w:t>
      </w:r>
    </w:p>
    <w:p>
      <w:pPr>
        <w:pageBreakBefore/>
        <w:spacing w:after="100"/>
      </w:pPr>
      <w:r>
        <w:rPr>
          <w:rFonts w:ascii="Aptos" w:hAnsi="Aptos"/>
          <w:b/>
          <w:color w:val="97192C"/>
          <w:sz w:val="17"/>
        </w:rPr>
        <w:t>PROGRAMME</w:t>
      </w:r>
    </w:p>
    <w:p>
      <w:pPr>
        <w:pStyle w:val="Heading1"/>
        <w:keepNext/>
      </w:pPr>
      <w:r>
        <w:t>Three formats for twelve different city realities</w:t>
      </w:r>
    </w:p>
    <w:p>
      <w:pPr>
        <w:spacing w:after="120" w:line="269" w:lineRule="auto"/>
      </w:pPr>
      <w:r>
        <w:rPr>
          <w:rFonts w:ascii="Aptos" w:hAnsi="Aptos"/>
          <w:i w:val="0"/>
          <w:color w:val="120F0A"/>
          <w:sz w:val="21"/>
        </w:rPr>
        <w:t>The campaign has one identity and three possible zonal formats. A city does not earn status by running longer. The format should follow the venue, participant experience, budget, programme depth, and safeguarding readiness.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098"/>
            <w:shd w:fill="97192C"/>
            <w:tcMar>
              <w:top w:w="115" w:type="dxa"/>
              <w:start w:w="120" w:type="dxa"/>
              <w:bottom w:w="115" w:type="dxa"/>
              <w:end w:w="120" w:type="dxa"/>
            </w:tcMar>
            <w:vAlign w:val="center"/>
          </w:tcPr>
          <w:p>
            <w:pPr>
              <w:spacing w:after="0"/>
              <w:jc w:val="center"/>
            </w:pPr>
            <w:r>
              <w:rPr>
                <w:rFonts w:ascii="Aptos" w:hAnsi="Aptos"/>
                <w:b/>
                <w:color w:val="FFFFFF"/>
                <w:sz w:val="18"/>
              </w:rPr>
              <w:t>Format</w:t>
            </w:r>
          </w:p>
        </w:tc>
        <w:tc>
          <w:tcPr>
            <w:tcW w:type="dxa" w:w="1247"/>
            <w:shd w:fill="97192C"/>
            <w:tcMar>
              <w:top w:w="115" w:type="dxa"/>
              <w:start w:w="120" w:type="dxa"/>
              <w:bottom w:w="115" w:type="dxa"/>
              <w:end w:w="120" w:type="dxa"/>
            </w:tcMar>
            <w:vAlign w:val="center"/>
          </w:tcPr>
          <w:p>
            <w:pPr>
              <w:spacing w:after="0"/>
              <w:jc w:val="center"/>
            </w:pPr>
            <w:r>
              <w:rPr>
                <w:rFonts w:ascii="Aptos" w:hAnsi="Aptos"/>
                <w:b/>
                <w:color w:val="FFFFFF"/>
                <w:sz w:val="18"/>
              </w:rPr>
              <w:t>Duration</w:t>
            </w:r>
          </w:p>
        </w:tc>
        <w:tc>
          <w:tcPr>
            <w:tcW w:type="dxa" w:w="2721"/>
            <w:shd w:fill="97192C"/>
            <w:tcMar>
              <w:top w:w="115" w:type="dxa"/>
              <w:start w:w="120" w:type="dxa"/>
              <w:bottom w:w="115" w:type="dxa"/>
              <w:end w:w="120" w:type="dxa"/>
            </w:tcMar>
            <w:vAlign w:val="center"/>
          </w:tcPr>
          <w:p>
            <w:pPr>
              <w:spacing w:after="0"/>
              <w:jc w:val="center"/>
            </w:pPr>
            <w:r>
              <w:rPr>
                <w:rFonts w:ascii="Aptos" w:hAnsi="Aptos"/>
                <w:b/>
                <w:color w:val="FFFFFF"/>
                <w:sz w:val="18"/>
              </w:rPr>
              <w:t>Use when</w:t>
            </w:r>
          </w:p>
        </w:tc>
        <w:tc>
          <w:tcPr>
            <w:tcW w:type="dxa" w:w="3175"/>
            <w:shd w:fill="97192C"/>
            <w:tcMar>
              <w:top w:w="115" w:type="dxa"/>
              <w:start w:w="120" w:type="dxa"/>
              <w:bottom w:w="115" w:type="dxa"/>
              <w:end w:w="120" w:type="dxa"/>
            </w:tcMar>
            <w:vAlign w:val="center"/>
          </w:tcPr>
          <w:p>
            <w:pPr>
              <w:spacing w:after="0"/>
              <w:jc w:val="center"/>
            </w:pPr>
            <w:r>
              <w:rPr>
                <w:rFonts w:ascii="Aptos" w:hAnsi="Aptos"/>
                <w:b/>
                <w:color w:val="FFFFFF"/>
                <w:sz w:val="18"/>
              </w:rPr>
              <w:t>Minimum operating condition</w:t>
            </w:r>
          </w:p>
        </w:tc>
      </w:tr>
      <w:tr>
        <w:tc>
          <w:tcPr>
            <w:tcW w:type="dxa" w:w="2098"/>
            <w:tcMar>
              <w:top w:w="105" w:type="dxa"/>
              <w:start w:w="120" w:type="dxa"/>
              <w:bottom w:w="105" w:type="dxa"/>
              <w:end w:w="120" w:type="dxa"/>
            </w:tcMar>
            <w:vAlign w:val="center"/>
          </w:tcPr>
          <w:p>
            <w:pPr>
              <w:spacing w:after="0" w:line="252" w:lineRule="auto"/>
            </w:pPr>
            <w:r>
              <w:rPr>
                <w:rFonts w:ascii="Aptos" w:hAnsi="Aptos"/>
                <w:color w:val="120F0A"/>
                <w:sz w:val="16"/>
              </w:rPr>
              <w:t>bits&amp;bytes™ Originals Mini</w:t>
            </w:r>
          </w:p>
        </w:tc>
        <w:tc>
          <w:tcPr>
            <w:tcW w:type="dxa" w:w="1247"/>
            <w:tcMar>
              <w:top w:w="105" w:type="dxa"/>
              <w:start w:w="120" w:type="dxa"/>
              <w:bottom w:w="105" w:type="dxa"/>
              <w:end w:w="120" w:type="dxa"/>
            </w:tcMar>
            <w:vAlign w:val="center"/>
          </w:tcPr>
          <w:p>
            <w:pPr>
              <w:spacing w:after="0" w:line="252" w:lineRule="auto"/>
              <w:jc w:val="center"/>
            </w:pPr>
            <w:r>
              <w:rPr>
                <w:rFonts w:ascii="Aptos" w:hAnsi="Aptos"/>
                <w:color w:val="120F0A"/>
                <w:sz w:val="16"/>
              </w:rPr>
              <w:t>8 to 12 hours</w:t>
            </w:r>
          </w:p>
        </w:tc>
        <w:tc>
          <w:tcPr>
            <w:tcW w:type="dxa" w:w="2721"/>
            <w:tcMar>
              <w:top w:w="105" w:type="dxa"/>
              <w:start w:w="120" w:type="dxa"/>
              <w:bottom w:w="105" w:type="dxa"/>
              <w:end w:w="120" w:type="dxa"/>
            </w:tcMar>
            <w:vAlign w:val="center"/>
          </w:tcPr>
          <w:p>
            <w:pPr>
              <w:spacing w:after="0" w:line="252" w:lineRule="auto"/>
            </w:pPr>
            <w:r>
              <w:rPr>
                <w:rFonts w:ascii="Aptos" w:hAnsi="Aptos"/>
                <w:color w:val="120F0A"/>
                <w:sz w:val="16"/>
              </w:rPr>
              <w:t>A city needs a compact build day or cannot safely support overnight participation</w:t>
            </w:r>
          </w:p>
        </w:tc>
        <w:tc>
          <w:tcPr>
            <w:tcW w:type="dxa" w:w="3175"/>
            <w:tcMar>
              <w:top w:w="105" w:type="dxa"/>
              <w:start w:w="120" w:type="dxa"/>
              <w:bottom w:w="105" w:type="dxa"/>
              <w:end w:w="120" w:type="dxa"/>
            </w:tcMar>
            <w:vAlign w:val="center"/>
          </w:tcPr>
          <w:p>
            <w:pPr>
              <w:spacing w:after="0" w:line="252" w:lineRule="auto"/>
            </w:pPr>
            <w:r>
              <w:rPr>
                <w:rFonts w:ascii="Aptos" w:hAnsi="Aptos"/>
                <w:color w:val="120F0A"/>
                <w:sz w:val="16"/>
              </w:rPr>
              <w:t>A complete challenge, judging flow, adult supervision, guardian and media consent, and a safe arrival and departure plan</w:t>
            </w:r>
          </w:p>
        </w:tc>
      </w:tr>
      <w:tr>
        <w:tc>
          <w:tcPr>
            <w:tcW w:type="dxa" w:w="2098"/>
            <w:tcMar>
              <w:top w:w="105" w:type="dxa"/>
              <w:start w:w="120" w:type="dxa"/>
              <w:bottom w:w="105" w:type="dxa"/>
              <w:end w:w="120" w:type="dxa"/>
            </w:tcMar>
            <w:vAlign w:val="center"/>
            <w:shd w:fill="F8F3F1"/>
          </w:tcPr>
          <w:p>
            <w:pPr>
              <w:spacing w:after="0" w:line="252" w:lineRule="auto"/>
            </w:pPr>
            <w:r>
              <w:rPr>
                <w:rFonts w:ascii="Aptos" w:hAnsi="Aptos"/>
                <w:color w:val="120F0A"/>
                <w:sz w:val="16"/>
              </w:rPr>
              <w:t>bits&amp;bytes™ Originals</w:t>
            </w:r>
          </w:p>
        </w:tc>
        <w:tc>
          <w:tcPr>
            <w:tcW w:type="dxa" w:w="124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24 hours</w:t>
            </w:r>
          </w:p>
        </w:tc>
        <w:tc>
          <w:tcPr>
            <w:tcW w:type="dxa" w:w="2721"/>
            <w:tcMar>
              <w:top w:w="105" w:type="dxa"/>
              <w:start w:w="120" w:type="dxa"/>
              <w:bottom w:w="105" w:type="dxa"/>
              <w:end w:w="120" w:type="dxa"/>
            </w:tcMar>
            <w:vAlign w:val="center"/>
            <w:shd w:fill="F8F3F1"/>
          </w:tcPr>
          <w:p>
            <w:pPr>
              <w:spacing w:after="0" w:line="252" w:lineRule="auto"/>
            </w:pPr>
            <w:r>
              <w:rPr>
                <w:rFonts w:ascii="Aptos" w:hAnsi="Aptos"/>
                <w:color w:val="120F0A"/>
                <w:sz w:val="16"/>
              </w:rPr>
              <w:t>The standard hackathon can run with safe overnight operations</w:t>
            </w:r>
          </w:p>
        </w:tc>
        <w:tc>
          <w:tcPr>
            <w:tcW w:type="dxa" w:w="3175"/>
            <w:tcMar>
              <w:top w:w="105" w:type="dxa"/>
              <w:start w:w="120" w:type="dxa"/>
              <w:bottom w:w="105" w:type="dxa"/>
              <w:end w:w="120" w:type="dxa"/>
            </w:tcMar>
            <w:vAlign w:val="center"/>
            <w:shd w:fill="F8F3F1"/>
          </w:tcPr>
          <w:p>
            <w:pPr>
              <w:spacing w:after="0" w:line="252" w:lineRule="auto"/>
            </w:pPr>
            <w:r>
              <w:rPr>
                <w:rFonts w:ascii="Aptos" w:hAnsi="Aptos"/>
                <w:color w:val="120F0A"/>
                <w:sz w:val="16"/>
              </w:rPr>
              <w:t>All Mini controls plus overnight security, resting zones, chaperones, emergency coverage, and venue access control</w:t>
            </w:r>
          </w:p>
        </w:tc>
      </w:tr>
      <w:tr>
        <w:tc>
          <w:tcPr>
            <w:tcW w:type="dxa" w:w="2098"/>
            <w:tcMar>
              <w:top w:w="105" w:type="dxa"/>
              <w:start w:w="120" w:type="dxa"/>
              <w:bottom w:w="105" w:type="dxa"/>
              <w:end w:w="120" w:type="dxa"/>
            </w:tcMar>
            <w:vAlign w:val="center"/>
          </w:tcPr>
          <w:p>
            <w:pPr>
              <w:spacing w:after="0" w:line="252" w:lineRule="auto"/>
            </w:pPr>
            <w:r>
              <w:rPr>
                <w:rFonts w:ascii="Aptos" w:hAnsi="Aptos"/>
                <w:color w:val="120F0A"/>
                <w:sz w:val="16"/>
              </w:rPr>
              <w:t>bits&amp;bytes™ Originals Extended</w:t>
            </w:r>
          </w:p>
        </w:tc>
        <w:tc>
          <w:tcPr>
            <w:tcW w:type="dxa" w:w="1247"/>
            <w:tcMar>
              <w:top w:w="105" w:type="dxa"/>
              <w:start w:w="120" w:type="dxa"/>
              <w:bottom w:w="105" w:type="dxa"/>
              <w:end w:w="120" w:type="dxa"/>
            </w:tcMar>
            <w:vAlign w:val="center"/>
          </w:tcPr>
          <w:p>
            <w:pPr>
              <w:spacing w:after="0" w:line="252" w:lineRule="auto"/>
              <w:jc w:val="center"/>
            </w:pPr>
            <w:r>
              <w:rPr>
                <w:rFonts w:ascii="Aptos" w:hAnsi="Aptos"/>
                <w:color w:val="120F0A"/>
                <w:sz w:val="16"/>
              </w:rPr>
              <w:t>36 to 48 hours</w:t>
            </w:r>
          </w:p>
        </w:tc>
        <w:tc>
          <w:tcPr>
            <w:tcW w:type="dxa" w:w="2721"/>
            <w:tcMar>
              <w:top w:w="105" w:type="dxa"/>
              <w:start w:w="120" w:type="dxa"/>
              <w:bottom w:w="105" w:type="dxa"/>
              <w:end w:w="120" w:type="dxa"/>
            </w:tcMar>
            <w:vAlign w:val="center"/>
          </w:tcPr>
          <w:p>
            <w:pPr>
              <w:spacing w:after="0" w:line="252" w:lineRule="auto"/>
            </w:pPr>
            <w:r>
              <w:rPr>
                <w:rFonts w:ascii="Aptos" w:hAnsi="Aptos"/>
                <w:color w:val="120F0A"/>
                <w:sz w:val="16"/>
              </w:rPr>
              <w:t>Extra build time materially improves the programme and the city can support it</w:t>
            </w:r>
          </w:p>
        </w:tc>
        <w:tc>
          <w:tcPr>
            <w:tcW w:type="dxa" w:w="3175"/>
            <w:tcMar>
              <w:top w:w="105" w:type="dxa"/>
              <w:start w:w="120" w:type="dxa"/>
              <w:bottom w:w="105" w:type="dxa"/>
              <w:end w:w="120" w:type="dxa"/>
            </w:tcMar>
            <w:vAlign w:val="center"/>
          </w:tcPr>
          <w:p>
            <w:pPr>
              <w:spacing w:after="0" w:line="252" w:lineRule="auto"/>
            </w:pPr>
            <w:r>
              <w:rPr>
                <w:rFonts w:ascii="Aptos" w:hAnsi="Aptos"/>
                <w:color w:val="120F0A"/>
                <w:sz w:val="16"/>
              </w:rPr>
              <w:t>All overnight controls plus stronger staffing rotations, food and rest planning, medical coverage, and a realistic budget</w:t>
            </w:r>
          </w:p>
        </w:tc>
      </w:tr>
    </w:tbl>
    <w:p>
      <w:pPr>
        <w:spacing w:after="20"/>
      </w:pPr>
    </w:p>
    <w:p>
      <w:pPr>
        <w:pStyle w:val="Heading2"/>
        <w:keepNext/>
      </w:pPr>
      <w:r>
        <w:t>Format decision rule</w:t>
      </w:r>
    </w:p>
    <w:p>
      <w:pPr>
        <w:spacing w:after="120" w:line="269" w:lineRule="auto"/>
      </w:pPr>
      <w:r>
        <w:rPr>
          <w:rFonts w:ascii="Aptos" w:hAnsi="Aptos"/>
          <w:i w:val="0"/>
          <w:color w:val="120F0A"/>
          <w:sz w:val="21"/>
        </w:rPr>
        <w:t>A city may announce a format only after the venue, programme, finance, and safeguarding lanes confirm readiness in writing. If one lane is not ready, shorten the format or delay the announcement. The Extended format is optional, not a target.</w:t>
      </w:r>
    </w:p>
    <w:p>
      <w:pPr>
        <w:pStyle w:val="Heading2"/>
        <w:keepNext/>
      </w:pPr>
      <w:r>
        <w:t>Campaign quality bar</w:t>
      </w:r>
    </w:p>
    <w:p>
      <w:pPr>
        <w:pStyle w:val="ListBullet"/>
        <w:spacing w:after="60" w:line="259" w:lineRule="auto"/>
      </w:pPr>
      <w:r>
        <w:rPr>
          <w:rFonts w:ascii="Aptos" w:hAnsi="Aptos"/>
          <w:color w:val="120F0A"/>
          <w:sz w:val="20"/>
        </w:rPr>
        <w:t>Participants receive a clear problem, enough build time, accessible mentors, a transparent rubric, and a working submission path.</w:t>
      </w:r>
    </w:p>
    <w:p>
      <w:pPr>
        <w:pStyle w:val="ListBullet"/>
        <w:spacing w:after="60" w:line="259" w:lineRule="auto"/>
      </w:pPr>
      <w:r>
        <w:rPr>
          <w:rFonts w:ascii="Aptos" w:hAnsi="Aptos"/>
          <w:color w:val="120F0A"/>
          <w:sz w:val="20"/>
        </w:rPr>
        <w:t>High school students are not treated as a marketing segment. The programme, supervision, language, schedule, and consent flow must be built for them.</w:t>
      </w:r>
    </w:p>
    <w:p>
      <w:pPr>
        <w:pStyle w:val="ListBullet"/>
        <w:spacing w:after="60" w:line="259" w:lineRule="auto"/>
      </w:pPr>
      <w:r>
        <w:rPr>
          <w:rFonts w:ascii="Aptos" w:hAnsi="Aptos"/>
          <w:color w:val="120F0A"/>
          <w:sz w:val="20"/>
        </w:rPr>
        <w:t>Every sponsor benefit has an owner and can be delivered without weakening participant safety or privacy.</w:t>
      </w:r>
    </w:p>
    <w:p>
      <w:pPr>
        <w:pStyle w:val="ListBullet"/>
        <w:spacing w:after="60" w:line="259" w:lineRule="auto"/>
      </w:pPr>
      <w:r>
        <w:rPr>
          <w:rFonts w:ascii="Aptos" w:hAnsi="Aptos"/>
          <w:color w:val="120F0A"/>
          <w:sz w:val="20"/>
        </w:rPr>
        <w:t>A city event is not confirmed until its venue and safeguarding plan are real.</w:t>
      </w:r>
    </w:p>
    <w:p>
      <w:pPr>
        <w:pageBreakBefore/>
        <w:spacing w:after="100"/>
      </w:pPr>
      <w:r>
        <w:rPr>
          <w:rFonts w:ascii="Aptos" w:hAnsi="Aptos"/>
          <w:b/>
          <w:color w:val="97192C"/>
          <w:sz w:val="17"/>
        </w:rPr>
        <w:t>CALENDAR</w:t>
      </w:r>
    </w:p>
    <w:p>
      <w:pPr>
        <w:pStyle w:val="Heading1"/>
        <w:keepNext/>
      </w:pPr>
      <w:r>
        <w:t>The campaign calendar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Window</w:t>
            </w:r>
          </w:p>
        </w:tc>
        <w:tc>
          <w:tcPr>
            <w:tcW w:type="dxa" w:w="2324"/>
            <w:shd w:fill="97192C"/>
            <w:tcMar>
              <w:top w:w="115" w:type="dxa"/>
              <w:start w:w="120" w:type="dxa"/>
              <w:bottom w:w="115" w:type="dxa"/>
              <w:end w:w="120" w:type="dxa"/>
            </w:tcMar>
            <w:vAlign w:val="center"/>
          </w:tcPr>
          <w:p>
            <w:pPr>
              <w:spacing w:after="0"/>
              <w:jc w:val="center"/>
            </w:pPr>
            <w:r>
              <w:rPr>
                <w:rFonts w:ascii="Aptos" w:hAnsi="Aptos"/>
                <w:b/>
                <w:color w:val="FFFFFF"/>
                <w:sz w:val="18"/>
              </w:rPr>
              <w:t>Campaign phase</w:t>
            </w:r>
          </w:p>
        </w:tc>
        <w:tc>
          <w:tcPr>
            <w:tcW w:type="dxa" w:w="5216"/>
            <w:shd w:fill="97192C"/>
            <w:tcMar>
              <w:top w:w="115" w:type="dxa"/>
              <w:start w:w="120" w:type="dxa"/>
              <w:bottom w:w="115" w:type="dxa"/>
              <w:end w:w="120" w:type="dxa"/>
            </w:tcMar>
            <w:vAlign w:val="center"/>
          </w:tcPr>
          <w:p>
            <w:pPr>
              <w:spacing w:after="0"/>
              <w:jc w:val="center"/>
            </w:pPr>
            <w:r>
              <w:rPr>
                <w:rFonts w:ascii="Aptos" w:hAnsi="Aptos"/>
                <w:b/>
                <w:color w:val="FFFFFF"/>
                <w:sz w:val="18"/>
              </w:rPr>
              <w:t>What must move</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7"/>
              </w:rPr>
              <w:t>15 September</w:t>
            </w:r>
          </w:p>
        </w:tc>
        <w:tc>
          <w:tcPr>
            <w:tcW w:type="dxa" w:w="2324"/>
            <w:tcMar>
              <w:top w:w="105" w:type="dxa"/>
              <w:start w:w="120" w:type="dxa"/>
              <w:bottom w:w="105" w:type="dxa"/>
              <w:end w:w="120" w:type="dxa"/>
            </w:tcMar>
            <w:vAlign w:val="center"/>
          </w:tcPr>
          <w:p>
            <w:pPr>
              <w:spacing w:after="0" w:line="252" w:lineRule="auto"/>
              <w:jc w:val="center"/>
            </w:pPr>
            <w:r>
              <w:rPr>
                <w:rFonts w:ascii="Aptos" w:hAnsi="Aptos"/>
                <w:color w:val="120F0A"/>
                <w:sz w:val="17"/>
              </w:rPr>
              <w:t>Registrations open</w:t>
            </w:r>
          </w:p>
        </w:tc>
        <w:tc>
          <w:tcPr>
            <w:tcW w:type="dxa" w:w="5216"/>
            <w:tcMar>
              <w:top w:w="105" w:type="dxa"/>
              <w:start w:w="120" w:type="dxa"/>
              <w:bottom w:w="105" w:type="dxa"/>
              <w:end w:w="120" w:type="dxa"/>
            </w:tcMar>
            <w:vAlign w:val="center"/>
          </w:tcPr>
          <w:p>
            <w:pPr>
              <w:spacing w:after="0" w:line="252" w:lineRule="auto"/>
            </w:pPr>
            <w:r>
              <w:rPr>
                <w:rFonts w:ascii="Aptos" w:hAnsi="Aptos"/>
                <w:color w:val="120F0A"/>
                <w:sz w:val="17"/>
              </w:rPr>
              <w:t>Registration, school outreach, city interest, guardian consent design, and public campaign launch</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7"/>
              </w:rPr>
              <w:t>September to mid October</w:t>
            </w:r>
          </w:p>
        </w:tc>
        <w:tc>
          <w:tcPr>
            <w:tcW w:type="dxa" w:w="2324"/>
            <w:tcMar>
              <w:top w:w="105" w:type="dxa"/>
              <w:start w:w="120" w:type="dxa"/>
              <w:bottom w:w="105" w:type="dxa"/>
              <w:end w:w="120" w:type="dxa"/>
            </w:tcMar>
            <w:vAlign w:val="center"/>
            <w:shd w:fill="F8F3F1"/>
          </w:tcPr>
          <w:p>
            <w:pPr>
              <w:spacing w:after="0" w:line="252" w:lineRule="auto"/>
            </w:pPr>
            <w:r>
              <w:rPr>
                <w:rFonts w:ascii="Aptos" w:hAnsi="Aptos"/>
                <w:color w:val="120F0A"/>
                <w:sz w:val="17"/>
              </w:rPr>
              <w:t>Cities become operational</w:t>
            </w:r>
          </w:p>
        </w:tc>
        <w:tc>
          <w:tcPr>
            <w:tcW w:type="dxa" w:w="5216"/>
            <w:tcMar>
              <w:top w:w="105" w:type="dxa"/>
              <w:start w:w="120" w:type="dxa"/>
              <w:bottom w:w="105" w:type="dxa"/>
              <w:end w:w="120" w:type="dxa"/>
            </w:tcMar>
            <w:vAlign w:val="center"/>
            <w:shd w:fill="F8F3F1"/>
          </w:tcPr>
          <w:p>
            <w:pPr>
              <w:spacing w:after="0" w:line="252" w:lineRule="auto"/>
            </w:pPr>
            <w:r>
              <w:rPr>
                <w:rFonts w:ascii="Aptos" w:hAnsi="Aptos"/>
                <w:color w:val="120F0A"/>
                <w:sz w:val="17"/>
              </w:rPr>
              <w:t>Host conversations, venue checks, local teams, format choices, budgets, safety checks, and sponsor mapping</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7"/>
              </w:rPr>
              <w:t>Mid October to 30 November</w:t>
            </w:r>
          </w:p>
        </w:tc>
        <w:tc>
          <w:tcPr>
            <w:tcW w:type="dxa" w:w="2324"/>
            <w:tcMar>
              <w:top w:w="105" w:type="dxa"/>
              <w:start w:w="120" w:type="dxa"/>
              <w:bottom w:w="105" w:type="dxa"/>
              <w:end w:w="120" w:type="dxa"/>
            </w:tcMar>
            <w:vAlign w:val="center"/>
          </w:tcPr>
          <w:p>
            <w:pPr>
              <w:spacing w:after="0" w:line="252" w:lineRule="auto"/>
              <w:jc w:val="center"/>
            </w:pPr>
            <w:r>
              <w:rPr>
                <w:rFonts w:ascii="Aptos" w:hAnsi="Aptos"/>
                <w:color w:val="120F0A"/>
                <w:sz w:val="17"/>
              </w:rPr>
              <w:t>Twelve zonals run</w:t>
            </w:r>
          </w:p>
        </w:tc>
        <w:tc>
          <w:tcPr>
            <w:tcW w:type="dxa" w:w="5216"/>
            <w:tcMar>
              <w:top w:w="105" w:type="dxa"/>
              <w:start w:w="120" w:type="dxa"/>
              <w:bottom w:w="105" w:type="dxa"/>
              <w:end w:w="120" w:type="dxa"/>
            </w:tcMar>
            <w:vAlign w:val="center"/>
          </w:tcPr>
          <w:p>
            <w:pPr>
              <w:spacing w:after="0" w:line="252" w:lineRule="auto"/>
            </w:pPr>
            <w:r>
              <w:rPr>
                <w:rFonts w:ascii="Aptos" w:hAnsi="Aptos"/>
                <w:color w:val="120F0A"/>
                <w:sz w:val="17"/>
              </w:rPr>
              <w:t>City delivery, participant verification, judging, qualification, sponsor fulfilment, and post-event reporting</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7"/>
              </w:rPr>
              <w:t>1 to 16 December</w:t>
            </w:r>
          </w:p>
        </w:tc>
        <w:tc>
          <w:tcPr>
            <w:tcW w:type="dxa" w:w="232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Finalist runway</w:t>
            </w:r>
          </w:p>
        </w:tc>
        <w:tc>
          <w:tcPr>
            <w:tcW w:type="dxa" w:w="5216"/>
            <w:tcMar>
              <w:top w:w="105" w:type="dxa"/>
              <w:start w:w="120" w:type="dxa"/>
              <w:bottom w:w="105" w:type="dxa"/>
              <w:end w:w="120" w:type="dxa"/>
            </w:tcMar>
            <w:vAlign w:val="center"/>
            <w:shd w:fill="F8F3F1"/>
          </w:tcPr>
          <w:p>
            <w:pPr>
              <w:spacing w:after="0" w:line="252" w:lineRule="auto"/>
            </w:pPr>
            <w:r>
              <w:rPr>
                <w:rFonts w:ascii="Aptos" w:hAnsi="Aptos"/>
                <w:color w:val="120F0A"/>
                <w:sz w:val="17"/>
              </w:rPr>
              <w:t>Eligibility verification, mentor support, travel and guardian documents, finalist communication, and showcase preparation</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7"/>
              </w:rPr>
              <w:t>17 and 18 December</w:t>
            </w:r>
          </w:p>
        </w:tc>
        <w:tc>
          <w:tcPr>
            <w:tcW w:type="dxa" w:w="2324"/>
            <w:tcMar>
              <w:top w:w="105" w:type="dxa"/>
              <w:start w:w="120" w:type="dxa"/>
              <w:bottom w:w="105" w:type="dxa"/>
              <w:end w:w="120" w:type="dxa"/>
            </w:tcMar>
            <w:vAlign w:val="center"/>
          </w:tcPr>
          <w:p>
            <w:pPr>
              <w:spacing w:after="0" w:line="252" w:lineRule="auto"/>
              <w:jc w:val="center"/>
            </w:pPr>
            <w:r>
              <w:rPr>
                <w:rFonts w:ascii="Aptos" w:hAnsi="Aptos"/>
                <w:color w:val="120F0A"/>
                <w:sz w:val="17"/>
              </w:rPr>
              <w:t>IIT Bombay final</w:t>
            </w:r>
          </w:p>
        </w:tc>
        <w:tc>
          <w:tcPr>
            <w:tcW w:type="dxa" w:w="5216"/>
            <w:tcMar>
              <w:top w:w="105" w:type="dxa"/>
              <w:start w:w="120" w:type="dxa"/>
              <w:bottom w:w="105" w:type="dxa"/>
              <w:end w:w="120" w:type="dxa"/>
            </w:tcMar>
            <w:vAlign w:val="center"/>
          </w:tcPr>
          <w:p>
            <w:pPr>
              <w:spacing w:after="0" w:line="252" w:lineRule="auto"/>
            </w:pPr>
            <w:r>
              <w:rPr>
                <w:rFonts w:ascii="Aptos" w:hAnsi="Aptos"/>
                <w:color w:val="120F0A"/>
                <w:sz w:val="17"/>
              </w:rPr>
              <w:t>National final, judging, sponsor delivery, participant care, documentation, and closing records</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7"/>
              </w:rPr>
              <w:t>By 31 December</w:t>
            </w:r>
          </w:p>
        </w:tc>
        <w:tc>
          <w:tcPr>
            <w:tcW w:type="dxa" w:w="232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Close and reconcile</w:t>
            </w:r>
          </w:p>
        </w:tc>
        <w:tc>
          <w:tcPr>
            <w:tcW w:type="dxa" w:w="5216"/>
            <w:tcMar>
              <w:top w:w="105" w:type="dxa"/>
              <w:start w:w="120" w:type="dxa"/>
              <w:bottom w:w="105" w:type="dxa"/>
              <w:end w:w="120" w:type="dxa"/>
            </w:tcMar>
            <w:vAlign w:val="center"/>
            <w:shd w:fill="F8F3F1"/>
          </w:tcPr>
          <w:p>
            <w:pPr>
              <w:spacing w:after="0" w:line="252" w:lineRule="auto"/>
            </w:pPr>
            <w:r>
              <w:rPr>
                <w:rFonts w:ascii="Aptos" w:hAnsi="Aptos"/>
                <w:color w:val="120F0A"/>
                <w:sz w:val="17"/>
              </w:rPr>
              <w:t>Outstanding deliverables, financial reconciliation, settlements, data retention decisions, and the first impact report</w:t>
            </w:r>
          </w:p>
        </w:tc>
      </w:tr>
    </w:tbl>
    <w:p>
      <w:pPr>
        <w:spacing w:after="20"/>
      </w:pPr>
    </w:p>
    <w:p>
      <w:pPr>
        <w:pStyle w:val="Heading2"/>
        <w:keepNext/>
      </w:pPr>
      <w:r>
        <w:t>The operating engine beneath the calendar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28"/>
        <w:gridCol w:w="1928"/>
        <w:gridCol w:w="1928"/>
        <w:gridCol w:w="1928"/>
        <w:gridCol w:w="1928"/>
      </w:tblGrid>
      <w:tr>
        <w:trPr>
          <w:tblHeader w:val="true"/>
        </w:trPr>
        <w:tc>
          <w:tcPr>
            <w:tcW w:type="dxa" w:w="1843"/>
            <w:shd w:fill="97192C"/>
            <w:tcMar>
              <w:top w:w="115" w:type="dxa"/>
              <w:start w:w="120" w:type="dxa"/>
              <w:bottom w:w="115" w:type="dxa"/>
              <w:end w:w="120" w:type="dxa"/>
            </w:tcMar>
            <w:vAlign w:val="center"/>
          </w:tcPr>
          <w:p>
            <w:pPr>
              <w:spacing w:after="0"/>
              <w:jc w:val="center"/>
            </w:pPr>
            <w:r>
              <w:rPr>
                <w:rFonts w:ascii="Aptos" w:hAnsi="Aptos"/>
                <w:b/>
                <w:color w:val="FFFFFF"/>
                <w:sz w:val="18"/>
              </w:rPr>
              <w:t>Research</w:t>
            </w:r>
          </w:p>
        </w:tc>
        <w:tc>
          <w:tcPr>
            <w:tcW w:type="dxa" w:w="1843"/>
            <w:shd w:fill="97192C"/>
            <w:tcMar>
              <w:top w:w="115" w:type="dxa"/>
              <w:start w:w="120" w:type="dxa"/>
              <w:bottom w:w="115" w:type="dxa"/>
              <w:end w:w="120" w:type="dxa"/>
            </w:tcMar>
            <w:vAlign w:val="center"/>
          </w:tcPr>
          <w:p>
            <w:pPr>
              <w:spacing w:after="0"/>
              <w:jc w:val="center"/>
            </w:pPr>
            <w:r>
              <w:rPr>
                <w:rFonts w:ascii="Aptos" w:hAnsi="Aptos"/>
                <w:b/>
                <w:color w:val="FFFFFF"/>
                <w:sz w:val="18"/>
              </w:rPr>
              <w:t>Approved outreach</w:t>
            </w:r>
          </w:p>
        </w:tc>
        <w:tc>
          <w:tcPr>
            <w:tcW w:type="dxa" w:w="1843"/>
            <w:shd w:fill="97192C"/>
            <w:tcMar>
              <w:top w:w="115" w:type="dxa"/>
              <w:start w:w="120" w:type="dxa"/>
              <w:bottom w:w="115" w:type="dxa"/>
              <w:end w:w="120" w:type="dxa"/>
            </w:tcMar>
            <w:vAlign w:val="center"/>
          </w:tcPr>
          <w:p>
            <w:pPr>
              <w:spacing w:after="0"/>
              <w:jc w:val="center"/>
            </w:pPr>
            <w:r>
              <w:rPr>
                <w:rFonts w:ascii="Aptos" w:hAnsi="Aptos"/>
                <w:b/>
                <w:color w:val="FFFFFF"/>
                <w:sz w:val="18"/>
              </w:rPr>
              <w:t>Proposal and close</w:t>
            </w:r>
          </w:p>
        </w:tc>
        <w:tc>
          <w:tcPr>
            <w:tcW w:type="dxa" w:w="1843"/>
            <w:shd w:fill="97192C"/>
            <w:tcMar>
              <w:top w:w="115" w:type="dxa"/>
              <w:start w:w="120" w:type="dxa"/>
              <w:bottom w:w="115" w:type="dxa"/>
              <w:end w:w="120" w:type="dxa"/>
            </w:tcMar>
            <w:vAlign w:val="center"/>
          </w:tcPr>
          <w:p>
            <w:pPr>
              <w:spacing w:after="0"/>
              <w:jc w:val="center"/>
            </w:pPr>
            <w:r>
              <w:rPr>
                <w:rFonts w:ascii="Aptos" w:hAnsi="Aptos"/>
                <w:b/>
                <w:color w:val="FFFFFF"/>
                <w:sz w:val="18"/>
              </w:rPr>
              <w:t>Cash received</w:t>
            </w:r>
          </w:p>
        </w:tc>
        <w:tc>
          <w:tcPr>
            <w:tcW w:type="dxa" w:w="1843"/>
            <w:shd w:fill="97192C"/>
            <w:tcMar>
              <w:top w:w="115" w:type="dxa"/>
              <w:start w:w="120" w:type="dxa"/>
              <w:bottom w:w="115" w:type="dxa"/>
              <w:end w:w="120" w:type="dxa"/>
            </w:tcMar>
            <w:vAlign w:val="center"/>
          </w:tcPr>
          <w:p>
            <w:pPr>
              <w:spacing w:after="0"/>
              <w:jc w:val="center"/>
            </w:pPr>
            <w:r>
              <w:rPr>
                <w:rFonts w:ascii="Aptos" w:hAnsi="Aptos"/>
                <w:b/>
                <w:color w:val="FFFFFF"/>
                <w:sz w:val="18"/>
              </w:rPr>
              <w:t>Delivery and reporting</w:t>
            </w:r>
          </w:p>
        </w:tc>
      </w:tr>
      <w:tr>
        <w:tc>
          <w:tcPr>
            <w:tcW w:type="dxa" w:w="1843"/>
            <w:tcMar>
              <w:top w:w="105" w:type="dxa"/>
              <w:start w:w="120" w:type="dxa"/>
              <w:bottom w:w="105" w:type="dxa"/>
              <w:end w:w="120" w:type="dxa"/>
            </w:tcMar>
            <w:vAlign w:val="center"/>
          </w:tcPr>
          <w:p>
            <w:pPr>
              <w:spacing w:after="0" w:line="252" w:lineRule="auto"/>
            </w:pPr>
            <w:r>
              <w:rPr>
                <w:rFonts w:ascii="Aptos" w:hAnsi="Aptos"/>
                <w:color w:val="120F0A"/>
                <w:sz w:val="16"/>
              </w:rPr>
              <w:t>Find accounts and the reason they may care</w:t>
            </w:r>
          </w:p>
        </w:tc>
        <w:tc>
          <w:tcPr>
            <w:tcW w:type="dxa" w:w="1843"/>
            <w:tcMar>
              <w:top w:w="105" w:type="dxa"/>
              <w:start w:w="120" w:type="dxa"/>
              <w:bottom w:w="105" w:type="dxa"/>
              <w:end w:w="120" w:type="dxa"/>
            </w:tcMar>
            <w:vAlign w:val="center"/>
          </w:tcPr>
          <w:p>
            <w:pPr>
              <w:spacing w:after="0" w:line="252" w:lineRule="auto"/>
            </w:pPr>
            <w:r>
              <w:rPr>
                <w:rFonts w:ascii="Aptos" w:hAnsi="Aptos"/>
                <w:color w:val="120F0A"/>
                <w:sz w:val="16"/>
              </w:rPr>
              <w:t>Assign one owner and use an approved message</w:t>
            </w:r>
          </w:p>
        </w:tc>
        <w:tc>
          <w:tcPr>
            <w:tcW w:type="dxa" w:w="1843"/>
            <w:tcMar>
              <w:top w:w="105" w:type="dxa"/>
              <w:start w:w="120" w:type="dxa"/>
              <w:bottom w:w="105" w:type="dxa"/>
              <w:end w:w="120" w:type="dxa"/>
            </w:tcMar>
            <w:vAlign w:val="center"/>
          </w:tcPr>
          <w:p>
            <w:pPr>
              <w:spacing w:after="0" w:line="252" w:lineRule="auto"/>
            </w:pPr>
            <w:r>
              <w:rPr>
                <w:rFonts w:ascii="Aptos" w:hAnsi="Aptos"/>
                <w:color w:val="120F0A"/>
                <w:sz w:val="16"/>
              </w:rPr>
              <w:t>Build only from approved inventory and terms</w:t>
            </w:r>
          </w:p>
        </w:tc>
        <w:tc>
          <w:tcPr>
            <w:tcW w:type="dxa" w:w="1843"/>
            <w:tcMar>
              <w:top w:w="105" w:type="dxa"/>
              <w:start w:w="120" w:type="dxa"/>
              <w:bottom w:w="105" w:type="dxa"/>
              <w:end w:w="120" w:type="dxa"/>
            </w:tcMar>
            <w:vAlign w:val="center"/>
          </w:tcPr>
          <w:p>
            <w:pPr>
              <w:spacing w:after="0" w:line="252" w:lineRule="auto"/>
            </w:pPr>
            <w:r>
              <w:rPr>
                <w:rFonts w:ascii="Aptos" w:hAnsi="Aptos"/>
                <w:color w:val="120F0A"/>
                <w:sz w:val="16"/>
              </w:rPr>
              <w:t>Count eligible cash only after it clears</w:t>
            </w:r>
          </w:p>
        </w:tc>
        <w:tc>
          <w:tcPr>
            <w:tcW w:type="dxa" w:w="1843"/>
            <w:tcMar>
              <w:top w:w="105" w:type="dxa"/>
              <w:start w:w="120" w:type="dxa"/>
              <w:bottom w:w="105" w:type="dxa"/>
              <w:end w:w="120" w:type="dxa"/>
            </w:tcMar>
            <w:vAlign w:val="center"/>
          </w:tcPr>
          <w:p>
            <w:pPr>
              <w:spacing w:after="0" w:line="252" w:lineRule="auto"/>
            </w:pPr>
            <w:r>
              <w:rPr>
                <w:rFonts w:ascii="Aptos" w:hAnsi="Aptos"/>
                <w:color w:val="120F0A"/>
                <w:sz w:val="16"/>
              </w:rPr>
              <w:t>Deliver the promise, record evidence, and close the loop</w:t>
            </w:r>
          </w:p>
        </w:tc>
      </w:tr>
    </w:tbl>
    <w:p>
      <w:pPr>
        <w:spacing w:after="20"/>
      </w:pPr>
    </w:p>
    <w:p>
      <w:pPr>
        <w:spacing w:after="120" w:line="269" w:lineRule="auto"/>
      </w:pPr>
      <w:r>
        <w:rPr>
          <w:rFonts w:ascii="Aptos" w:hAnsi="Aptos"/>
          <w:i w:val="0"/>
          <w:color w:val="120F0A"/>
          <w:sz w:val="21"/>
        </w:rPr>
        <w:t>Fundraising is not a phase that ends when registrations open. It runs through the entire campaign, alongside city delivery and content.</w:t>
      </w:r>
    </w:p>
    <w:p>
      <w:pPr>
        <w:pageBreakBefore/>
        <w:spacing w:after="100"/>
      </w:pPr>
      <w:r>
        <w:rPr>
          <w:rFonts w:ascii="Aptos" w:hAnsi="Aptos"/>
          <w:b/>
          <w:color w:val="97192C"/>
          <w:sz w:val="17"/>
        </w:rPr>
        <w:t>CITY ROLLOUT</w:t>
      </w:r>
    </w:p>
    <w:p>
      <w:pPr>
        <w:pStyle w:val="Heading1"/>
        <w:keepNext/>
      </w:pPr>
      <w:r>
        <w:t>The twelve city rollout</w:t>
      </w:r>
    </w:p>
    <w:p>
      <w:pPr>
        <w:spacing w:after="120" w:line="269" w:lineRule="auto"/>
      </w:pPr>
      <w:r>
        <w:rPr>
          <w:rFonts w:ascii="Aptos" w:hAnsi="Aptos"/>
          <w:i w:val="0"/>
          <w:color w:val="120F0A"/>
          <w:sz w:val="21"/>
        </w:rPr>
        <w:t>No city is confirmed in version 1.0. The programme should choose cities for execution quality, not because a familiar name looks good on a map.</w:t>
      </w:r>
    </w:p>
    <w:p>
      <w:pPr>
        <w:pStyle w:val="Heading2"/>
        <w:keepNext/>
      </w:pPr>
      <w:r>
        <w:t>City selection test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1928"/>
            <w:shd w:fill="97192C"/>
            <w:tcMar>
              <w:top w:w="115" w:type="dxa"/>
              <w:start w:w="120" w:type="dxa"/>
              <w:bottom w:w="115" w:type="dxa"/>
              <w:end w:w="120" w:type="dxa"/>
            </w:tcMar>
            <w:vAlign w:val="center"/>
          </w:tcPr>
          <w:p>
            <w:pPr>
              <w:spacing w:after="0"/>
              <w:jc w:val="center"/>
            </w:pPr>
            <w:r>
              <w:rPr>
                <w:rFonts w:ascii="Aptos" w:hAnsi="Aptos"/>
                <w:b/>
                <w:color w:val="FFFFFF"/>
                <w:sz w:val="18"/>
              </w:rPr>
              <w:t>Area</w:t>
            </w:r>
          </w:p>
        </w:tc>
        <w:tc>
          <w:tcPr>
            <w:tcW w:type="dxa" w:w="7313"/>
            <w:shd w:fill="97192C"/>
            <w:tcMar>
              <w:top w:w="115" w:type="dxa"/>
              <w:start w:w="120" w:type="dxa"/>
              <w:bottom w:w="115" w:type="dxa"/>
              <w:end w:w="120" w:type="dxa"/>
            </w:tcMar>
            <w:vAlign w:val="center"/>
          </w:tcPr>
          <w:p>
            <w:pPr>
              <w:spacing w:after="0"/>
              <w:jc w:val="center"/>
            </w:pPr>
            <w:r>
              <w:rPr>
                <w:rFonts w:ascii="Aptos" w:hAnsi="Aptos"/>
                <w:b/>
                <w:color w:val="FFFFFF"/>
                <w:sz w:val="18"/>
              </w:rPr>
              <w:t>Question before selection</w:t>
            </w:r>
          </w:p>
        </w:tc>
      </w:tr>
      <w:tr>
        <w:tc>
          <w:tcPr>
            <w:tcW w:type="dxa" w:w="1928"/>
            <w:tcMar>
              <w:top w:w="105" w:type="dxa"/>
              <w:start w:w="120" w:type="dxa"/>
              <w:bottom w:w="105" w:type="dxa"/>
              <w:end w:w="120" w:type="dxa"/>
            </w:tcMar>
            <w:vAlign w:val="center"/>
          </w:tcPr>
          <w:p>
            <w:pPr>
              <w:spacing w:after="0" w:line="252" w:lineRule="auto"/>
            </w:pPr>
            <w:r>
              <w:rPr>
                <w:rFonts w:ascii="Aptos" w:hAnsi="Aptos"/>
                <w:color w:val="120F0A"/>
                <w:sz w:val="18"/>
              </w:rPr>
              <w:t>Audience</w:t>
            </w:r>
          </w:p>
        </w:tc>
        <w:tc>
          <w:tcPr>
            <w:tcW w:type="dxa" w:w="7313"/>
            <w:tcMar>
              <w:top w:w="105" w:type="dxa"/>
              <w:start w:w="120" w:type="dxa"/>
              <w:bottom w:w="105" w:type="dxa"/>
              <w:end w:w="120" w:type="dxa"/>
            </w:tcMar>
            <w:vAlign w:val="center"/>
          </w:tcPr>
          <w:p>
            <w:pPr>
              <w:spacing w:after="0" w:line="252" w:lineRule="auto"/>
            </w:pPr>
            <w:r>
              <w:rPr>
                <w:rFonts w:ascii="Aptos" w:hAnsi="Aptos"/>
                <w:color w:val="120F0A"/>
                <w:sz w:val="18"/>
              </w:rPr>
              <w:t>Can the city reach enough high school builders without compromising the campaign-wide 80 percent target?</w:t>
            </w:r>
          </w:p>
        </w:tc>
      </w:tr>
      <w:tr>
        <w:tc>
          <w:tcPr>
            <w:tcW w:type="dxa" w:w="1928"/>
            <w:tcMar>
              <w:top w:w="105" w:type="dxa"/>
              <w:start w:w="120" w:type="dxa"/>
              <w:bottom w:w="105" w:type="dxa"/>
              <w:end w:w="120" w:type="dxa"/>
            </w:tcMar>
            <w:vAlign w:val="center"/>
            <w:shd w:fill="F8F3F1"/>
          </w:tcPr>
          <w:p>
            <w:pPr>
              <w:spacing w:after="0" w:line="252" w:lineRule="auto"/>
            </w:pPr>
            <w:r>
              <w:rPr>
                <w:rFonts w:ascii="Aptos" w:hAnsi="Aptos"/>
                <w:color w:val="120F0A"/>
                <w:sz w:val="18"/>
              </w:rPr>
              <w:t>Host</w:t>
            </w:r>
          </w:p>
        </w:tc>
        <w:tc>
          <w:tcPr>
            <w:tcW w:type="dxa" w:w="7313"/>
            <w:tcMar>
              <w:top w:w="105" w:type="dxa"/>
              <w:start w:w="120" w:type="dxa"/>
              <w:bottom w:w="105" w:type="dxa"/>
              <w:end w:w="120" w:type="dxa"/>
            </w:tcMar>
            <w:vAlign w:val="center"/>
            <w:shd w:fill="F8F3F1"/>
          </w:tcPr>
          <w:p>
            <w:pPr>
              <w:spacing w:after="0" w:line="252" w:lineRule="auto"/>
            </w:pPr>
            <w:r>
              <w:rPr>
                <w:rFonts w:ascii="Aptos" w:hAnsi="Aptos"/>
                <w:color w:val="120F0A"/>
                <w:sz w:val="18"/>
              </w:rPr>
              <w:t>Is there a credible institution or venue partner with a named adult contact?</w:t>
            </w:r>
          </w:p>
        </w:tc>
      </w:tr>
      <w:tr>
        <w:tc>
          <w:tcPr>
            <w:tcW w:type="dxa" w:w="1928"/>
            <w:tcMar>
              <w:top w:w="105" w:type="dxa"/>
              <w:start w:w="120" w:type="dxa"/>
              <w:bottom w:w="105" w:type="dxa"/>
              <w:end w:w="120" w:type="dxa"/>
            </w:tcMar>
            <w:vAlign w:val="center"/>
          </w:tcPr>
          <w:p>
            <w:pPr>
              <w:spacing w:after="0" w:line="252" w:lineRule="auto"/>
            </w:pPr>
            <w:r>
              <w:rPr>
                <w:rFonts w:ascii="Aptos" w:hAnsi="Aptos"/>
                <w:color w:val="120F0A"/>
                <w:sz w:val="18"/>
              </w:rPr>
              <w:t>Venue</w:t>
            </w:r>
          </w:p>
        </w:tc>
        <w:tc>
          <w:tcPr>
            <w:tcW w:type="dxa" w:w="7313"/>
            <w:tcMar>
              <w:top w:w="105" w:type="dxa"/>
              <w:start w:w="120" w:type="dxa"/>
              <w:bottom w:w="105" w:type="dxa"/>
              <w:end w:w="120" w:type="dxa"/>
            </w:tcMar>
            <w:vAlign w:val="center"/>
          </w:tcPr>
          <w:p>
            <w:pPr>
              <w:spacing w:after="0" w:line="252" w:lineRule="auto"/>
            </w:pPr>
            <w:r>
              <w:rPr>
                <w:rFonts w:ascii="Aptos" w:hAnsi="Aptos"/>
                <w:color w:val="120F0A"/>
                <w:sz w:val="18"/>
              </w:rPr>
              <w:t>Is the venue available, accessible, safe, and appropriate for the proposed duration?</w:t>
            </w:r>
          </w:p>
        </w:tc>
      </w:tr>
      <w:tr>
        <w:tc>
          <w:tcPr>
            <w:tcW w:type="dxa" w:w="1928"/>
            <w:tcMar>
              <w:top w:w="105" w:type="dxa"/>
              <w:start w:w="120" w:type="dxa"/>
              <w:bottom w:w="105" w:type="dxa"/>
              <w:end w:w="120" w:type="dxa"/>
            </w:tcMar>
            <w:vAlign w:val="center"/>
            <w:shd w:fill="F8F3F1"/>
          </w:tcPr>
          <w:p>
            <w:pPr>
              <w:spacing w:after="0" w:line="252" w:lineRule="auto"/>
            </w:pPr>
            <w:r>
              <w:rPr>
                <w:rFonts w:ascii="Aptos" w:hAnsi="Aptos"/>
                <w:color w:val="120F0A"/>
                <w:sz w:val="18"/>
              </w:rPr>
              <w:t>Local team</w:t>
            </w:r>
          </w:p>
        </w:tc>
        <w:tc>
          <w:tcPr>
            <w:tcW w:type="dxa" w:w="7313"/>
            <w:tcMar>
              <w:top w:w="105" w:type="dxa"/>
              <w:start w:w="120" w:type="dxa"/>
              <w:bottom w:w="105" w:type="dxa"/>
              <w:end w:w="120" w:type="dxa"/>
            </w:tcMar>
            <w:vAlign w:val="center"/>
            <w:shd w:fill="F8F3F1"/>
          </w:tcPr>
          <w:p>
            <w:pPr>
              <w:spacing w:after="0" w:line="252" w:lineRule="auto"/>
            </w:pPr>
            <w:r>
              <w:rPr>
                <w:rFonts w:ascii="Aptos" w:hAnsi="Aptos"/>
                <w:color w:val="120F0A"/>
                <w:sz w:val="18"/>
              </w:rPr>
              <w:t>Is there enough execution capacity for outreach, operations, volunteers, judging, and reporting?</w:t>
            </w:r>
          </w:p>
        </w:tc>
      </w:tr>
      <w:tr>
        <w:tc>
          <w:tcPr>
            <w:tcW w:type="dxa" w:w="1928"/>
            <w:tcMar>
              <w:top w:w="105" w:type="dxa"/>
              <w:start w:w="120" w:type="dxa"/>
              <w:bottom w:w="105" w:type="dxa"/>
              <w:end w:w="120" w:type="dxa"/>
            </w:tcMar>
            <w:vAlign w:val="center"/>
          </w:tcPr>
          <w:p>
            <w:pPr>
              <w:spacing w:after="0" w:line="252" w:lineRule="auto"/>
            </w:pPr>
            <w:r>
              <w:rPr>
                <w:rFonts w:ascii="Aptos" w:hAnsi="Aptos"/>
                <w:color w:val="120F0A"/>
                <w:sz w:val="18"/>
              </w:rPr>
              <w:t>Safeguarding</w:t>
            </w:r>
          </w:p>
        </w:tc>
        <w:tc>
          <w:tcPr>
            <w:tcW w:type="dxa" w:w="7313"/>
            <w:tcMar>
              <w:top w:w="105" w:type="dxa"/>
              <w:start w:w="120" w:type="dxa"/>
              <w:bottom w:w="105" w:type="dxa"/>
              <w:end w:w="120" w:type="dxa"/>
            </w:tcMar>
            <w:vAlign w:val="center"/>
          </w:tcPr>
          <w:p>
            <w:pPr>
              <w:spacing w:after="0" w:line="252" w:lineRule="auto"/>
            </w:pPr>
            <w:r>
              <w:rPr>
                <w:rFonts w:ascii="Aptos" w:hAnsi="Aptos"/>
                <w:color w:val="120F0A"/>
                <w:sz w:val="18"/>
              </w:rPr>
              <w:t>Can the city meet consent, supervision, media, security, rest, and emergency requirements?</w:t>
            </w:r>
          </w:p>
        </w:tc>
      </w:tr>
      <w:tr>
        <w:tc>
          <w:tcPr>
            <w:tcW w:type="dxa" w:w="1928"/>
            <w:tcMar>
              <w:top w:w="105" w:type="dxa"/>
              <w:start w:w="120" w:type="dxa"/>
              <w:bottom w:w="105" w:type="dxa"/>
              <w:end w:w="120" w:type="dxa"/>
            </w:tcMar>
            <w:vAlign w:val="center"/>
            <w:shd w:fill="F8F3F1"/>
          </w:tcPr>
          <w:p>
            <w:pPr>
              <w:spacing w:after="0" w:line="252" w:lineRule="auto"/>
            </w:pPr>
            <w:r>
              <w:rPr>
                <w:rFonts w:ascii="Aptos" w:hAnsi="Aptos"/>
                <w:color w:val="120F0A"/>
                <w:sz w:val="18"/>
              </w:rPr>
              <w:t>Budget</w:t>
            </w:r>
          </w:p>
        </w:tc>
        <w:tc>
          <w:tcPr>
            <w:tcW w:type="dxa" w:w="7313"/>
            <w:tcMar>
              <w:top w:w="105" w:type="dxa"/>
              <w:start w:w="120" w:type="dxa"/>
              <w:bottom w:w="105" w:type="dxa"/>
              <w:end w:w="120" w:type="dxa"/>
            </w:tcMar>
            <w:vAlign w:val="center"/>
            <w:shd w:fill="F8F3F1"/>
          </w:tcPr>
          <w:p>
            <w:pPr>
              <w:spacing w:after="0" w:line="252" w:lineRule="auto"/>
            </w:pPr>
            <w:r>
              <w:rPr>
                <w:rFonts w:ascii="Aptos" w:hAnsi="Aptos"/>
                <w:color w:val="120F0A"/>
                <w:sz w:val="18"/>
              </w:rPr>
              <w:t>Can the event run within an approved budget without depending on speculative money?</w:t>
            </w:r>
          </w:p>
        </w:tc>
      </w:tr>
      <w:tr>
        <w:tc>
          <w:tcPr>
            <w:tcW w:type="dxa" w:w="1928"/>
            <w:tcMar>
              <w:top w:w="105" w:type="dxa"/>
              <w:start w:w="120" w:type="dxa"/>
              <w:bottom w:w="105" w:type="dxa"/>
              <w:end w:w="120" w:type="dxa"/>
            </w:tcMar>
            <w:vAlign w:val="center"/>
          </w:tcPr>
          <w:p>
            <w:pPr>
              <w:spacing w:after="0" w:line="252" w:lineRule="auto"/>
            </w:pPr>
            <w:r>
              <w:rPr>
                <w:rFonts w:ascii="Aptos" w:hAnsi="Aptos"/>
                <w:color w:val="120F0A"/>
                <w:sz w:val="18"/>
              </w:rPr>
              <w:t>Sponsor fit</w:t>
            </w:r>
          </w:p>
        </w:tc>
        <w:tc>
          <w:tcPr>
            <w:tcW w:type="dxa" w:w="7313"/>
            <w:tcMar>
              <w:top w:w="105" w:type="dxa"/>
              <w:start w:w="120" w:type="dxa"/>
              <w:bottom w:w="105" w:type="dxa"/>
              <w:end w:w="120" w:type="dxa"/>
            </w:tcMar>
            <w:vAlign w:val="center"/>
          </w:tcPr>
          <w:p>
            <w:pPr>
              <w:spacing w:after="0" w:line="252" w:lineRule="auto"/>
            </w:pPr>
            <w:r>
              <w:rPr>
                <w:rFonts w:ascii="Aptos" w:hAnsi="Aptos"/>
                <w:color w:val="120F0A"/>
                <w:sz w:val="18"/>
              </w:rPr>
              <w:t>Is there a credible local or national sponsor path without inventing benefits?</w:t>
            </w:r>
          </w:p>
        </w:tc>
      </w:tr>
      <w:tr>
        <w:tc>
          <w:tcPr>
            <w:tcW w:type="dxa" w:w="1928"/>
            <w:tcMar>
              <w:top w:w="105" w:type="dxa"/>
              <w:start w:w="120" w:type="dxa"/>
              <w:bottom w:w="105" w:type="dxa"/>
              <w:end w:w="120" w:type="dxa"/>
            </w:tcMar>
            <w:vAlign w:val="center"/>
            <w:shd w:fill="F8F3F1"/>
          </w:tcPr>
          <w:p>
            <w:pPr>
              <w:spacing w:after="0" w:line="252" w:lineRule="auto"/>
            </w:pPr>
            <w:r>
              <w:rPr>
                <w:rFonts w:ascii="Aptos" w:hAnsi="Aptos"/>
                <w:color w:val="120F0A"/>
                <w:sz w:val="18"/>
              </w:rPr>
              <w:t>Calendar</w:t>
            </w:r>
          </w:p>
        </w:tc>
        <w:tc>
          <w:tcPr>
            <w:tcW w:type="dxa" w:w="7313"/>
            <w:tcMar>
              <w:top w:w="105" w:type="dxa"/>
              <w:start w:w="120" w:type="dxa"/>
              <w:bottom w:w="105" w:type="dxa"/>
              <w:end w:w="120" w:type="dxa"/>
            </w:tcMar>
            <w:vAlign w:val="center"/>
            <w:shd w:fill="F8F3F1"/>
          </w:tcPr>
          <w:p>
            <w:pPr>
              <w:spacing w:after="0" w:line="252" w:lineRule="auto"/>
            </w:pPr>
            <w:r>
              <w:rPr>
                <w:rFonts w:ascii="Aptos" w:hAnsi="Aptos"/>
                <w:color w:val="120F0A"/>
                <w:sz w:val="18"/>
              </w:rPr>
              <w:t>Can the zonal finish by 30 November with enough time for finalist verification?</w:t>
            </w:r>
          </w:p>
        </w:tc>
      </w:tr>
    </w:tbl>
    <w:p>
      <w:pPr>
        <w:spacing w:after="20"/>
      </w:pPr>
    </w:p>
    <w:p>
      <w:pPr>
        <w:pStyle w:val="Heading2"/>
        <w:keepNext/>
      </w:pPr>
      <w:r>
        <w:t>Campaign city register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28"/>
        <w:gridCol w:w="1928"/>
        <w:gridCol w:w="1928"/>
        <w:gridCol w:w="1928"/>
        <w:gridCol w:w="1928"/>
      </w:tblGrid>
      <w:tr>
        <w:trPr>
          <w:tblHeader w:val="true"/>
        </w:trPr>
        <w:tc>
          <w:tcPr>
            <w:tcW w:type="dxa" w:w="1417"/>
            <w:shd w:fill="97192C"/>
            <w:tcMar>
              <w:top w:w="115" w:type="dxa"/>
              <w:start w:w="120" w:type="dxa"/>
              <w:bottom w:w="115" w:type="dxa"/>
              <w:end w:w="120" w:type="dxa"/>
            </w:tcMar>
            <w:vAlign w:val="center"/>
          </w:tcPr>
          <w:p>
            <w:pPr>
              <w:spacing w:after="0"/>
              <w:jc w:val="center"/>
            </w:pPr>
            <w:r>
              <w:rPr>
                <w:rFonts w:ascii="Aptos" w:hAnsi="Aptos"/>
                <w:b/>
                <w:color w:val="FFFFFF"/>
                <w:sz w:val="18"/>
              </w:rPr>
              <w:t>Slot</w:t>
            </w:r>
          </w:p>
        </w:tc>
        <w:tc>
          <w:tcPr>
            <w:tcW w:type="dxa" w:w="2438"/>
            <w:shd w:fill="97192C"/>
            <w:tcMar>
              <w:top w:w="115" w:type="dxa"/>
              <w:start w:w="120" w:type="dxa"/>
              <w:bottom w:w="115" w:type="dxa"/>
              <w:end w:w="120" w:type="dxa"/>
            </w:tcMar>
            <w:vAlign w:val="center"/>
          </w:tcPr>
          <w:p>
            <w:pPr>
              <w:spacing w:after="0"/>
              <w:jc w:val="center"/>
            </w:pPr>
            <w:r>
              <w:rPr>
                <w:rFonts w:ascii="Aptos" w:hAnsi="Aptos"/>
                <w:b/>
                <w:color w:val="FFFFFF"/>
                <w:sz w:val="18"/>
              </w:rPr>
              <w:t>City</w:t>
            </w:r>
          </w:p>
        </w:tc>
        <w:tc>
          <w:tcPr>
            <w:tcW w:type="dxa" w:w="1871"/>
            <w:shd w:fill="97192C"/>
            <w:tcMar>
              <w:top w:w="115" w:type="dxa"/>
              <w:start w:w="120" w:type="dxa"/>
              <w:bottom w:w="115" w:type="dxa"/>
              <w:end w:w="120" w:type="dxa"/>
            </w:tcMar>
            <w:vAlign w:val="center"/>
          </w:tcPr>
          <w:p>
            <w:pPr>
              <w:spacing w:after="0"/>
              <w:jc w:val="center"/>
            </w:pPr>
            <w:r>
              <w:rPr>
                <w:rFonts w:ascii="Aptos" w:hAnsi="Aptos"/>
                <w:b/>
                <w:color w:val="FFFFFF"/>
                <w:sz w:val="18"/>
              </w:rPr>
              <w:t>Format</w:t>
            </w:r>
          </w:p>
        </w:tc>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Date</w:t>
            </w:r>
          </w:p>
        </w:tc>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Readiness</w:t>
            </w:r>
          </w:p>
        </w:tc>
      </w:tr>
      <w:tr>
        <w:tc>
          <w:tcPr>
            <w:tcW w:type="dxa" w:w="1417"/>
            <w:tcMar>
              <w:top w:w="105" w:type="dxa"/>
              <w:start w:w="120" w:type="dxa"/>
              <w:bottom w:w="105" w:type="dxa"/>
              <w:end w:w="120" w:type="dxa"/>
            </w:tcMar>
            <w:vAlign w:val="center"/>
          </w:tcPr>
          <w:p>
            <w:pPr>
              <w:spacing w:after="0" w:line="252" w:lineRule="auto"/>
            </w:pPr>
            <w:r>
              <w:rPr>
                <w:rFonts w:ascii="Aptos" w:hAnsi="Aptos"/>
                <w:color w:val="120F0A"/>
                <w:sz w:val="17"/>
              </w:rPr>
              <w:t>City 01</w:t>
            </w:r>
          </w:p>
        </w:tc>
        <w:tc>
          <w:tcPr>
            <w:tcW w:type="dxa" w:w="2438"/>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shd w:fill="F8F3F1"/>
          </w:tcPr>
          <w:p>
            <w:pPr>
              <w:spacing w:after="0" w:line="252" w:lineRule="auto"/>
            </w:pPr>
            <w:r>
              <w:rPr>
                <w:rFonts w:ascii="Aptos" w:hAnsi="Aptos"/>
                <w:color w:val="120F0A"/>
                <w:sz w:val="17"/>
              </w:rPr>
              <w:t>City 02</w:t>
            </w:r>
          </w:p>
        </w:tc>
        <w:tc>
          <w:tcPr>
            <w:tcW w:type="dxa" w:w="243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tcPr>
          <w:p>
            <w:pPr>
              <w:spacing w:after="0" w:line="252" w:lineRule="auto"/>
            </w:pPr>
            <w:r>
              <w:rPr>
                <w:rFonts w:ascii="Aptos" w:hAnsi="Aptos"/>
                <w:color w:val="120F0A"/>
                <w:sz w:val="17"/>
              </w:rPr>
              <w:t>City 03</w:t>
            </w:r>
          </w:p>
        </w:tc>
        <w:tc>
          <w:tcPr>
            <w:tcW w:type="dxa" w:w="2438"/>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shd w:fill="F8F3F1"/>
          </w:tcPr>
          <w:p>
            <w:pPr>
              <w:spacing w:after="0" w:line="252" w:lineRule="auto"/>
            </w:pPr>
            <w:r>
              <w:rPr>
                <w:rFonts w:ascii="Aptos" w:hAnsi="Aptos"/>
                <w:color w:val="120F0A"/>
                <w:sz w:val="17"/>
              </w:rPr>
              <w:t>City 04</w:t>
            </w:r>
          </w:p>
        </w:tc>
        <w:tc>
          <w:tcPr>
            <w:tcW w:type="dxa" w:w="243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tcPr>
          <w:p>
            <w:pPr>
              <w:spacing w:after="0" w:line="252" w:lineRule="auto"/>
            </w:pPr>
            <w:r>
              <w:rPr>
                <w:rFonts w:ascii="Aptos" w:hAnsi="Aptos"/>
                <w:color w:val="120F0A"/>
                <w:sz w:val="17"/>
              </w:rPr>
              <w:t>City 05</w:t>
            </w:r>
          </w:p>
        </w:tc>
        <w:tc>
          <w:tcPr>
            <w:tcW w:type="dxa" w:w="2438"/>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shd w:fill="F8F3F1"/>
          </w:tcPr>
          <w:p>
            <w:pPr>
              <w:spacing w:after="0" w:line="252" w:lineRule="auto"/>
            </w:pPr>
            <w:r>
              <w:rPr>
                <w:rFonts w:ascii="Aptos" w:hAnsi="Aptos"/>
                <w:color w:val="120F0A"/>
                <w:sz w:val="17"/>
              </w:rPr>
              <w:t>City 06</w:t>
            </w:r>
          </w:p>
        </w:tc>
        <w:tc>
          <w:tcPr>
            <w:tcW w:type="dxa" w:w="243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tcPr>
          <w:p>
            <w:pPr>
              <w:spacing w:after="0" w:line="252" w:lineRule="auto"/>
            </w:pPr>
            <w:r>
              <w:rPr>
                <w:rFonts w:ascii="Aptos" w:hAnsi="Aptos"/>
                <w:color w:val="120F0A"/>
                <w:sz w:val="17"/>
              </w:rPr>
              <w:t>City 07</w:t>
            </w:r>
          </w:p>
        </w:tc>
        <w:tc>
          <w:tcPr>
            <w:tcW w:type="dxa" w:w="2438"/>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shd w:fill="F8F3F1"/>
          </w:tcPr>
          <w:p>
            <w:pPr>
              <w:spacing w:after="0" w:line="252" w:lineRule="auto"/>
            </w:pPr>
            <w:r>
              <w:rPr>
                <w:rFonts w:ascii="Aptos" w:hAnsi="Aptos"/>
                <w:color w:val="120F0A"/>
                <w:sz w:val="17"/>
              </w:rPr>
              <w:t>City 08</w:t>
            </w:r>
          </w:p>
        </w:tc>
        <w:tc>
          <w:tcPr>
            <w:tcW w:type="dxa" w:w="243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tcPr>
          <w:p>
            <w:pPr>
              <w:spacing w:after="0" w:line="252" w:lineRule="auto"/>
            </w:pPr>
            <w:r>
              <w:rPr>
                <w:rFonts w:ascii="Aptos" w:hAnsi="Aptos"/>
                <w:color w:val="120F0A"/>
                <w:sz w:val="17"/>
              </w:rPr>
              <w:t>City 09</w:t>
            </w:r>
          </w:p>
        </w:tc>
        <w:tc>
          <w:tcPr>
            <w:tcW w:type="dxa" w:w="2438"/>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shd w:fill="F8F3F1"/>
          </w:tcPr>
          <w:p>
            <w:pPr>
              <w:spacing w:after="0" w:line="252" w:lineRule="auto"/>
            </w:pPr>
            <w:r>
              <w:rPr>
                <w:rFonts w:ascii="Aptos" w:hAnsi="Aptos"/>
                <w:color w:val="120F0A"/>
                <w:sz w:val="17"/>
              </w:rPr>
              <w:t>City 10</w:t>
            </w:r>
          </w:p>
        </w:tc>
        <w:tc>
          <w:tcPr>
            <w:tcW w:type="dxa" w:w="243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tcPr>
          <w:p>
            <w:pPr>
              <w:spacing w:after="0" w:line="252" w:lineRule="auto"/>
            </w:pPr>
            <w:r>
              <w:rPr>
                <w:rFonts w:ascii="Aptos" w:hAnsi="Aptos"/>
                <w:color w:val="120F0A"/>
                <w:sz w:val="17"/>
              </w:rPr>
              <w:t>City 11</w:t>
            </w:r>
          </w:p>
        </w:tc>
        <w:tc>
          <w:tcPr>
            <w:tcW w:type="dxa" w:w="2438"/>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Open</w:t>
            </w:r>
          </w:p>
        </w:tc>
      </w:tr>
      <w:tr>
        <w:tc>
          <w:tcPr>
            <w:tcW w:type="dxa" w:w="1417"/>
            <w:tcMar>
              <w:top w:w="105" w:type="dxa"/>
              <w:start w:w="120" w:type="dxa"/>
              <w:bottom w:w="105" w:type="dxa"/>
              <w:end w:w="120" w:type="dxa"/>
            </w:tcMar>
            <w:vAlign w:val="center"/>
            <w:shd w:fill="F8F3F1"/>
          </w:tcPr>
          <w:p>
            <w:pPr>
              <w:spacing w:after="0" w:line="252" w:lineRule="auto"/>
            </w:pPr>
            <w:r>
              <w:rPr>
                <w:rFonts w:ascii="Aptos" w:hAnsi="Aptos"/>
                <w:color w:val="120F0A"/>
                <w:sz w:val="17"/>
              </w:rPr>
              <w:t>City 12</w:t>
            </w:r>
          </w:p>
        </w:tc>
        <w:tc>
          <w:tcPr>
            <w:tcW w:type="dxa" w:w="243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7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Open</w:t>
            </w:r>
          </w:p>
        </w:tc>
      </w:tr>
    </w:tbl>
    <w:p>
      <w:pPr>
        <w:pageBreakBefore/>
        <w:spacing w:after="100"/>
      </w:pPr>
      <w:r>
        <w:rPr>
          <w:rFonts w:ascii="Aptos" w:hAnsi="Aptos"/>
          <w:b/>
          <w:color w:val="97192C"/>
          <w:sz w:val="17"/>
        </w:rPr>
        <w:t>CITY RECORDS</w:t>
      </w:r>
    </w:p>
    <w:p>
      <w:pPr>
        <w:pStyle w:val="Heading1"/>
        <w:keepNext/>
      </w:pPr>
      <w:r>
        <w:t>City records 01 to 03</w:t>
      </w:r>
    </w:p>
    <w:p>
      <w:pPr>
        <w:pStyle w:val="Heading2"/>
        <w:keepNext/>
        <w:spacing w:before="140"/>
      </w:pPr>
      <w:r>
        <w:t>City 01</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02</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03</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ageBreakBefore/>
        <w:spacing w:after="100"/>
      </w:pPr>
      <w:r>
        <w:rPr>
          <w:rFonts w:ascii="Aptos" w:hAnsi="Aptos"/>
          <w:b/>
          <w:color w:val="97192C"/>
          <w:sz w:val="17"/>
        </w:rPr>
        <w:t>CITY RECORDS</w:t>
      </w:r>
    </w:p>
    <w:p>
      <w:pPr>
        <w:pStyle w:val="Heading1"/>
        <w:keepNext/>
      </w:pPr>
      <w:r>
        <w:t>City records 04 to 06</w:t>
      </w:r>
    </w:p>
    <w:p>
      <w:pPr>
        <w:pStyle w:val="Heading2"/>
        <w:keepNext/>
        <w:spacing w:before="140"/>
      </w:pPr>
      <w:r>
        <w:t>City 04</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05</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06</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ageBreakBefore/>
        <w:spacing w:after="100"/>
      </w:pPr>
      <w:r>
        <w:rPr>
          <w:rFonts w:ascii="Aptos" w:hAnsi="Aptos"/>
          <w:b/>
          <w:color w:val="97192C"/>
          <w:sz w:val="17"/>
        </w:rPr>
        <w:t>CITY RECORDS</w:t>
      </w:r>
    </w:p>
    <w:p>
      <w:pPr>
        <w:pStyle w:val="Heading1"/>
        <w:keepNext/>
      </w:pPr>
      <w:r>
        <w:t>City records 07 to 09</w:t>
      </w:r>
    </w:p>
    <w:p>
      <w:pPr>
        <w:pStyle w:val="Heading2"/>
        <w:keepNext/>
        <w:spacing w:before="140"/>
      </w:pPr>
      <w:r>
        <w:t>City 07</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08</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09</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ageBreakBefore/>
        <w:spacing w:after="100"/>
      </w:pPr>
      <w:r>
        <w:rPr>
          <w:rFonts w:ascii="Aptos" w:hAnsi="Aptos"/>
          <w:b/>
          <w:color w:val="97192C"/>
          <w:sz w:val="17"/>
        </w:rPr>
        <w:t>CITY RECORDS</w:t>
      </w:r>
    </w:p>
    <w:p>
      <w:pPr>
        <w:pStyle w:val="Heading1"/>
        <w:keepNext/>
      </w:pPr>
      <w:r>
        <w:t>City records 10 to 12</w:t>
      </w:r>
    </w:p>
    <w:p>
      <w:pPr>
        <w:pStyle w:val="Heading2"/>
        <w:keepNext/>
        <w:spacing w:before="140"/>
      </w:pPr>
      <w:r>
        <w:t>City 10</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11</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Style w:val="Heading2"/>
        <w:keepNext/>
        <w:spacing w:before="140"/>
      </w:pPr>
      <w:r>
        <w:t>City 12</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City</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Status</w:t>
            </w:r>
          </w:p>
        </w:tc>
        <w:tc>
          <w:tcPr>
            <w:tcW w:type="dxa" w:w="2409"/>
            <w:tcMar>
              <w:top w:w="85" w:type="dxa"/>
              <w:start w:w="95" w:type="dxa"/>
              <w:bottom w:w="85" w:type="dxa"/>
              <w:end w:w="95" w:type="dxa"/>
            </w:tcMar>
            <w:vAlign w:val="center"/>
          </w:tcPr>
          <w:p>
            <w:pPr>
              <w:spacing w:after="0"/>
            </w:pPr>
            <w:r>
              <w:rPr>
                <w:rFonts w:ascii="Aptos" w:hAnsi="Aptos"/>
                <w:color w:val="120F0A"/>
                <w:sz w:val="17"/>
              </w:rPr>
              <w:t>Not selected</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Host and venue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Proposed date</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Format</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Capacity</w:t>
            </w:r>
          </w:p>
        </w:tc>
        <w:tc>
          <w:tcPr>
            <w:tcW w:type="dxa" w:w="2409"/>
            <w:tcMar>
              <w:top w:w="85" w:type="dxa"/>
              <w:start w:w="95" w:type="dxa"/>
              <w:bottom w:w="85" w:type="dxa"/>
              <w:end w:w="95" w:type="dxa"/>
            </w:tcMar>
            <w:vAlign w:val="center"/>
          </w:tcPr>
          <w:p>
            <w:pPr>
              <w:spacing w:after="0"/>
            </w:pPr>
            <w:r>
              <w:rPr>
                <w:rFonts w:ascii="Aptos" w:hAnsi="Aptos"/>
                <w:color w:val="120F0A"/>
                <w:sz w:val="17"/>
              </w:rPr>
              <w:t>Open decision</w:t>
            </w:r>
          </w:p>
        </w:tc>
      </w:tr>
      <w:tr>
        <w:tc>
          <w:tcPr>
            <w:tcW w:type="dxa" w:w="2409"/>
            <w:tcMar>
              <w:top w:w="85" w:type="dxa"/>
              <w:start w:w="95" w:type="dxa"/>
              <w:bottom w:w="85" w:type="dxa"/>
              <w:end w:w="95" w:type="dxa"/>
            </w:tcMar>
            <w:vAlign w:val="center"/>
            <w:shd w:fill="FFF4E5"/>
          </w:tcPr>
          <w:p>
            <w:pPr>
              <w:spacing w:after="0"/>
            </w:pPr>
            <w:r>
              <w:rPr>
                <w:rFonts w:ascii="Aptos" w:hAnsi="Aptos"/>
                <w:b/>
                <w:color w:val="120F0A"/>
                <w:sz w:val="16"/>
              </w:rPr>
              <w:t>Local readiness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c>
          <w:tcPr>
            <w:tcW w:type="dxa" w:w="2409"/>
            <w:tcMar>
              <w:top w:w="85" w:type="dxa"/>
              <w:start w:w="95" w:type="dxa"/>
              <w:bottom w:w="85" w:type="dxa"/>
              <w:end w:w="95" w:type="dxa"/>
            </w:tcMar>
            <w:vAlign w:val="center"/>
            <w:shd w:fill="FFF4E5"/>
          </w:tcPr>
          <w:p>
            <w:pPr>
              <w:spacing w:after="0"/>
            </w:pPr>
            <w:r>
              <w:rPr>
                <w:rFonts w:ascii="Aptos" w:hAnsi="Aptos"/>
                <w:b/>
                <w:color w:val="120F0A"/>
                <w:sz w:val="16"/>
              </w:rPr>
              <w:t>Sponsor status</w:t>
            </w:r>
          </w:p>
        </w:tc>
        <w:tc>
          <w:tcPr>
            <w:tcW w:type="dxa" w:w="2409"/>
            <w:tcMar>
              <w:top w:w="85" w:type="dxa"/>
              <w:start w:w="95" w:type="dxa"/>
              <w:bottom w:w="85" w:type="dxa"/>
              <w:end w:w="95" w:type="dxa"/>
            </w:tcMar>
            <w:vAlign w:val="center"/>
          </w:tcPr>
          <w:p>
            <w:pPr>
              <w:spacing w:after="0"/>
            </w:pPr>
            <w:r>
              <w:rPr>
                <w:rFonts w:ascii="Aptos" w:hAnsi="Aptos"/>
                <w:color w:val="120F0A"/>
                <w:sz w:val="17"/>
              </w:rPr>
              <w:t>________________</w:t>
            </w:r>
          </w:p>
        </w:tc>
      </w:tr>
    </w:tbl>
    <w:p>
      <w:pPr>
        <w:spacing w:before="60" w:after="60"/>
      </w:pPr>
      <w:r>
        <w:rPr>
          <w:rFonts w:ascii="Aptos" w:hAnsi="Aptos"/>
          <w:color w:val="595959"/>
          <w:sz w:val="16"/>
        </w:rPr>
        <w:t>Safety gate  adult coverage ____  guardian workflow ____  perimeter and resting plan ____  emergency plan ____</w:t>
      </w:r>
    </w:p>
    <w:p>
      <w:pPr>
        <w:spacing w:after="100"/>
      </w:pPr>
      <w:r>
        <w:rPr>
          <w:rFonts w:ascii="Aptos" w:hAnsi="Aptos"/>
          <w:color w:val="595959"/>
          <w:sz w:val="16"/>
        </w:rPr>
        <w:t>Next decision  __________________________________________________________________________________</w:t>
      </w:r>
    </w:p>
    <w:p>
      <w:pPr>
        <w:pageBreakBefore/>
        <w:spacing w:after="100"/>
      </w:pPr>
      <w:r>
        <w:rPr>
          <w:rFonts w:ascii="Aptos" w:hAnsi="Aptos"/>
          <w:b/>
          <w:color w:val="97192C"/>
          <w:sz w:val="17"/>
        </w:rPr>
        <w:t>PARTICIPANTS</w:t>
      </w:r>
    </w:p>
    <w:p>
      <w:pPr>
        <w:pStyle w:val="Heading1"/>
        <w:keepNext/>
      </w:pPr>
      <w:r>
        <w:t>The high school target belongs to the whole campaign</w:t>
      </w:r>
    </w:p>
    <w:p>
      <w:pPr>
        <w:spacing w:after="120" w:line="269" w:lineRule="auto"/>
      </w:pPr>
      <w:r>
        <w:rPr>
          <w:rFonts w:ascii="Aptos" w:hAnsi="Aptos"/>
          <w:i w:val="0"/>
          <w:color w:val="120F0A"/>
          <w:sz w:val="21"/>
        </w:rPr>
        <w:t>The 80 percent target is measured across verified participants in all twelve zonals. A city may sit above or below 80 percent. The combined campaign should finish at or above it.</w:t>
      </w:r>
    </w:p>
    <w:p>
      <w:pPr>
        <w:pStyle w:val="Heading2"/>
        <w:keepNext/>
      </w:pPr>
      <w:r>
        <w:t>Measurement rule</w:t>
      </w:r>
    </w:p>
    <w:p>
      <w:pPr>
        <w:spacing w:after="120" w:line="269" w:lineRule="auto"/>
      </w:pPr>
      <w:r>
        <w:rPr>
          <w:rFonts w:ascii="Aptos" w:hAnsi="Aptos"/>
          <w:i w:val="0"/>
          <w:color w:val="120F0A"/>
          <w:sz w:val="21"/>
        </w:rPr>
        <w:t>Verified participant means a person whose eligibility and attendance have been confirmed under the campaign's registration process. Raw form submissions, duplicate registrations, cancelled registrations, and people who do not participate should not enter the denominator.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2551"/>
            <w:shd w:fill="97192C"/>
            <w:tcMar>
              <w:top w:w="115" w:type="dxa"/>
              <w:start w:w="120" w:type="dxa"/>
              <w:bottom w:w="115" w:type="dxa"/>
              <w:end w:w="120" w:type="dxa"/>
            </w:tcMar>
            <w:vAlign w:val="center"/>
          </w:tcPr>
          <w:p>
            <w:pPr>
              <w:spacing w:after="0"/>
              <w:jc w:val="center"/>
            </w:pPr>
            <w:r>
              <w:rPr>
                <w:rFonts w:ascii="Aptos" w:hAnsi="Aptos"/>
                <w:b/>
                <w:color w:val="FFFFFF"/>
                <w:sz w:val="18"/>
              </w:rPr>
              <w:t>Measure</w:t>
            </w:r>
          </w:p>
        </w:tc>
        <w:tc>
          <w:tcPr>
            <w:tcW w:type="dxa" w:w="4762"/>
            <w:shd w:fill="97192C"/>
            <w:tcMar>
              <w:top w:w="115" w:type="dxa"/>
              <w:start w:w="120" w:type="dxa"/>
              <w:bottom w:w="115" w:type="dxa"/>
              <w:end w:w="120" w:type="dxa"/>
            </w:tcMar>
            <w:vAlign w:val="center"/>
          </w:tcPr>
          <w:p>
            <w:pPr>
              <w:spacing w:after="0"/>
              <w:jc w:val="center"/>
            </w:pPr>
            <w:r>
              <w:rPr>
                <w:rFonts w:ascii="Aptos" w:hAnsi="Aptos"/>
                <w:b/>
                <w:color w:val="FFFFFF"/>
                <w:sz w:val="18"/>
              </w:rPr>
              <w:t>Definition</w:t>
            </w:r>
          </w:p>
        </w:tc>
        <w:tc>
          <w:tcPr>
            <w:tcW w:type="dxa" w:w="1928"/>
            <w:shd w:fill="97192C"/>
            <w:tcMar>
              <w:top w:w="115" w:type="dxa"/>
              <w:start w:w="120" w:type="dxa"/>
              <w:bottom w:w="115" w:type="dxa"/>
              <w:end w:w="120" w:type="dxa"/>
            </w:tcMar>
            <w:vAlign w:val="center"/>
          </w:tcPr>
          <w:p>
            <w:pPr>
              <w:spacing w:after="0"/>
              <w:jc w:val="center"/>
            </w:pPr>
            <w:r>
              <w:rPr>
                <w:rFonts w:ascii="Aptos" w:hAnsi="Aptos"/>
                <w:b/>
                <w:color w:val="FFFFFF"/>
                <w:sz w:val="18"/>
              </w:rPr>
              <w:t>Current value</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7"/>
              </w:rPr>
              <w:t>Verified participants</w:t>
            </w:r>
          </w:p>
        </w:tc>
        <w:tc>
          <w:tcPr>
            <w:tcW w:type="dxa" w:w="4762"/>
            <w:tcMar>
              <w:top w:w="105" w:type="dxa"/>
              <w:start w:w="120" w:type="dxa"/>
              <w:bottom w:w="105" w:type="dxa"/>
              <w:end w:w="120" w:type="dxa"/>
            </w:tcMar>
            <w:vAlign w:val="center"/>
          </w:tcPr>
          <w:p>
            <w:pPr>
              <w:spacing w:after="0" w:line="252" w:lineRule="auto"/>
            </w:pPr>
            <w:r>
              <w:rPr>
                <w:rFonts w:ascii="Aptos" w:hAnsi="Aptos"/>
                <w:color w:val="120F0A"/>
                <w:sz w:val="17"/>
              </w:rPr>
              <w:t>All verified participants across completed zonals</w:t>
            </w:r>
          </w:p>
        </w:tc>
        <w:tc>
          <w:tcPr>
            <w:tcW w:type="dxa" w:w="1928"/>
            <w:tcMar>
              <w:top w:w="105" w:type="dxa"/>
              <w:start w:w="120" w:type="dxa"/>
              <w:bottom w:w="105" w:type="dxa"/>
              <w:end w:w="120" w:type="dxa"/>
            </w:tcMar>
            <w:vAlign w:val="center"/>
          </w:tcPr>
          <w:p>
            <w:pPr>
              <w:spacing w:after="0" w:line="252" w:lineRule="auto"/>
              <w:jc w:val="center"/>
            </w:pPr>
            <w:r>
              <w:rPr>
                <w:rFonts w:ascii="Aptos" w:hAnsi="Aptos"/>
                <w:color w:val="120F0A"/>
                <w:sz w:val="17"/>
              </w:rPr>
              <w:t>0</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7"/>
              </w:rPr>
              <w:t>Verified high school participants</w:t>
            </w:r>
          </w:p>
        </w:tc>
        <w:tc>
          <w:tcPr>
            <w:tcW w:type="dxa" w:w="4762"/>
            <w:tcMar>
              <w:top w:w="105" w:type="dxa"/>
              <w:start w:w="120" w:type="dxa"/>
              <w:bottom w:w="105" w:type="dxa"/>
              <w:end w:w="120" w:type="dxa"/>
            </w:tcMar>
            <w:vAlign w:val="center"/>
            <w:shd w:fill="F8F3F1"/>
          </w:tcPr>
          <w:p>
            <w:pPr>
              <w:spacing w:after="0" w:line="252" w:lineRule="auto"/>
            </w:pPr>
            <w:r>
              <w:rPr>
                <w:rFonts w:ascii="Aptos" w:hAnsi="Aptos"/>
                <w:color w:val="120F0A"/>
                <w:sz w:val="17"/>
              </w:rPr>
              <w:t>Verified participants attending school at the approved eligibility level</w:t>
            </w:r>
          </w:p>
        </w:tc>
        <w:tc>
          <w:tcPr>
            <w:tcW w:type="dxa" w:w="192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0</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7"/>
              </w:rPr>
              <w:t>High school share</w:t>
            </w:r>
          </w:p>
        </w:tc>
        <w:tc>
          <w:tcPr>
            <w:tcW w:type="dxa" w:w="4762"/>
            <w:tcMar>
              <w:top w:w="105" w:type="dxa"/>
              <w:start w:w="120" w:type="dxa"/>
              <w:bottom w:w="105" w:type="dxa"/>
              <w:end w:w="120" w:type="dxa"/>
            </w:tcMar>
            <w:vAlign w:val="center"/>
          </w:tcPr>
          <w:p>
            <w:pPr>
              <w:spacing w:after="0" w:line="252" w:lineRule="auto"/>
            </w:pPr>
            <w:r>
              <w:rPr>
                <w:rFonts w:ascii="Aptos" w:hAnsi="Aptos"/>
                <w:color w:val="120F0A"/>
                <w:sz w:val="17"/>
              </w:rPr>
              <w:t>Verified high school participants divided by all verified participants</w:t>
            </w:r>
          </w:p>
        </w:tc>
        <w:tc>
          <w:tcPr>
            <w:tcW w:type="dxa" w:w="1928"/>
            <w:tcMar>
              <w:top w:w="105" w:type="dxa"/>
              <w:start w:w="120" w:type="dxa"/>
              <w:bottom w:w="105" w:type="dxa"/>
              <w:end w:w="120" w:type="dxa"/>
            </w:tcMar>
            <w:vAlign w:val="center"/>
          </w:tcPr>
          <w:p>
            <w:pPr>
              <w:spacing w:after="0" w:line="252" w:lineRule="auto"/>
              <w:jc w:val="center"/>
            </w:pPr>
            <w:r>
              <w:rPr>
                <w:rFonts w:ascii="Aptos" w:hAnsi="Aptos"/>
                <w:color w:val="120F0A"/>
                <w:sz w:val="17"/>
              </w:rPr>
              <w:t>Not yet measurable</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7"/>
              </w:rPr>
              <w:t>Target</w:t>
            </w:r>
          </w:p>
        </w:tc>
        <w:tc>
          <w:tcPr>
            <w:tcW w:type="dxa" w:w="4762"/>
            <w:tcMar>
              <w:top w:w="105" w:type="dxa"/>
              <w:start w:w="120" w:type="dxa"/>
              <w:bottom w:w="105" w:type="dxa"/>
              <w:end w:w="120" w:type="dxa"/>
            </w:tcMar>
            <w:vAlign w:val="center"/>
            <w:shd w:fill="F8F3F1"/>
          </w:tcPr>
          <w:p>
            <w:pPr>
              <w:spacing w:after="0" w:line="252" w:lineRule="auto"/>
            </w:pPr>
            <w:r>
              <w:rPr>
                <w:rFonts w:ascii="Aptos" w:hAnsi="Aptos"/>
                <w:color w:val="120F0A"/>
                <w:sz w:val="17"/>
              </w:rPr>
              <w:t>Campaign-wide high school share</w:t>
            </w:r>
          </w:p>
        </w:tc>
        <w:tc>
          <w:tcPr>
            <w:tcW w:type="dxa" w:w="1928"/>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At least 80%</w:t>
            </w:r>
          </w:p>
        </w:tc>
      </w:tr>
    </w:tbl>
    <w:p>
      <w:pPr>
        <w:spacing w:after="20"/>
      </w:pPr>
    </w:p>
    <w:p>
      <w:pPr>
        <w:pStyle w:val="Heading2"/>
        <w:keepNext/>
      </w:pPr>
      <w:r>
        <w:t>Qualification flow</w:t>
      </w:r>
    </w:p>
    <w:p>
      <w:pPr>
        <w:spacing w:after="80"/>
        <w:ind w:left="351" w:hanging="295"/>
      </w:pPr>
      <w:r>
        <w:rPr>
          <w:rFonts w:ascii="Aptos" w:hAnsi="Aptos"/>
          <w:color w:val="120F0A"/>
          <w:sz w:val="20"/>
        </w:rPr>
        <w:t>1.  A zonal accepts submissions through the approved platform and deadline.</w:t>
      </w:r>
    </w:p>
    <w:p>
      <w:pPr>
        <w:spacing w:after="80"/>
        <w:ind w:left="351" w:hanging="295"/>
      </w:pPr>
      <w:r>
        <w:rPr>
          <w:rFonts w:ascii="Aptos" w:hAnsi="Aptos"/>
          <w:color w:val="120F0A"/>
          <w:sz w:val="20"/>
        </w:rPr>
        <w:t>2.  Judges score eligible submissions against the approved rubric.</w:t>
      </w:r>
    </w:p>
    <w:p>
      <w:pPr>
        <w:spacing w:after="80"/>
        <w:ind w:left="351" w:hanging="295"/>
      </w:pPr>
      <w:r>
        <w:rPr>
          <w:rFonts w:ascii="Aptos" w:hAnsi="Aptos"/>
          <w:color w:val="120F0A"/>
          <w:sz w:val="20"/>
        </w:rPr>
        <w:t>3.  The city team records results and resolves conflicts before announcing qualifiers.</w:t>
      </w:r>
    </w:p>
    <w:p>
      <w:pPr>
        <w:spacing w:after="80"/>
        <w:ind w:left="351" w:hanging="295"/>
      </w:pPr>
      <w:r>
        <w:rPr>
          <w:rFonts w:ascii="Aptos" w:hAnsi="Aptos"/>
          <w:color w:val="120F0A"/>
          <w:sz w:val="20"/>
        </w:rPr>
        <w:t>4.  The programme verifies identity, eligibility, guardian documentation, and finalist availability.</w:t>
      </w:r>
    </w:p>
    <w:p>
      <w:pPr>
        <w:spacing w:after="80"/>
        <w:ind w:left="351" w:hanging="295"/>
      </w:pPr>
      <w:r>
        <w:rPr>
          <w:rFonts w:ascii="Aptos" w:hAnsi="Aptos"/>
          <w:color w:val="120F0A"/>
          <w:sz w:val="20"/>
        </w:rPr>
        <w:t>5.  Only verified finalists enter the IIT Bombay final roster.</w:t>
      </w:r>
    </w:p>
    <w:p>
      <w:pPr>
        <w:spacing w:after="120" w:line="269" w:lineRule="auto"/>
      </w:pPr>
      <w:r>
        <w:rPr>
          <w:rFonts w:ascii="Aptos" w:hAnsi="Aptos"/>
          <w:i w:val="0"/>
          <w:color w:val="120F0A"/>
          <w:sz w:val="21"/>
        </w:rPr>
        <w:t>The number of qualifying teams per city, reserve-list rules, travel support, and finalist replacement rules are open decisions. They must be decided before the first zonal results are announced.</w:t>
      </w:r>
    </w:p>
    <w:p>
      <w:pPr>
        <w:pageBreakBefore/>
        <w:spacing w:after="100"/>
      </w:pPr>
      <w:r>
        <w:rPr>
          <w:rFonts w:ascii="Aptos" w:hAnsi="Aptos"/>
          <w:b/>
          <w:color w:val="97192C"/>
          <w:sz w:val="17"/>
        </w:rPr>
        <w:t>SPONSORSHIP</w:t>
      </w:r>
    </w:p>
    <w:p>
      <w:pPr>
        <w:pStyle w:val="Heading1"/>
        <w:keepNext/>
      </w:pPr>
      <w:r>
        <w:t>The sponsorship engine</w:t>
      </w:r>
    </w:p>
    <w:p>
      <w:pPr>
        <w:spacing w:after="120" w:line="269" w:lineRule="auto"/>
      </w:pPr>
      <w:r>
        <w:rPr>
          <w:rFonts w:ascii="Aptos" w:hAnsi="Aptos"/>
          <w:i w:val="0"/>
          <w:color w:val="120F0A"/>
          <w:sz w:val="21"/>
        </w:rPr>
        <w:t>The campaign needs a lot of sponsors. That does not mean every company should receive the same pitch. The pipeline starts with a reason the sponsor fits, then moves through controlled outreach, an approved proposal, a signed agreement, payment, delivery, and reporting.</w:t>
      </w:r>
    </w:p>
    <w:p>
      <w:pPr>
        <w:pStyle w:val="Heading2"/>
        <w:keepNext/>
      </w:pPr>
      <w:r>
        <w:t>What counts toward ₹2 crore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2608"/>
            <w:shd w:fill="97192C"/>
            <w:tcMar>
              <w:top w:w="115" w:type="dxa"/>
              <w:start w:w="120" w:type="dxa"/>
              <w:bottom w:w="115" w:type="dxa"/>
              <w:end w:w="120" w:type="dxa"/>
            </w:tcMar>
            <w:vAlign w:val="center"/>
          </w:tcPr>
          <w:p>
            <w:pPr>
              <w:spacing w:after="0"/>
              <w:jc w:val="center"/>
            </w:pPr>
            <w:r>
              <w:rPr>
                <w:rFonts w:ascii="Aptos" w:hAnsi="Aptos"/>
                <w:b/>
                <w:color w:val="FFFFFF"/>
                <w:sz w:val="18"/>
              </w:rPr>
              <w:t>Item</w:t>
            </w:r>
          </w:p>
        </w:tc>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Counts toward target</w:t>
            </w:r>
          </w:p>
        </w:tc>
        <w:tc>
          <w:tcPr>
            <w:tcW w:type="dxa" w:w="4706"/>
            <w:shd w:fill="97192C"/>
            <w:tcMar>
              <w:top w:w="115" w:type="dxa"/>
              <w:start w:w="120" w:type="dxa"/>
              <w:bottom w:w="115" w:type="dxa"/>
              <w:end w:w="120" w:type="dxa"/>
            </w:tcMar>
            <w:vAlign w:val="center"/>
          </w:tcPr>
          <w:p>
            <w:pPr>
              <w:spacing w:after="0"/>
              <w:jc w:val="center"/>
            </w:pPr>
            <w:r>
              <w:rPr>
                <w:rFonts w:ascii="Aptos" w:hAnsi="Aptos"/>
                <w:b/>
                <w:color w:val="FFFFFF"/>
                <w:sz w:val="18"/>
              </w:rPr>
              <w:t>Treatment</w:t>
            </w:r>
          </w:p>
        </w:tc>
      </w:tr>
      <w:tr>
        <w:tc>
          <w:tcPr>
            <w:tcW w:type="dxa" w:w="2608"/>
            <w:tcMar>
              <w:top w:w="105" w:type="dxa"/>
              <w:start w:w="120" w:type="dxa"/>
              <w:bottom w:w="105" w:type="dxa"/>
              <w:end w:w="120" w:type="dxa"/>
            </w:tcMar>
            <w:vAlign w:val="center"/>
          </w:tcPr>
          <w:p>
            <w:pPr>
              <w:spacing w:after="0" w:line="252" w:lineRule="auto"/>
            </w:pPr>
            <w:r>
              <w:rPr>
                <w:rFonts w:ascii="Aptos" w:hAnsi="Aptos"/>
                <w:color w:val="120F0A"/>
                <w:sz w:val="17"/>
              </w:rPr>
              <w:t>Eligible sponsorship fee received</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Yes</w:t>
            </w:r>
          </w:p>
        </w:tc>
        <w:tc>
          <w:tcPr>
            <w:tcW w:type="dxa" w:w="4706"/>
            <w:tcMar>
              <w:top w:w="105" w:type="dxa"/>
              <w:start w:w="120" w:type="dxa"/>
              <w:bottom w:w="105" w:type="dxa"/>
              <w:end w:w="120" w:type="dxa"/>
            </w:tcMar>
            <w:vAlign w:val="center"/>
          </w:tcPr>
          <w:p>
            <w:pPr>
              <w:spacing w:after="0" w:line="252" w:lineRule="auto"/>
            </w:pPr>
            <w:r>
              <w:rPr>
                <w:rFonts w:ascii="Aptos" w:hAnsi="Aptos"/>
                <w:color w:val="120F0A"/>
                <w:sz w:val="17"/>
              </w:rPr>
              <w:t>Count when cleared in the Foundation's official account</w:t>
            </w:r>
          </w:p>
        </w:tc>
      </w:tr>
      <w:tr>
        <w:tc>
          <w:tcPr>
            <w:tcW w:type="dxa" w:w="2608"/>
            <w:tcMar>
              <w:top w:w="105" w:type="dxa"/>
              <w:start w:w="120" w:type="dxa"/>
              <w:bottom w:w="105" w:type="dxa"/>
              <w:end w:w="120" w:type="dxa"/>
            </w:tcMar>
            <w:vAlign w:val="center"/>
            <w:shd w:fill="F8F3F1"/>
          </w:tcPr>
          <w:p>
            <w:pPr>
              <w:spacing w:after="0" w:line="252" w:lineRule="auto"/>
            </w:pPr>
            <w:r>
              <w:rPr>
                <w:rFonts w:ascii="Aptos" w:hAnsi="Aptos"/>
                <w:color w:val="120F0A"/>
                <w:sz w:val="17"/>
              </w:rPr>
              <w:t>GST collected</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No</w:t>
            </w:r>
          </w:p>
        </w:tc>
        <w:tc>
          <w:tcPr>
            <w:tcW w:type="dxa" w:w="4706"/>
            <w:tcMar>
              <w:top w:w="105" w:type="dxa"/>
              <w:start w:w="120" w:type="dxa"/>
              <w:bottom w:w="105" w:type="dxa"/>
              <w:end w:w="120" w:type="dxa"/>
            </w:tcMar>
            <w:vAlign w:val="center"/>
            <w:shd w:fill="F8F3F1"/>
          </w:tcPr>
          <w:p>
            <w:pPr>
              <w:spacing w:after="0" w:line="252" w:lineRule="auto"/>
            </w:pPr>
            <w:r>
              <w:rPr>
                <w:rFonts w:ascii="Aptos" w:hAnsi="Aptos"/>
                <w:color w:val="120F0A"/>
                <w:sz w:val="17"/>
              </w:rPr>
              <w:t>Tax amount is not campaign sponsorship progress</w:t>
            </w:r>
          </w:p>
        </w:tc>
      </w:tr>
      <w:tr>
        <w:tc>
          <w:tcPr>
            <w:tcW w:type="dxa" w:w="2608"/>
            <w:tcMar>
              <w:top w:w="105" w:type="dxa"/>
              <w:start w:w="120" w:type="dxa"/>
              <w:bottom w:w="105" w:type="dxa"/>
              <w:end w:w="120" w:type="dxa"/>
            </w:tcMar>
            <w:vAlign w:val="center"/>
          </w:tcPr>
          <w:p>
            <w:pPr>
              <w:spacing w:after="0" w:line="252" w:lineRule="auto"/>
            </w:pPr>
            <w:r>
              <w:rPr>
                <w:rFonts w:ascii="Aptos" w:hAnsi="Aptos"/>
                <w:color w:val="120F0A"/>
                <w:sz w:val="17"/>
              </w:rPr>
              <w:t>Unpaid signed commitment</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No</w:t>
            </w:r>
          </w:p>
        </w:tc>
        <w:tc>
          <w:tcPr>
            <w:tcW w:type="dxa" w:w="4706"/>
            <w:tcMar>
              <w:top w:w="105" w:type="dxa"/>
              <w:start w:w="120" w:type="dxa"/>
              <w:bottom w:w="105" w:type="dxa"/>
              <w:end w:w="120" w:type="dxa"/>
            </w:tcMar>
            <w:vAlign w:val="center"/>
          </w:tcPr>
          <w:p>
            <w:pPr>
              <w:spacing w:after="0" w:line="252" w:lineRule="auto"/>
            </w:pPr>
            <w:r>
              <w:rPr>
                <w:rFonts w:ascii="Aptos" w:hAnsi="Aptos"/>
                <w:color w:val="120F0A"/>
                <w:sz w:val="17"/>
              </w:rPr>
              <w:t>Track separately until cash clears</w:t>
            </w:r>
          </w:p>
        </w:tc>
      </w:tr>
      <w:tr>
        <w:tc>
          <w:tcPr>
            <w:tcW w:type="dxa" w:w="2608"/>
            <w:tcMar>
              <w:top w:w="105" w:type="dxa"/>
              <w:start w:w="120" w:type="dxa"/>
              <w:bottom w:w="105" w:type="dxa"/>
              <w:end w:w="120" w:type="dxa"/>
            </w:tcMar>
            <w:vAlign w:val="center"/>
            <w:shd w:fill="F8F3F1"/>
          </w:tcPr>
          <w:p>
            <w:pPr>
              <w:spacing w:after="0" w:line="252" w:lineRule="auto"/>
            </w:pPr>
            <w:r>
              <w:rPr>
                <w:rFonts w:ascii="Aptos" w:hAnsi="Aptos"/>
                <w:color w:val="120F0A"/>
                <w:sz w:val="17"/>
              </w:rPr>
              <w:t>Refunded amount</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No</w:t>
            </w:r>
          </w:p>
        </w:tc>
        <w:tc>
          <w:tcPr>
            <w:tcW w:type="dxa" w:w="4706"/>
            <w:tcMar>
              <w:top w:w="105" w:type="dxa"/>
              <w:start w:w="120" w:type="dxa"/>
              <w:bottom w:w="105" w:type="dxa"/>
              <w:end w:w="120" w:type="dxa"/>
            </w:tcMar>
            <w:vAlign w:val="center"/>
            <w:shd w:fill="F8F3F1"/>
          </w:tcPr>
          <w:p>
            <w:pPr>
              <w:spacing w:after="0" w:line="252" w:lineRule="auto"/>
            </w:pPr>
            <w:r>
              <w:rPr>
                <w:rFonts w:ascii="Aptos" w:hAnsi="Aptos"/>
                <w:color w:val="120F0A"/>
                <w:sz w:val="17"/>
              </w:rPr>
              <w:t>Remove from eligible cash</w:t>
            </w:r>
          </w:p>
        </w:tc>
      </w:tr>
      <w:tr>
        <w:tc>
          <w:tcPr>
            <w:tcW w:type="dxa" w:w="2608"/>
            <w:tcMar>
              <w:top w:w="105" w:type="dxa"/>
              <w:start w:w="120" w:type="dxa"/>
              <w:bottom w:w="105" w:type="dxa"/>
              <w:end w:w="120" w:type="dxa"/>
            </w:tcMar>
            <w:vAlign w:val="center"/>
          </w:tcPr>
          <w:p>
            <w:pPr>
              <w:spacing w:after="0" w:line="252" w:lineRule="auto"/>
            </w:pPr>
            <w:r>
              <w:rPr>
                <w:rFonts w:ascii="Aptos" w:hAnsi="Aptos"/>
                <w:color w:val="120F0A"/>
                <w:sz w:val="17"/>
              </w:rPr>
              <w:t>Cloud credits or other in-kind support</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7"/>
              </w:rPr>
              <w:t>No</w:t>
            </w:r>
          </w:p>
        </w:tc>
        <w:tc>
          <w:tcPr>
            <w:tcW w:type="dxa" w:w="4706"/>
            <w:tcMar>
              <w:top w:w="105" w:type="dxa"/>
              <w:start w:w="120" w:type="dxa"/>
              <w:bottom w:w="105" w:type="dxa"/>
              <w:end w:w="120" w:type="dxa"/>
            </w:tcMar>
            <w:vAlign w:val="center"/>
          </w:tcPr>
          <w:p>
            <w:pPr>
              <w:spacing w:after="0" w:line="252" w:lineRule="auto"/>
            </w:pPr>
            <w:r>
              <w:rPr>
                <w:rFonts w:ascii="Aptos" w:hAnsi="Aptos"/>
                <w:color w:val="120F0A"/>
                <w:sz w:val="17"/>
              </w:rPr>
              <w:t>Track at a separately documented value</w:t>
            </w:r>
          </w:p>
        </w:tc>
      </w:tr>
      <w:tr>
        <w:tc>
          <w:tcPr>
            <w:tcW w:type="dxa" w:w="2608"/>
            <w:tcMar>
              <w:top w:w="105" w:type="dxa"/>
              <w:start w:w="120" w:type="dxa"/>
              <w:bottom w:w="105" w:type="dxa"/>
              <w:end w:w="120" w:type="dxa"/>
            </w:tcMar>
            <w:vAlign w:val="center"/>
            <w:shd w:fill="F8F3F1"/>
          </w:tcPr>
          <w:p>
            <w:pPr>
              <w:spacing w:after="0" w:line="252" w:lineRule="auto"/>
            </w:pPr>
            <w:r>
              <w:rPr>
                <w:rFonts w:ascii="Aptos" w:hAnsi="Aptos"/>
                <w:color w:val="120F0A"/>
                <w:sz w:val="17"/>
              </w:rPr>
              <w:t>Stall or eligible venue activation revenue</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t>Separate</w:t>
            </w:r>
          </w:p>
        </w:tc>
        <w:tc>
          <w:tcPr>
            <w:tcW w:type="dxa" w:w="4706"/>
            <w:tcMar>
              <w:top w:w="105" w:type="dxa"/>
              <w:start w:w="120" w:type="dxa"/>
              <w:bottom w:w="105" w:type="dxa"/>
              <w:end w:w="120" w:type="dxa"/>
            </w:tcMar>
            <w:vAlign w:val="center"/>
            <w:shd w:fill="F8F3F1"/>
          </w:tcPr>
          <w:p>
            <w:pPr>
              <w:spacing w:after="0" w:line="252" w:lineRule="auto"/>
            </w:pPr>
            <w:r>
              <w:rPr>
                <w:rFonts w:ascii="Aptos" w:hAnsi="Aptos"/>
                <w:color w:val="120F0A"/>
                <w:sz w:val="17"/>
              </w:rPr>
              <w:t>Apply the agreed revenue treatment only after the category is confirmed in writing</w:t>
            </w:r>
          </w:p>
        </w:tc>
      </w:tr>
    </w:tbl>
    <w:p>
      <w:pPr>
        <w:spacing w:after="20"/>
      </w:pPr>
    </w:p>
    <w:p>
      <w:pPr>
        <w:pStyle w:val="Heading2"/>
        <w:keepNext/>
      </w:pPr>
      <w:r>
        <w:t>Sponsor categories to research</w:t>
      </w:r>
    </w:p>
    <w:p>
      <w:pPr>
        <w:pStyle w:val="ListBullet"/>
        <w:spacing w:after="60" w:line="259" w:lineRule="auto"/>
      </w:pPr>
      <w:r>
        <w:rPr>
          <w:rFonts w:ascii="Aptos" w:hAnsi="Aptos"/>
          <w:color w:val="120F0A"/>
          <w:sz w:val="20"/>
        </w:rPr>
        <w:t>Developer tools, AI infrastructure, cloud platforms, data and cybersecurity products.</w:t>
      </w:r>
    </w:p>
    <w:p>
      <w:pPr>
        <w:pStyle w:val="ListBullet"/>
        <w:spacing w:after="60" w:line="259" w:lineRule="auto"/>
      </w:pPr>
      <w:r>
        <w:rPr>
          <w:rFonts w:ascii="Aptos" w:hAnsi="Aptos"/>
          <w:color w:val="120F0A"/>
          <w:sz w:val="20"/>
        </w:rPr>
        <w:t>Hardware, electronics, robotics, maker tools, and prototyping support.</w:t>
      </w:r>
    </w:p>
    <w:p>
      <w:pPr>
        <w:pStyle w:val="ListBullet"/>
        <w:spacing w:after="60" w:line="259" w:lineRule="auto"/>
      </w:pPr>
      <w:r>
        <w:rPr>
          <w:rFonts w:ascii="Aptos" w:hAnsi="Aptos"/>
          <w:color w:val="120F0A"/>
          <w:sz w:val="20"/>
        </w:rPr>
        <w:t>Education, learning, assessment, and student opportunity platforms.</w:t>
      </w:r>
    </w:p>
    <w:p>
      <w:pPr>
        <w:pStyle w:val="ListBullet"/>
        <w:spacing w:after="60" w:line="259" w:lineRule="auto"/>
      </w:pPr>
      <w:r>
        <w:rPr>
          <w:rFonts w:ascii="Aptos" w:hAnsi="Aptos"/>
          <w:color w:val="120F0A"/>
          <w:sz w:val="20"/>
        </w:rPr>
        <w:t>Consumer brands that can support food, travel, participant kits, or safe on-ground activations.</w:t>
      </w:r>
    </w:p>
    <w:p>
      <w:pPr>
        <w:pStyle w:val="ListBullet"/>
        <w:spacing w:after="60" w:line="259" w:lineRule="auto"/>
      </w:pPr>
      <w:r>
        <w:rPr>
          <w:rFonts w:ascii="Aptos" w:hAnsi="Aptos"/>
          <w:color w:val="120F0A"/>
          <w:sz w:val="20"/>
        </w:rPr>
        <w:t>Foundations and institutions that fund youth, STEM, access, or innovation programmes.</w:t>
      </w:r>
    </w:p>
    <w:p>
      <w:pPr>
        <w:spacing w:after="120" w:line="269" w:lineRule="auto"/>
      </w:pPr>
      <w:r>
        <w:rPr>
          <w:rFonts w:ascii="Aptos" w:hAnsi="Aptos"/>
          <w:i w:val="0"/>
          <w:color w:val="120F0A"/>
          <w:sz w:val="21"/>
        </w:rPr>
        <w:t>Sponsor package names, prices, exclusivity, speaking slots, data access, and event inventory remain open decisions. Nobody should improvise them in a call.</w:t>
      </w:r>
    </w:p>
    <w:p>
      <w:pPr>
        <w:pStyle w:val="Heading2"/>
        <w:keepNext/>
        <w:pageBreakBefore/>
      </w:pPr>
      <w:r>
        <w:t>Sponsor pipeline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Stage</w:t>
            </w:r>
          </w:p>
        </w:tc>
        <w:tc>
          <w:tcPr>
            <w:tcW w:type="dxa" w:w="3515"/>
            <w:shd w:fill="97192C"/>
            <w:tcMar>
              <w:top w:w="115" w:type="dxa"/>
              <w:start w:w="120" w:type="dxa"/>
              <w:bottom w:w="115" w:type="dxa"/>
              <w:end w:w="120" w:type="dxa"/>
            </w:tcMar>
            <w:vAlign w:val="center"/>
          </w:tcPr>
          <w:p>
            <w:pPr>
              <w:spacing w:after="0"/>
              <w:jc w:val="center"/>
            </w:pPr>
            <w:r>
              <w:rPr>
                <w:rFonts w:ascii="Aptos" w:hAnsi="Aptos"/>
                <w:b/>
                <w:color w:val="FFFFFF"/>
                <w:sz w:val="18"/>
              </w:rPr>
              <w:t>Meaning</w:t>
            </w:r>
          </w:p>
        </w:tc>
        <w:tc>
          <w:tcPr>
            <w:tcW w:type="dxa" w:w="3912"/>
            <w:shd w:fill="97192C"/>
            <w:tcMar>
              <w:top w:w="115" w:type="dxa"/>
              <w:start w:w="120" w:type="dxa"/>
              <w:bottom w:w="115" w:type="dxa"/>
              <w:end w:w="120" w:type="dxa"/>
            </w:tcMar>
            <w:vAlign w:val="center"/>
          </w:tcPr>
          <w:p>
            <w:pPr>
              <w:spacing w:after="0"/>
              <w:jc w:val="center"/>
            </w:pPr>
            <w:r>
              <w:rPr>
                <w:rFonts w:ascii="Aptos" w:hAnsi="Aptos"/>
                <w:b/>
                <w:color w:val="FFFFFF"/>
                <w:sz w:val="18"/>
              </w:rPr>
              <w:t>Exit evidence</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6"/>
              </w:rPr>
              <w:t>Target account</w:t>
            </w:r>
          </w:p>
        </w:tc>
        <w:tc>
          <w:tcPr>
            <w:tcW w:type="dxa" w:w="3515"/>
            <w:tcMar>
              <w:top w:w="105" w:type="dxa"/>
              <w:start w:w="120" w:type="dxa"/>
              <w:bottom w:w="105" w:type="dxa"/>
              <w:end w:w="120" w:type="dxa"/>
            </w:tcMar>
            <w:vAlign w:val="center"/>
          </w:tcPr>
          <w:p>
            <w:pPr>
              <w:spacing w:after="0" w:line="252" w:lineRule="auto"/>
            </w:pPr>
            <w:r>
              <w:rPr>
                <w:rFonts w:ascii="Aptos" w:hAnsi="Aptos"/>
                <w:color w:val="120F0A"/>
                <w:sz w:val="16"/>
              </w:rPr>
              <w:t>Organisation identified with a plausible fit</w:t>
            </w:r>
          </w:p>
        </w:tc>
        <w:tc>
          <w:tcPr>
            <w:tcW w:type="dxa" w:w="3912"/>
            <w:tcMar>
              <w:top w:w="105" w:type="dxa"/>
              <w:start w:w="120" w:type="dxa"/>
              <w:bottom w:w="105" w:type="dxa"/>
              <w:end w:w="120" w:type="dxa"/>
            </w:tcMar>
            <w:vAlign w:val="center"/>
          </w:tcPr>
          <w:p>
            <w:pPr>
              <w:spacing w:after="0" w:line="252" w:lineRule="auto"/>
              <w:jc w:val="center"/>
            </w:pPr>
            <w:r>
              <w:rPr>
                <w:rFonts w:ascii="Aptos" w:hAnsi="Aptos"/>
                <w:color w:val="120F0A"/>
                <w:sz w:val="16"/>
              </w:rPr>
              <w:t>Research note exists</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6"/>
              </w:rPr>
              <w:t>Qualified</w:t>
            </w:r>
          </w:p>
        </w:tc>
        <w:tc>
          <w:tcPr>
            <w:tcW w:type="dxa" w:w="3515"/>
            <w:tcMar>
              <w:top w:w="105" w:type="dxa"/>
              <w:start w:w="120" w:type="dxa"/>
              <w:bottom w:w="105" w:type="dxa"/>
              <w:end w:w="120" w:type="dxa"/>
            </w:tcMar>
            <w:vAlign w:val="center"/>
            <w:shd w:fill="F8F3F1"/>
          </w:tcPr>
          <w:p>
            <w:pPr>
              <w:spacing w:after="0" w:line="252" w:lineRule="auto"/>
            </w:pPr>
            <w:r>
              <w:rPr>
                <w:rFonts w:ascii="Aptos" w:hAnsi="Aptos"/>
                <w:color w:val="120F0A"/>
                <w:sz w:val="16"/>
              </w:rPr>
              <w:t>Need, category, budget path, and contact are credible</w:t>
            </w:r>
          </w:p>
        </w:tc>
        <w:tc>
          <w:tcPr>
            <w:tcW w:type="dxa" w:w="3912"/>
            <w:tcMar>
              <w:top w:w="105" w:type="dxa"/>
              <w:start w:w="120" w:type="dxa"/>
              <w:bottom w:w="105" w:type="dxa"/>
              <w:end w:w="120" w:type="dxa"/>
            </w:tcMar>
            <w:vAlign w:val="center"/>
            <w:shd w:fill="F8F3F1"/>
          </w:tcPr>
          <w:p>
            <w:pPr>
              <w:spacing w:after="0" w:line="252" w:lineRule="auto"/>
            </w:pPr>
            <w:r>
              <w:rPr>
                <w:rFonts w:ascii="Aptos" w:hAnsi="Aptos"/>
                <w:color w:val="120F0A"/>
                <w:sz w:val="16"/>
              </w:rPr>
              <w:t>Reason to contact is recorded</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6"/>
              </w:rPr>
              <w:t>Approved to contact</w:t>
            </w:r>
          </w:p>
        </w:tc>
        <w:tc>
          <w:tcPr>
            <w:tcW w:type="dxa" w:w="3515"/>
            <w:tcMar>
              <w:top w:w="105" w:type="dxa"/>
              <w:start w:w="120" w:type="dxa"/>
              <w:bottom w:w="105" w:type="dxa"/>
              <w:end w:w="120" w:type="dxa"/>
            </w:tcMar>
            <w:vAlign w:val="center"/>
          </w:tcPr>
          <w:p>
            <w:pPr>
              <w:spacing w:after="0" w:line="252" w:lineRule="auto"/>
            </w:pPr>
            <w:r>
              <w:rPr>
                <w:rFonts w:ascii="Aptos" w:hAnsi="Aptos"/>
                <w:color w:val="120F0A"/>
                <w:sz w:val="16"/>
              </w:rPr>
              <w:t>Ownership and message are cleared</w:t>
            </w:r>
          </w:p>
        </w:tc>
        <w:tc>
          <w:tcPr>
            <w:tcW w:type="dxa" w:w="3912"/>
            <w:tcMar>
              <w:top w:w="105" w:type="dxa"/>
              <w:start w:w="120" w:type="dxa"/>
              <w:bottom w:w="105" w:type="dxa"/>
              <w:end w:w="120" w:type="dxa"/>
            </w:tcMar>
            <w:vAlign w:val="center"/>
          </w:tcPr>
          <w:p>
            <w:pPr>
              <w:spacing w:after="0" w:line="252" w:lineRule="auto"/>
            </w:pPr>
            <w:r>
              <w:rPr>
                <w:rFonts w:ascii="Aptos" w:hAnsi="Aptos"/>
                <w:color w:val="120F0A"/>
                <w:sz w:val="16"/>
              </w:rPr>
              <w:t>One sponsor owner is assigned</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6"/>
              </w:rPr>
              <w:t>Contacted</w:t>
            </w:r>
          </w:p>
        </w:tc>
        <w:tc>
          <w:tcPr>
            <w:tcW w:type="dxa" w:w="3515"/>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First outreach sent</w:t>
            </w:r>
          </w:p>
        </w:tc>
        <w:tc>
          <w:tcPr>
            <w:tcW w:type="dxa" w:w="3912"/>
            <w:tcMar>
              <w:top w:w="105" w:type="dxa"/>
              <w:start w:w="120" w:type="dxa"/>
              <w:bottom w:w="105" w:type="dxa"/>
              <w:end w:w="120" w:type="dxa"/>
            </w:tcMar>
            <w:vAlign w:val="center"/>
            <w:shd w:fill="F8F3F1"/>
          </w:tcPr>
          <w:p>
            <w:pPr>
              <w:spacing w:after="0" w:line="252" w:lineRule="auto"/>
            </w:pPr>
            <w:r>
              <w:rPr>
                <w:rFonts w:ascii="Aptos" w:hAnsi="Aptos"/>
                <w:color w:val="120F0A"/>
                <w:sz w:val="16"/>
              </w:rPr>
              <w:t>Date, channel, and message recorded</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6"/>
              </w:rPr>
              <w:t>Conversation</w:t>
            </w:r>
          </w:p>
        </w:tc>
        <w:tc>
          <w:tcPr>
            <w:tcW w:type="dxa" w:w="3515"/>
            <w:tcMar>
              <w:top w:w="105" w:type="dxa"/>
              <w:start w:w="120" w:type="dxa"/>
              <w:bottom w:w="105" w:type="dxa"/>
              <w:end w:w="120" w:type="dxa"/>
            </w:tcMar>
            <w:vAlign w:val="center"/>
          </w:tcPr>
          <w:p>
            <w:pPr>
              <w:spacing w:after="0" w:line="252" w:lineRule="auto"/>
              <w:jc w:val="center"/>
            </w:pPr>
            <w:r>
              <w:rPr>
                <w:rFonts w:ascii="Aptos" w:hAnsi="Aptos"/>
                <w:color w:val="120F0A"/>
                <w:sz w:val="16"/>
              </w:rPr>
              <w:t>Sponsor has engaged</w:t>
            </w:r>
          </w:p>
        </w:tc>
        <w:tc>
          <w:tcPr>
            <w:tcW w:type="dxa" w:w="3912"/>
            <w:tcMar>
              <w:top w:w="105" w:type="dxa"/>
              <w:start w:w="120" w:type="dxa"/>
              <w:bottom w:w="105" w:type="dxa"/>
              <w:end w:w="120" w:type="dxa"/>
            </w:tcMar>
            <w:vAlign w:val="center"/>
          </w:tcPr>
          <w:p>
            <w:pPr>
              <w:spacing w:after="0" w:line="252" w:lineRule="auto"/>
            </w:pPr>
            <w:r>
              <w:rPr>
                <w:rFonts w:ascii="Aptos" w:hAnsi="Aptos"/>
                <w:color w:val="120F0A"/>
                <w:sz w:val="16"/>
              </w:rPr>
              <w:t>Need, timing, and next step recorded</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6"/>
              </w:rPr>
              <w:t>Brief</w:t>
            </w:r>
          </w:p>
        </w:tc>
        <w:tc>
          <w:tcPr>
            <w:tcW w:type="dxa" w:w="3515"/>
            <w:tcMar>
              <w:top w:w="105" w:type="dxa"/>
              <w:start w:w="120" w:type="dxa"/>
              <w:bottom w:w="105" w:type="dxa"/>
              <w:end w:w="120" w:type="dxa"/>
            </w:tcMar>
            <w:vAlign w:val="center"/>
            <w:shd w:fill="F8F3F1"/>
          </w:tcPr>
          <w:p>
            <w:pPr>
              <w:spacing w:after="0" w:line="252" w:lineRule="auto"/>
            </w:pPr>
            <w:r>
              <w:rPr>
                <w:rFonts w:ascii="Aptos" w:hAnsi="Aptos"/>
                <w:color w:val="120F0A"/>
                <w:sz w:val="16"/>
              </w:rPr>
              <w:t>A real opportunity is defined</w:t>
            </w:r>
          </w:p>
        </w:tc>
        <w:tc>
          <w:tcPr>
            <w:tcW w:type="dxa" w:w="3912"/>
            <w:tcMar>
              <w:top w:w="105" w:type="dxa"/>
              <w:start w:w="120" w:type="dxa"/>
              <w:bottom w:w="105" w:type="dxa"/>
              <w:end w:w="120" w:type="dxa"/>
            </w:tcMar>
            <w:vAlign w:val="center"/>
            <w:shd w:fill="F8F3F1"/>
          </w:tcPr>
          <w:p>
            <w:pPr>
              <w:spacing w:after="0" w:line="252" w:lineRule="auto"/>
            </w:pPr>
            <w:r>
              <w:rPr>
                <w:rFonts w:ascii="Aptos" w:hAnsi="Aptos"/>
                <w:color w:val="120F0A"/>
                <w:sz w:val="16"/>
              </w:rPr>
              <w:t>Requested benefit and budget range are understood</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6"/>
              </w:rPr>
              <w:t>Proposal approved</w:t>
            </w:r>
          </w:p>
        </w:tc>
        <w:tc>
          <w:tcPr>
            <w:tcW w:type="dxa" w:w="3515"/>
            <w:tcMar>
              <w:top w:w="105" w:type="dxa"/>
              <w:start w:w="120" w:type="dxa"/>
              <w:bottom w:w="105" w:type="dxa"/>
              <w:end w:w="120" w:type="dxa"/>
            </w:tcMar>
            <w:vAlign w:val="center"/>
          </w:tcPr>
          <w:p>
            <w:pPr>
              <w:spacing w:after="0" w:line="252" w:lineRule="auto"/>
            </w:pPr>
            <w:r>
              <w:rPr>
                <w:rFonts w:ascii="Aptos" w:hAnsi="Aptos"/>
                <w:color w:val="120F0A"/>
                <w:sz w:val="16"/>
              </w:rPr>
              <w:t>Offer, price, inventory, and approvals are ready</w:t>
            </w:r>
          </w:p>
        </w:tc>
        <w:tc>
          <w:tcPr>
            <w:tcW w:type="dxa" w:w="3912"/>
            <w:tcMar>
              <w:top w:w="105" w:type="dxa"/>
              <w:start w:w="120" w:type="dxa"/>
              <w:bottom w:w="105" w:type="dxa"/>
              <w:end w:w="120" w:type="dxa"/>
            </w:tcMar>
            <w:vAlign w:val="center"/>
          </w:tcPr>
          <w:p>
            <w:pPr>
              <w:spacing w:after="0" w:line="252" w:lineRule="auto"/>
            </w:pPr>
            <w:r>
              <w:rPr>
                <w:rFonts w:ascii="Aptos" w:hAnsi="Aptos"/>
                <w:color w:val="120F0A"/>
                <w:sz w:val="16"/>
              </w:rPr>
              <w:t>Authorised proposal is sent</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6"/>
              </w:rPr>
              <w:t>Contracted</w:t>
            </w:r>
          </w:p>
        </w:tc>
        <w:tc>
          <w:tcPr>
            <w:tcW w:type="dxa" w:w="3515"/>
            <w:tcMar>
              <w:top w:w="105" w:type="dxa"/>
              <w:start w:w="120" w:type="dxa"/>
              <w:bottom w:w="105" w:type="dxa"/>
              <w:end w:w="120" w:type="dxa"/>
            </w:tcMar>
            <w:vAlign w:val="center"/>
            <w:shd w:fill="F8F3F1"/>
          </w:tcPr>
          <w:p>
            <w:pPr>
              <w:spacing w:after="0" w:line="252" w:lineRule="auto"/>
            </w:pPr>
            <w:r>
              <w:rPr>
                <w:rFonts w:ascii="Aptos" w:hAnsi="Aptos"/>
                <w:color w:val="120F0A"/>
                <w:sz w:val="16"/>
              </w:rPr>
              <w:t>Agreement is executed by authorised signatories</w:t>
            </w:r>
          </w:p>
        </w:tc>
        <w:tc>
          <w:tcPr>
            <w:tcW w:type="dxa" w:w="3912"/>
            <w:tcMar>
              <w:top w:w="105" w:type="dxa"/>
              <w:start w:w="120" w:type="dxa"/>
              <w:bottom w:w="105" w:type="dxa"/>
              <w:end w:w="120" w:type="dxa"/>
            </w:tcMar>
            <w:vAlign w:val="center"/>
            <w:shd w:fill="F8F3F1"/>
          </w:tcPr>
          <w:p>
            <w:pPr>
              <w:spacing w:after="0" w:line="252" w:lineRule="auto"/>
            </w:pPr>
            <w:r>
              <w:rPr>
                <w:rFonts w:ascii="Aptos" w:hAnsi="Aptos"/>
                <w:color w:val="120F0A"/>
                <w:sz w:val="16"/>
              </w:rPr>
              <w:t>Contract and deliverables are stored</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6"/>
              </w:rPr>
              <w:t>Cash received</w:t>
            </w:r>
          </w:p>
        </w:tc>
        <w:tc>
          <w:tcPr>
            <w:tcW w:type="dxa" w:w="3515"/>
            <w:tcMar>
              <w:top w:w="105" w:type="dxa"/>
              <w:start w:w="120" w:type="dxa"/>
              <w:bottom w:w="105" w:type="dxa"/>
              <w:end w:w="120" w:type="dxa"/>
            </w:tcMar>
            <w:vAlign w:val="center"/>
          </w:tcPr>
          <w:p>
            <w:pPr>
              <w:spacing w:after="0" w:line="252" w:lineRule="auto"/>
            </w:pPr>
            <w:r>
              <w:rPr>
                <w:rFonts w:ascii="Aptos" w:hAnsi="Aptos"/>
                <w:color w:val="120F0A"/>
                <w:sz w:val="16"/>
              </w:rPr>
              <w:t>Eligible money has cleared</w:t>
            </w:r>
          </w:p>
        </w:tc>
        <w:tc>
          <w:tcPr>
            <w:tcW w:type="dxa" w:w="3912"/>
            <w:tcMar>
              <w:top w:w="105" w:type="dxa"/>
              <w:start w:w="120" w:type="dxa"/>
              <w:bottom w:w="105" w:type="dxa"/>
              <w:end w:w="120" w:type="dxa"/>
            </w:tcMar>
            <w:vAlign w:val="center"/>
          </w:tcPr>
          <w:p>
            <w:pPr>
              <w:spacing w:after="0" w:line="252" w:lineRule="auto"/>
            </w:pPr>
            <w:r>
              <w:rPr>
                <w:rFonts w:ascii="Aptos" w:hAnsi="Aptos"/>
                <w:color w:val="120F0A"/>
                <w:sz w:val="16"/>
              </w:rPr>
              <w:t>Finance record and commission basis are confirmed</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6"/>
              </w:rPr>
              <w:t>Delivery</w:t>
            </w:r>
          </w:p>
        </w:tc>
        <w:tc>
          <w:tcPr>
            <w:tcW w:type="dxa" w:w="3515"/>
            <w:tcMar>
              <w:top w:w="105" w:type="dxa"/>
              <w:start w:w="120" w:type="dxa"/>
              <w:bottom w:w="105" w:type="dxa"/>
              <w:end w:w="120" w:type="dxa"/>
            </w:tcMar>
            <w:vAlign w:val="center"/>
            <w:shd w:fill="F8F3F1"/>
          </w:tcPr>
          <w:p>
            <w:pPr>
              <w:spacing w:after="0" w:line="252" w:lineRule="auto"/>
            </w:pPr>
            <w:r>
              <w:rPr>
                <w:rFonts w:ascii="Aptos" w:hAnsi="Aptos"/>
                <w:color w:val="120F0A"/>
                <w:sz w:val="16"/>
              </w:rPr>
              <w:t>Sponsor benefits are being fulfilled</w:t>
            </w:r>
          </w:p>
        </w:tc>
        <w:tc>
          <w:tcPr>
            <w:tcW w:type="dxa" w:w="3912"/>
            <w:tcMar>
              <w:top w:w="105" w:type="dxa"/>
              <w:start w:w="120" w:type="dxa"/>
              <w:bottom w:w="105" w:type="dxa"/>
              <w:end w:w="120" w:type="dxa"/>
            </w:tcMar>
            <w:vAlign w:val="center"/>
            <w:shd w:fill="F8F3F1"/>
          </w:tcPr>
          <w:p>
            <w:pPr>
              <w:spacing w:after="0" w:line="252" w:lineRule="auto"/>
            </w:pPr>
            <w:r>
              <w:rPr>
                <w:rFonts w:ascii="Aptos" w:hAnsi="Aptos"/>
                <w:color w:val="120F0A"/>
                <w:sz w:val="16"/>
              </w:rPr>
              <w:t>Evidence and owner are current</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6"/>
              </w:rPr>
              <w:t>Closed</w:t>
            </w:r>
          </w:p>
        </w:tc>
        <w:tc>
          <w:tcPr>
            <w:tcW w:type="dxa" w:w="3515"/>
            <w:tcMar>
              <w:top w:w="105" w:type="dxa"/>
              <w:start w:w="120" w:type="dxa"/>
              <w:bottom w:w="105" w:type="dxa"/>
              <w:end w:w="120" w:type="dxa"/>
            </w:tcMar>
            <w:vAlign w:val="center"/>
          </w:tcPr>
          <w:p>
            <w:pPr>
              <w:spacing w:after="0" w:line="252" w:lineRule="auto"/>
            </w:pPr>
            <w:r>
              <w:rPr>
                <w:rFonts w:ascii="Aptos" w:hAnsi="Aptos"/>
                <w:color w:val="120F0A"/>
                <w:sz w:val="16"/>
              </w:rPr>
              <w:t>Delivery and reporting are complete</w:t>
            </w:r>
          </w:p>
        </w:tc>
        <w:tc>
          <w:tcPr>
            <w:tcW w:type="dxa" w:w="3912"/>
            <w:tcMar>
              <w:top w:w="105" w:type="dxa"/>
              <w:start w:w="120" w:type="dxa"/>
              <w:bottom w:w="105" w:type="dxa"/>
              <w:end w:w="120" w:type="dxa"/>
            </w:tcMar>
            <w:vAlign w:val="center"/>
          </w:tcPr>
          <w:p>
            <w:pPr>
              <w:spacing w:after="0" w:line="252" w:lineRule="auto"/>
            </w:pPr>
            <w:r>
              <w:rPr>
                <w:rFonts w:ascii="Aptos" w:hAnsi="Aptos"/>
                <w:color w:val="120F0A"/>
                <w:sz w:val="16"/>
              </w:rPr>
              <w:t>Renewal or closure note is recorded</w:t>
            </w:r>
          </w:p>
        </w:tc>
      </w:tr>
    </w:tbl>
    <w:p>
      <w:pPr>
        <w:pageBreakBefore/>
        <w:spacing w:after="100"/>
      </w:pPr>
      <w:r>
        <w:rPr>
          <w:rFonts w:ascii="Aptos" w:hAnsi="Aptos"/>
          <w:b/>
          <w:color w:val="97192C"/>
          <w:sz w:val="17"/>
        </w:rPr>
        <w:t>OUTREACH</w:t>
      </w:r>
    </w:p>
    <w:p>
      <w:pPr>
        <w:pStyle w:val="Heading1"/>
        <w:keepNext/>
      </w:pPr>
      <w:r>
        <w:t>The outreach machine</w:t>
      </w:r>
    </w:p>
    <w:p>
      <w:pPr>
        <w:spacing w:after="120" w:line="269" w:lineRule="auto"/>
      </w:pPr>
      <w:r>
        <w:rPr>
          <w:rFonts w:ascii="Aptos" w:hAnsi="Aptos"/>
          <w:i w:val="0"/>
          <w:color w:val="120F0A"/>
          <w:sz w:val="21"/>
        </w:rPr>
        <w:t>The campaign needs 50 to 100 useful outreach contributors working through one shared pipeline, with clear lanes and one owner per sponsor account.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757"/>
            <w:shd w:fill="97192C"/>
            <w:tcMar>
              <w:top w:w="115" w:type="dxa"/>
              <w:start w:w="120" w:type="dxa"/>
              <w:bottom w:w="115" w:type="dxa"/>
              <w:end w:w="120" w:type="dxa"/>
            </w:tcMar>
            <w:vAlign w:val="center"/>
          </w:tcPr>
          <w:p>
            <w:pPr>
              <w:spacing w:after="0"/>
              <w:jc w:val="center"/>
            </w:pPr>
            <w:r>
              <w:rPr>
                <w:rFonts w:ascii="Aptos" w:hAnsi="Aptos"/>
                <w:b/>
                <w:color w:val="FFFFFF"/>
                <w:sz w:val="18"/>
              </w:rPr>
              <w:t>Lane</w:t>
            </w:r>
          </w:p>
        </w:tc>
        <w:tc>
          <w:tcPr>
            <w:tcW w:type="dxa" w:w="4252"/>
            <w:shd w:fill="97192C"/>
            <w:tcMar>
              <w:top w:w="115" w:type="dxa"/>
              <w:start w:w="120" w:type="dxa"/>
              <w:bottom w:w="115" w:type="dxa"/>
              <w:end w:w="120" w:type="dxa"/>
            </w:tcMar>
            <w:vAlign w:val="center"/>
          </w:tcPr>
          <w:p>
            <w:pPr>
              <w:spacing w:after="0"/>
              <w:jc w:val="center"/>
            </w:pPr>
            <w:r>
              <w:rPr>
                <w:rFonts w:ascii="Aptos" w:hAnsi="Aptos"/>
                <w:b/>
                <w:color w:val="FFFFFF"/>
                <w:sz w:val="18"/>
              </w:rPr>
              <w:t>Work</w:t>
            </w:r>
          </w:p>
        </w:tc>
        <w:tc>
          <w:tcPr>
            <w:tcW w:type="dxa" w:w="3231"/>
            <w:shd w:fill="97192C"/>
            <w:tcMar>
              <w:top w:w="115" w:type="dxa"/>
              <w:start w:w="120" w:type="dxa"/>
              <w:bottom w:w="115" w:type="dxa"/>
              <w:end w:w="120" w:type="dxa"/>
            </w:tcMar>
            <w:vAlign w:val="center"/>
          </w:tcPr>
          <w:p>
            <w:pPr>
              <w:spacing w:after="0"/>
              <w:jc w:val="center"/>
            </w:pPr>
            <w:r>
              <w:rPr>
                <w:rFonts w:ascii="Aptos" w:hAnsi="Aptos"/>
                <w:b/>
                <w:color w:val="FFFFFF"/>
                <w:sz w:val="18"/>
              </w:rPr>
              <w:t>Handoff</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Research</w:t>
            </w:r>
          </w:p>
        </w:tc>
        <w:tc>
          <w:tcPr>
            <w:tcW w:type="dxa" w:w="4252"/>
            <w:tcMar>
              <w:top w:w="105" w:type="dxa"/>
              <w:start w:w="120" w:type="dxa"/>
              <w:bottom w:w="105" w:type="dxa"/>
              <w:end w:w="120" w:type="dxa"/>
            </w:tcMar>
            <w:vAlign w:val="center"/>
          </w:tcPr>
          <w:p>
            <w:pPr>
              <w:spacing w:after="0" w:line="252" w:lineRule="auto"/>
            </w:pPr>
            <w:r>
              <w:rPr>
                <w:rFonts w:ascii="Aptos" w:hAnsi="Aptos"/>
                <w:color w:val="120F0A"/>
                <w:sz w:val="17"/>
              </w:rPr>
              <w:t>Find organisations, decision makers, relevant programmes, and a credible reason to care</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7"/>
              </w:rPr>
              <w:t>A qualified sponsor record with sources</w:t>
            </w:r>
          </w:p>
        </w:tc>
      </w:tr>
      <w:tr>
        <w:tc>
          <w:tcPr>
            <w:tcW w:type="dxa" w:w="1757"/>
            <w:tcMar>
              <w:top w:w="105" w:type="dxa"/>
              <w:start w:w="120" w:type="dxa"/>
              <w:bottom w:w="105" w:type="dxa"/>
              <w:end w:w="120" w:type="dxa"/>
            </w:tcMar>
            <w:vAlign w:val="center"/>
            <w:shd w:fill="F8F3F1"/>
          </w:tcPr>
          <w:p>
            <w:pPr>
              <w:spacing w:after="0" w:line="252" w:lineRule="auto"/>
            </w:pPr>
            <w:r>
              <w:rPr>
                <w:rFonts w:ascii="Aptos" w:hAnsi="Aptos"/>
                <w:color w:val="120F0A"/>
                <w:sz w:val="17"/>
              </w:rPr>
              <w:t>Relationship outreach</w:t>
            </w:r>
          </w:p>
        </w:tc>
        <w:tc>
          <w:tcPr>
            <w:tcW w:type="dxa" w:w="4252"/>
            <w:tcMar>
              <w:top w:w="105" w:type="dxa"/>
              <w:start w:w="120" w:type="dxa"/>
              <w:bottom w:w="105" w:type="dxa"/>
              <w:end w:w="120" w:type="dxa"/>
            </w:tcMar>
            <w:vAlign w:val="center"/>
            <w:shd w:fill="F8F3F1"/>
          </w:tcPr>
          <w:p>
            <w:pPr>
              <w:spacing w:after="0" w:line="252" w:lineRule="auto"/>
            </w:pPr>
            <w:r>
              <w:rPr>
                <w:rFonts w:ascii="Aptos" w:hAnsi="Aptos"/>
                <w:color w:val="120F0A"/>
                <w:sz w:val="17"/>
              </w:rPr>
              <w:t>Make introductions, send approved outreach, run discovery, and keep follow-ups alive</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7"/>
              </w:rPr>
              <w:t>A recorded conversation and next step</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Proposal support</w:t>
            </w:r>
          </w:p>
        </w:tc>
        <w:tc>
          <w:tcPr>
            <w:tcW w:type="dxa" w:w="4252"/>
            <w:tcMar>
              <w:top w:w="105" w:type="dxa"/>
              <w:start w:w="120" w:type="dxa"/>
              <w:bottom w:w="105" w:type="dxa"/>
              <w:end w:w="120" w:type="dxa"/>
            </w:tcMar>
            <w:vAlign w:val="center"/>
          </w:tcPr>
          <w:p>
            <w:pPr>
              <w:spacing w:after="0" w:line="252" w:lineRule="auto"/>
            </w:pPr>
            <w:r>
              <w:rPr>
                <w:rFonts w:ascii="Aptos" w:hAnsi="Aptos"/>
                <w:color w:val="120F0A"/>
                <w:sz w:val="17"/>
              </w:rPr>
              <w:t>Turn the sponsor need into approved inventory, pricing, and deliverables</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7"/>
              </w:rPr>
              <w:t>An internally approved proposal</w:t>
            </w:r>
          </w:p>
        </w:tc>
      </w:tr>
      <w:tr>
        <w:tc>
          <w:tcPr>
            <w:tcW w:type="dxa" w:w="1757"/>
            <w:tcMar>
              <w:top w:w="105" w:type="dxa"/>
              <w:start w:w="120" w:type="dxa"/>
              <w:bottom w:w="105" w:type="dxa"/>
              <w:end w:w="120" w:type="dxa"/>
            </w:tcMar>
            <w:vAlign w:val="center"/>
            <w:shd w:fill="F8F3F1"/>
          </w:tcPr>
          <w:p>
            <w:pPr>
              <w:spacing w:after="0" w:line="252" w:lineRule="auto"/>
            </w:pPr>
            <w:r>
              <w:rPr>
                <w:rFonts w:ascii="Aptos" w:hAnsi="Aptos"/>
                <w:color w:val="120F0A"/>
                <w:sz w:val="17"/>
              </w:rPr>
              <w:t>Finance and contracting</w:t>
            </w:r>
          </w:p>
        </w:tc>
        <w:tc>
          <w:tcPr>
            <w:tcW w:type="dxa" w:w="4252"/>
            <w:tcMar>
              <w:top w:w="105" w:type="dxa"/>
              <w:start w:w="120" w:type="dxa"/>
              <w:bottom w:w="105" w:type="dxa"/>
              <w:end w:w="120" w:type="dxa"/>
            </w:tcMar>
            <w:vAlign w:val="center"/>
            <w:shd w:fill="F8F3F1"/>
          </w:tcPr>
          <w:p>
            <w:pPr>
              <w:spacing w:after="0" w:line="252" w:lineRule="auto"/>
            </w:pPr>
            <w:r>
              <w:rPr>
                <w:rFonts w:ascii="Aptos" w:hAnsi="Aptos"/>
                <w:color w:val="120F0A"/>
                <w:sz w:val="17"/>
              </w:rPr>
              <w:t>Approve money terms, issue documents, receive funds, and record commission basis</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7"/>
              </w:rPr>
              <w:t>Executed documents and cleared-cash record</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Sponsor delivery</w:t>
            </w:r>
          </w:p>
        </w:tc>
        <w:tc>
          <w:tcPr>
            <w:tcW w:type="dxa" w:w="4252"/>
            <w:tcMar>
              <w:top w:w="105" w:type="dxa"/>
              <w:start w:w="120" w:type="dxa"/>
              <w:bottom w:w="105" w:type="dxa"/>
              <w:end w:w="120" w:type="dxa"/>
            </w:tcMar>
            <w:vAlign w:val="center"/>
          </w:tcPr>
          <w:p>
            <w:pPr>
              <w:spacing w:after="0" w:line="252" w:lineRule="auto"/>
            </w:pPr>
            <w:r>
              <w:rPr>
                <w:rFonts w:ascii="Aptos" w:hAnsi="Aptos"/>
                <w:color w:val="120F0A"/>
                <w:sz w:val="17"/>
              </w:rPr>
              <w:t>Coordinate logos, sessions, stalls, credits, prizes, and evidence</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7"/>
              </w:rPr>
              <w:t>Completed deliverable record</w:t>
            </w:r>
          </w:p>
        </w:tc>
      </w:tr>
      <w:tr>
        <w:tc>
          <w:tcPr>
            <w:tcW w:type="dxa" w:w="1757"/>
            <w:tcMar>
              <w:top w:w="105" w:type="dxa"/>
              <w:start w:w="120" w:type="dxa"/>
              <w:bottom w:w="105" w:type="dxa"/>
              <w:end w:w="120" w:type="dxa"/>
            </w:tcMar>
            <w:vAlign w:val="center"/>
            <w:shd w:fill="F8F3F1"/>
          </w:tcPr>
          <w:p>
            <w:pPr>
              <w:spacing w:after="0" w:line="252" w:lineRule="auto"/>
            </w:pPr>
            <w:r>
              <w:rPr>
                <w:rFonts w:ascii="Aptos" w:hAnsi="Aptos"/>
                <w:color w:val="120F0A"/>
                <w:sz w:val="17"/>
              </w:rPr>
              <w:t>Content distribution</w:t>
            </w:r>
          </w:p>
        </w:tc>
        <w:tc>
          <w:tcPr>
            <w:tcW w:type="dxa" w:w="4252"/>
            <w:tcMar>
              <w:top w:w="105" w:type="dxa"/>
              <w:start w:w="120" w:type="dxa"/>
              <w:bottom w:w="105" w:type="dxa"/>
              <w:end w:w="120" w:type="dxa"/>
            </w:tcMar>
            <w:vAlign w:val="center"/>
            <w:shd w:fill="F8F3F1"/>
          </w:tcPr>
          <w:p>
            <w:pPr>
              <w:spacing w:after="0" w:line="252" w:lineRule="auto"/>
            </w:pPr>
            <w:r>
              <w:rPr>
                <w:rFonts w:ascii="Aptos" w:hAnsi="Aptos"/>
                <w:color w:val="120F0A"/>
                <w:sz w:val="17"/>
              </w:rPr>
              <w:t>Keep the campaign visible and give outreach fresh proof to share</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7"/>
              </w:rPr>
              <w:t>Published asset linked to the relevant city or sponsor story</w:t>
            </w:r>
          </w:p>
        </w:tc>
      </w:tr>
    </w:tbl>
    <w:p>
      <w:pPr>
        <w:spacing w:after="20"/>
      </w:pPr>
    </w:p>
    <w:p>
      <w:pPr>
        <w:pStyle w:val="Heading2"/>
        <w:keepNext/>
      </w:pPr>
      <w:r>
        <w:t>Contributor onboarding</w:t>
      </w:r>
    </w:p>
    <w:p>
      <w:pPr>
        <w:spacing w:after="80"/>
        <w:ind w:left="351" w:hanging="295"/>
      </w:pPr>
      <w:r>
        <w:rPr>
          <w:rFonts w:ascii="Aptos" w:hAnsi="Aptos"/>
          <w:color w:val="120F0A"/>
          <w:sz w:val="20"/>
        </w:rPr>
        <w:t>1.  Read this playbook and acknowledge the authority, privacy, brand, and money rules.</w:t>
      </w:r>
    </w:p>
    <w:p>
      <w:pPr>
        <w:spacing w:after="80"/>
        <w:ind w:left="351" w:hanging="295"/>
      </w:pPr>
      <w:r>
        <w:rPr>
          <w:rFonts w:ascii="Aptos" w:hAnsi="Aptos"/>
          <w:color w:val="120F0A"/>
          <w:sz w:val="20"/>
        </w:rPr>
        <w:t>2.  Join one outreach lane and receive access only to the records needed for that work.</w:t>
      </w:r>
    </w:p>
    <w:p>
      <w:pPr>
        <w:spacing w:after="80"/>
        <w:ind w:left="351" w:hanging="295"/>
      </w:pPr>
      <w:r>
        <w:rPr>
          <w:rFonts w:ascii="Aptos" w:hAnsi="Aptos"/>
          <w:color w:val="120F0A"/>
          <w:sz w:val="20"/>
        </w:rPr>
        <w:t>3.  Learn the current campaign brief, approved message, sponsor inventory, and escalation path.</w:t>
      </w:r>
    </w:p>
    <w:p>
      <w:pPr>
        <w:spacing w:after="80"/>
        <w:ind w:left="351" w:hanging="295"/>
      </w:pPr>
      <w:r>
        <w:rPr>
          <w:rFonts w:ascii="Aptos" w:hAnsi="Aptos"/>
          <w:color w:val="120F0A"/>
          <w:sz w:val="20"/>
        </w:rPr>
        <w:t>4.  Claim work through the shared pipeline before contacting an account; record every material interaction and hand off when the work moves outside your authority.</w:t>
      </w:r>
    </w:p>
    <w:p>
      <w:pPr>
        <w:pStyle w:val="Heading2"/>
        <w:keepNext/>
      </w:pPr>
      <w:r>
        <w:t>Daily and weekly rhythm</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Cadence</w:t>
            </w:r>
          </w:p>
        </w:tc>
        <w:tc>
          <w:tcPr>
            <w:tcW w:type="dxa" w:w="7427"/>
            <w:shd w:fill="97192C"/>
            <w:tcMar>
              <w:top w:w="115" w:type="dxa"/>
              <w:start w:w="120" w:type="dxa"/>
              <w:bottom w:w="115" w:type="dxa"/>
              <w:end w:w="120" w:type="dxa"/>
            </w:tcMar>
            <w:vAlign w:val="center"/>
          </w:tcPr>
          <w:p>
            <w:pPr>
              <w:spacing w:after="0"/>
              <w:jc w:val="center"/>
            </w:pPr>
            <w:r>
              <w:rPr>
                <w:rFonts w:ascii="Aptos" w:hAnsi="Aptos"/>
                <w:b/>
                <w:color w:val="FFFFFF"/>
                <w:sz w:val="18"/>
              </w:rPr>
              <w:t>Action</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8"/>
              </w:rPr>
              <w:t>Daily</w:t>
            </w:r>
          </w:p>
        </w:tc>
        <w:tc>
          <w:tcPr>
            <w:tcW w:type="dxa" w:w="7427"/>
            <w:tcMar>
              <w:top w:w="105" w:type="dxa"/>
              <w:start w:w="120" w:type="dxa"/>
              <w:bottom w:w="105" w:type="dxa"/>
              <w:end w:w="120" w:type="dxa"/>
            </w:tcMar>
            <w:vAlign w:val="center"/>
          </w:tcPr>
          <w:p>
            <w:pPr>
              <w:spacing w:after="0" w:line="252" w:lineRule="auto"/>
            </w:pPr>
            <w:r>
              <w:rPr>
                <w:rFonts w:ascii="Aptos" w:hAnsi="Aptos"/>
                <w:color w:val="120F0A"/>
                <w:sz w:val="18"/>
              </w:rPr>
              <w:t>Research, approved outreach, follow-ups, response logging, and urgent escalation</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8"/>
              </w:rPr>
              <w:t>Twice weekly</w:t>
            </w:r>
          </w:p>
        </w:tc>
        <w:tc>
          <w:tcPr>
            <w:tcW w:type="dxa" w:w="7427"/>
            <w:tcMar>
              <w:top w:w="105" w:type="dxa"/>
              <w:start w:w="120" w:type="dxa"/>
              <w:bottom w:w="105" w:type="dxa"/>
              <w:end w:w="120" w:type="dxa"/>
            </w:tcMar>
            <w:vAlign w:val="center"/>
            <w:shd w:fill="F8F3F1"/>
          </w:tcPr>
          <w:p>
            <w:pPr>
              <w:spacing w:after="0" w:line="252" w:lineRule="auto"/>
            </w:pPr>
            <w:r>
              <w:rPr>
                <w:rFonts w:ascii="Aptos" w:hAnsi="Aptos"/>
                <w:color w:val="120F0A"/>
                <w:sz w:val="18"/>
              </w:rPr>
              <w:t>Pipeline clean-up, proposal review, duplicate removal, and stalled-account decisions</w:t>
            </w:r>
          </w:p>
        </w:tc>
      </w:tr>
      <w:tr>
        <w:tc>
          <w:tcPr>
            <w:tcW w:type="dxa" w:w="1814"/>
            <w:tcMar>
              <w:top w:w="105" w:type="dxa"/>
              <w:start w:w="120" w:type="dxa"/>
              <w:bottom w:w="105" w:type="dxa"/>
              <w:end w:w="120" w:type="dxa"/>
            </w:tcMar>
            <w:vAlign w:val="center"/>
          </w:tcPr>
          <w:p>
            <w:pPr>
              <w:spacing w:after="0" w:line="252" w:lineRule="auto"/>
            </w:pPr>
            <w:r>
              <w:rPr>
                <w:rFonts w:ascii="Aptos" w:hAnsi="Aptos"/>
                <w:color w:val="120F0A"/>
                <w:sz w:val="18"/>
              </w:rPr>
              <w:t>Weekly</w:t>
            </w:r>
          </w:p>
        </w:tc>
        <w:tc>
          <w:tcPr>
            <w:tcW w:type="dxa" w:w="7427"/>
            <w:tcMar>
              <w:top w:w="105" w:type="dxa"/>
              <w:start w:w="120" w:type="dxa"/>
              <w:bottom w:w="105" w:type="dxa"/>
              <w:end w:w="120" w:type="dxa"/>
            </w:tcMar>
            <w:vAlign w:val="center"/>
          </w:tcPr>
          <w:p>
            <w:pPr>
              <w:spacing w:after="0" w:line="252" w:lineRule="auto"/>
            </w:pPr>
            <w:r>
              <w:rPr>
                <w:rFonts w:ascii="Aptos" w:hAnsi="Aptos"/>
                <w:color w:val="120F0A"/>
                <w:sz w:val="18"/>
              </w:rPr>
              <w:t>Campaign control room: cash, weighted pipeline, contributor activity, city readiness, content, risks, and approvals</w:t>
            </w:r>
          </w:p>
        </w:tc>
      </w:tr>
      <w:tr>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8"/>
              </w:rPr>
              <w:t>Bi-weekly</w:t>
            </w:r>
          </w:p>
        </w:tc>
        <w:tc>
          <w:tcPr>
            <w:tcW w:type="dxa" w:w="7427"/>
            <w:tcMar>
              <w:top w:w="105" w:type="dxa"/>
              <w:start w:w="120" w:type="dxa"/>
              <w:bottom w:w="105" w:type="dxa"/>
              <w:end w:w="120" w:type="dxa"/>
            </w:tcMar>
            <w:vAlign w:val="center"/>
            <w:shd w:fill="F8F3F1"/>
          </w:tcPr>
          <w:p>
            <w:pPr>
              <w:spacing w:after="0" w:line="252" w:lineRule="auto"/>
            </w:pPr>
            <w:r>
              <w:rPr>
                <w:rFonts w:ascii="Aptos" w:hAnsi="Aptos"/>
                <w:color w:val="120F0A"/>
                <w:sz w:val="18"/>
              </w:rPr>
              <w:t>Financial reconciliation with the joint-event records required by the agreement</w:t>
            </w:r>
          </w:p>
        </w:tc>
      </w:tr>
    </w:tbl>
    <w:p>
      <w:pPr>
        <w:spacing w:after="20"/>
      </w:pPr>
    </w:p>
    <w:p>
      <w:pPr>
        <w:pStyle w:val="Heading2"/>
        <w:keepNext/>
      </w:pPr>
      <w:r>
        <w:t>Non-negotiable outreach rules</w:t>
      </w:r>
    </w:p>
    <w:p>
      <w:pPr>
        <w:pStyle w:val="ListBullet"/>
        <w:spacing w:after="60" w:line="259" w:lineRule="auto"/>
      </w:pPr>
      <w:r>
        <w:rPr>
          <w:rFonts w:ascii="Aptos" w:hAnsi="Aptos"/>
          <w:color w:val="120F0A"/>
          <w:sz w:val="20"/>
        </w:rPr>
        <w:t>One sponsor account has one active owner. Contributors coordinate before contacting the same organisation.</w:t>
      </w:r>
    </w:p>
    <w:p>
      <w:pPr>
        <w:pStyle w:val="ListBullet"/>
        <w:spacing w:after="60" w:line="259" w:lineRule="auto"/>
      </w:pPr>
      <w:r>
        <w:rPr>
          <w:rFonts w:ascii="Aptos" w:hAnsi="Aptos"/>
          <w:color w:val="120F0A"/>
          <w:sz w:val="20"/>
        </w:rPr>
        <w:t>No scraped personal contact list is shared beyond the approved working need.</w:t>
      </w:r>
    </w:p>
    <w:p>
      <w:pPr>
        <w:pStyle w:val="ListBullet"/>
        <w:spacing w:after="60" w:line="259" w:lineRule="auto"/>
      </w:pPr>
      <w:r>
        <w:rPr>
          <w:rFonts w:ascii="Aptos" w:hAnsi="Aptos"/>
          <w:color w:val="120F0A"/>
          <w:sz w:val="20"/>
        </w:rPr>
        <w:t>Every claimed relationship, promise, meeting, and next step is recorded; never announce an uncontracted sponsor or invent metrics, city confirmations, or participant-data promises.</w:t>
      </w:r>
    </w:p>
    <w:p>
      <w:pPr>
        <w:pageBreakBefore/>
        <w:spacing w:after="100"/>
      </w:pPr>
      <w:r>
        <w:rPr>
          <w:rFonts w:ascii="Aptos" w:hAnsi="Aptos"/>
          <w:b/>
          <w:color w:val="97192C"/>
          <w:sz w:val="17"/>
        </w:rPr>
        <w:t>COMMISSION</w:t>
      </w:r>
    </w:p>
    <w:p>
      <w:pPr>
        <w:pStyle w:val="Heading1"/>
        <w:keepNext/>
      </w:pPr>
      <w:r>
        <w:t>Commission rules</w:t>
      </w:r>
    </w:p>
    <w:p>
      <w:pPr>
        <w:spacing w:after="120" w:line="269" w:lineRule="auto"/>
      </w:pPr>
      <w:r>
        <w:rPr>
          <w:rFonts w:ascii="Aptos" w:hAnsi="Aptos"/>
          <w:i w:val="0"/>
          <w:color w:val="120F0A"/>
          <w:sz w:val="21"/>
        </w:rPr>
        <w:t>Anyone who gets the campaign a sponsor may earn commission. The commission recognises real sourcing work; it does not create signing authority, employment status, or ownership of the sponsor relationship.</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268"/>
            <w:shd w:fill="97192C"/>
            <w:tcMar>
              <w:top w:w="115" w:type="dxa"/>
              <w:start w:w="120" w:type="dxa"/>
              <w:bottom w:w="115" w:type="dxa"/>
              <w:end w:w="120" w:type="dxa"/>
            </w:tcMar>
            <w:vAlign w:val="center"/>
          </w:tcPr>
          <w:p>
            <w:pPr>
              <w:spacing w:after="0"/>
              <w:jc w:val="center"/>
            </w:pPr>
            <w:r>
              <w:rPr>
                <w:rFonts w:ascii="Aptos" w:hAnsi="Aptos"/>
                <w:b/>
                <w:color w:val="FFFFFF"/>
                <w:sz w:val="18"/>
              </w:rPr>
              <w:t>Rule</w:t>
            </w:r>
          </w:p>
        </w:tc>
        <w:tc>
          <w:tcPr>
            <w:tcW w:type="dxa" w:w="6973"/>
            <w:shd w:fill="97192C"/>
            <w:tcMar>
              <w:top w:w="115" w:type="dxa"/>
              <w:start w:w="120" w:type="dxa"/>
              <w:bottom w:w="115" w:type="dxa"/>
              <w:end w:w="120" w:type="dxa"/>
            </w:tcMar>
            <w:vAlign w:val="center"/>
          </w:tcPr>
          <w:p>
            <w:pPr>
              <w:spacing w:after="0"/>
              <w:jc w:val="center"/>
            </w:pPr>
            <w:r>
              <w:rPr>
                <w:rFonts w:ascii="Aptos" w:hAnsi="Aptos"/>
                <w:b/>
                <w:color w:val="FFFFFF"/>
                <w:sz w:val="18"/>
              </w:rPr>
              <w:t>Operating treatment</w:t>
            </w:r>
          </w:p>
        </w:tc>
      </w:tr>
      <w:tr>
        <w:tc>
          <w:tcPr>
            <w:tcW w:type="dxa" w:w="2268"/>
            <w:tcMar>
              <w:top w:w="105" w:type="dxa"/>
              <w:start w:w="120" w:type="dxa"/>
              <w:bottom w:w="105" w:type="dxa"/>
              <w:end w:w="120" w:type="dxa"/>
            </w:tcMar>
            <w:vAlign w:val="center"/>
          </w:tcPr>
          <w:p>
            <w:pPr>
              <w:spacing w:after="0" w:line="252" w:lineRule="auto"/>
            </w:pPr>
            <w:r>
              <w:rPr>
                <w:rFonts w:ascii="Aptos" w:hAnsi="Aptos"/>
                <w:color w:val="120F0A"/>
                <w:sz w:val="17"/>
              </w:rPr>
              <w:t>Rate</w:t>
            </w:r>
          </w:p>
        </w:tc>
        <w:tc>
          <w:tcPr>
            <w:tcW w:type="dxa" w:w="6973"/>
            <w:tcMar>
              <w:top w:w="105" w:type="dxa"/>
              <w:start w:w="120" w:type="dxa"/>
              <w:bottom w:w="105" w:type="dxa"/>
              <w:end w:w="120" w:type="dxa"/>
            </w:tcMar>
            <w:vAlign w:val="center"/>
          </w:tcPr>
          <w:p>
            <w:pPr>
              <w:spacing w:after="0" w:line="252" w:lineRule="auto"/>
            </w:pPr>
            <w:r>
              <w:rPr>
                <w:rFonts w:ascii="Aptos" w:hAnsi="Aptos"/>
                <w:color w:val="120F0A"/>
                <w:sz w:val="17"/>
              </w:rPr>
              <w:t>Set case by case in writing between 1% and 3%. The absolute ceiling is 3%.</w:t>
            </w:r>
          </w:p>
        </w:tc>
      </w:tr>
      <w:tr>
        <w:tc>
          <w:tcPr>
            <w:tcW w:type="dxa" w:w="2268"/>
            <w:tcMar>
              <w:top w:w="105" w:type="dxa"/>
              <w:start w:w="120" w:type="dxa"/>
              <w:bottom w:w="105" w:type="dxa"/>
              <w:end w:w="120" w:type="dxa"/>
            </w:tcMar>
            <w:vAlign w:val="center"/>
            <w:shd w:fill="F8F3F1"/>
          </w:tcPr>
          <w:p>
            <w:pPr>
              <w:spacing w:after="0" w:line="252" w:lineRule="auto"/>
            </w:pPr>
            <w:r>
              <w:rPr>
                <w:rFonts w:ascii="Aptos" w:hAnsi="Aptos"/>
                <w:color w:val="120F0A"/>
                <w:sz w:val="17"/>
              </w:rPr>
              <w:t>Approval</w:t>
            </w:r>
          </w:p>
        </w:tc>
        <w:tc>
          <w:tcPr>
            <w:tcW w:type="dxa" w:w="6973"/>
            <w:tcMar>
              <w:top w:w="105" w:type="dxa"/>
              <w:start w:w="120" w:type="dxa"/>
              <w:bottom w:w="105" w:type="dxa"/>
              <w:end w:w="120" w:type="dxa"/>
            </w:tcMar>
            <w:vAlign w:val="center"/>
            <w:shd w:fill="F8F3F1"/>
          </w:tcPr>
          <w:p>
            <w:pPr>
              <w:spacing w:after="0" w:line="252" w:lineRule="auto"/>
            </w:pPr>
            <w:r>
              <w:rPr>
                <w:rFonts w:ascii="Aptos" w:hAnsi="Aptos"/>
                <w:color w:val="120F0A"/>
                <w:sz w:val="17"/>
              </w:rPr>
              <w:t>Record the approved rate and contributor before payout. Finance may require evidence of contribution.</w:t>
            </w:r>
          </w:p>
        </w:tc>
      </w:tr>
      <w:tr>
        <w:tc>
          <w:tcPr>
            <w:tcW w:type="dxa" w:w="2268"/>
            <w:tcMar>
              <w:top w:w="105" w:type="dxa"/>
              <w:start w:w="120" w:type="dxa"/>
              <w:bottom w:w="105" w:type="dxa"/>
              <w:end w:w="120" w:type="dxa"/>
            </w:tcMar>
            <w:vAlign w:val="center"/>
          </w:tcPr>
          <w:p>
            <w:pPr>
              <w:spacing w:after="0" w:line="252" w:lineRule="auto"/>
            </w:pPr>
            <w:r>
              <w:rPr>
                <w:rFonts w:ascii="Aptos" w:hAnsi="Aptos"/>
                <w:color w:val="120F0A"/>
                <w:sz w:val="17"/>
              </w:rPr>
              <w:t>Base</w:t>
            </w:r>
          </w:p>
        </w:tc>
        <w:tc>
          <w:tcPr>
            <w:tcW w:type="dxa" w:w="6973"/>
            <w:tcMar>
              <w:top w:w="105" w:type="dxa"/>
              <w:start w:w="120" w:type="dxa"/>
              <w:bottom w:w="105" w:type="dxa"/>
              <w:end w:w="120" w:type="dxa"/>
            </w:tcMar>
            <w:vAlign w:val="center"/>
          </w:tcPr>
          <w:p>
            <w:pPr>
              <w:spacing w:after="0" w:line="252" w:lineRule="auto"/>
            </w:pPr>
            <w:r>
              <w:rPr>
                <w:rFonts w:ascii="Aptos" w:hAnsi="Aptos"/>
                <w:color w:val="120F0A"/>
                <w:sz w:val="17"/>
              </w:rPr>
              <w:t>Eligible sponsorship cash received in the Foundation's official account, excluding GST, refunds, unpaid commitments, and in-kind support.</w:t>
            </w:r>
          </w:p>
        </w:tc>
      </w:tr>
      <w:tr>
        <w:tc>
          <w:tcPr>
            <w:tcW w:type="dxa" w:w="2268"/>
            <w:tcMar>
              <w:top w:w="105" w:type="dxa"/>
              <w:start w:w="120" w:type="dxa"/>
              <w:bottom w:w="105" w:type="dxa"/>
              <w:end w:w="120" w:type="dxa"/>
            </w:tcMar>
            <w:vAlign w:val="center"/>
            <w:shd w:fill="F8F3F1"/>
          </w:tcPr>
          <w:p>
            <w:pPr>
              <w:spacing w:after="0" w:line="252" w:lineRule="auto"/>
            </w:pPr>
            <w:r>
              <w:rPr>
                <w:rFonts w:ascii="Aptos" w:hAnsi="Aptos"/>
                <w:color w:val="120F0A"/>
                <w:sz w:val="17"/>
              </w:rPr>
              <w:t>Timing</w:t>
            </w:r>
          </w:p>
        </w:tc>
        <w:tc>
          <w:tcPr>
            <w:tcW w:type="dxa" w:w="6973"/>
            <w:tcMar>
              <w:top w:w="105" w:type="dxa"/>
              <w:start w:w="120" w:type="dxa"/>
              <w:bottom w:w="105" w:type="dxa"/>
              <w:end w:w="120" w:type="dxa"/>
            </w:tcMar>
            <w:vAlign w:val="center"/>
            <w:shd w:fill="F8F3F1"/>
          </w:tcPr>
          <w:p>
            <w:pPr>
              <w:spacing w:after="0" w:line="252" w:lineRule="auto"/>
            </w:pPr>
            <w:r>
              <w:rPr>
                <w:rFonts w:ascii="Aptos" w:hAnsi="Aptos"/>
                <w:color w:val="120F0A"/>
                <w:sz w:val="17"/>
              </w:rPr>
              <w:t>Commission becomes payable only after the eligible cash clears and finance verifies the basis.</w:t>
            </w:r>
          </w:p>
        </w:tc>
      </w:tr>
      <w:tr>
        <w:tc>
          <w:tcPr>
            <w:tcW w:type="dxa" w:w="2268"/>
            <w:tcMar>
              <w:top w:w="105" w:type="dxa"/>
              <w:start w:w="120" w:type="dxa"/>
              <w:bottom w:w="105" w:type="dxa"/>
              <w:end w:w="120" w:type="dxa"/>
            </w:tcMar>
            <w:vAlign w:val="center"/>
          </w:tcPr>
          <w:p>
            <w:pPr>
              <w:spacing w:after="0" w:line="252" w:lineRule="auto"/>
            </w:pPr>
            <w:r>
              <w:rPr>
                <w:rFonts w:ascii="Aptos" w:hAnsi="Aptos"/>
                <w:color w:val="120F0A"/>
                <w:sz w:val="17"/>
              </w:rPr>
              <w:t>Multiple contributors</w:t>
            </w:r>
          </w:p>
        </w:tc>
        <w:tc>
          <w:tcPr>
            <w:tcW w:type="dxa" w:w="6973"/>
            <w:tcMar>
              <w:top w:w="105" w:type="dxa"/>
              <w:start w:w="120" w:type="dxa"/>
              <w:bottom w:w="105" w:type="dxa"/>
              <w:end w:w="120" w:type="dxa"/>
            </w:tcMar>
            <w:vAlign w:val="center"/>
          </w:tcPr>
          <w:p>
            <w:pPr>
              <w:spacing w:after="0" w:line="252" w:lineRule="auto"/>
            </w:pPr>
            <w:r>
              <w:rPr>
                <w:rFonts w:ascii="Aptos" w:hAnsi="Aptos"/>
                <w:color w:val="120F0A"/>
                <w:sz w:val="17"/>
              </w:rPr>
              <w:t>The written approval must state how the total approved commission is divided. The combined payout cannot silently exceed the approved ceiling.</w:t>
            </w:r>
          </w:p>
        </w:tc>
      </w:tr>
      <w:tr>
        <w:tc>
          <w:tcPr>
            <w:tcW w:type="dxa" w:w="2268"/>
            <w:tcMar>
              <w:top w:w="105" w:type="dxa"/>
              <w:start w:w="120" w:type="dxa"/>
              <w:bottom w:w="105" w:type="dxa"/>
              <w:end w:w="120" w:type="dxa"/>
            </w:tcMar>
            <w:vAlign w:val="center"/>
            <w:shd w:fill="F8F3F1"/>
          </w:tcPr>
          <w:p>
            <w:pPr>
              <w:spacing w:after="0" w:line="252" w:lineRule="auto"/>
            </w:pPr>
            <w:r>
              <w:rPr>
                <w:rFonts w:ascii="Aptos" w:hAnsi="Aptos"/>
                <w:color w:val="120F0A"/>
                <w:sz w:val="17"/>
              </w:rPr>
              <w:t>Minor contributor</w:t>
            </w:r>
          </w:p>
        </w:tc>
        <w:tc>
          <w:tcPr>
            <w:tcW w:type="dxa" w:w="6973"/>
            <w:tcMar>
              <w:top w:w="105" w:type="dxa"/>
              <w:start w:w="120" w:type="dxa"/>
              <w:bottom w:w="105" w:type="dxa"/>
              <w:end w:w="120" w:type="dxa"/>
            </w:tcMar>
            <w:vAlign w:val="center"/>
            <w:shd w:fill="F8F3F1"/>
          </w:tcPr>
          <w:p>
            <w:pPr>
              <w:spacing w:after="0" w:line="252" w:lineRule="auto"/>
            </w:pPr>
            <w:r>
              <w:rPr>
                <w:rFonts w:ascii="Aptos" w:hAnsi="Aptos"/>
                <w:color w:val="120F0A"/>
                <w:sz w:val="17"/>
              </w:rPr>
              <w:t>Guardian documentation and finance approval are required before payout. The minor remains outside contracting, collection, and unapproved negotiation authority.</w:t>
            </w:r>
          </w:p>
        </w:tc>
      </w:tr>
      <w:tr>
        <w:tc>
          <w:tcPr>
            <w:tcW w:type="dxa" w:w="2268"/>
            <w:tcMar>
              <w:top w:w="105" w:type="dxa"/>
              <w:start w:w="120" w:type="dxa"/>
              <w:bottom w:w="105" w:type="dxa"/>
              <w:end w:w="120" w:type="dxa"/>
            </w:tcMar>
            <w:vAlign w:val="center"/>
          </w:tcPr>
          <w:p>
            <w:pPr>
              <w:spacing w:after="0" w:line="252" w:lineRule="auto"/>
            </w:pPr>
            <w:r>
              <w:rPr>
                <w:rFonts w:ascii="Aptos" w:hAnsi="Aptos"/>
                <w:color w:val="120F0A"/>
                <w:sz w:val="17"/>
              </w:rPr>
              <w:t>Dispute</w:t>
            </w:r>
          </w:p>
        </w:tc>
        <w:tc>
          <w:tcPr>
            <w:tcW w:type="dxa" w:w="6973"/>
            <w:tcMar>
              <w:top w:w="105" w:type="dxa"/>
              <w:start w:w="120" w:type="dxa"/>
              <w:bottom w:w="105" w:type="dxa"/>
              <w:end w:w="120" w:type="dxa"/>
            </w:tcMar>
            <w:vAlign w:val="center"/>
          </w:tcPr>
          <w:p>
            <w:pPr>
              <w:spacing w:after="0" w:line="252" w:lineRule="auto"/>
            </w:pPr>
            <w:r>
              <w:rPr>
                <w:rFonts w:ascii="Aptos" w:hAnsi="Aptos"/>
                <w:color w:val="120F0A"/>
                <w:sz w:val="17"/>
              </w:rPr>
              <w:t>Pause payout, preserve the evidence, and escalate through the finance and Board authority lane.</w:t>
            </w:r>
          </w:p>
        </w:tc>
      </w:tr>
    </w:tbl>
    <w:p>
      <w:pPr>
        <w:spacing w:after="20"/>
      </w:pPr>
    </w:p>
    <w:p>
      <w:pPr>
        <w:pStyle w:val="Heading2"/>
        <w:keepNext/>
      </w:pPr>
      <w:r>
        <w:t>Illustrative calculation</w:t>
      </w:r>
    </w:p>
    <w:p>
      <w:pPr>
        <w:spacing w:after="120" w:line="269" w:lineRule="auto"/>
      </w:pPr>
      <w:r>
        <w:rPr>
          <w:rFonts w:ascii="Aptos" w:hAnsi="Aptos"/>
          <w:i w:val="0"/>
          <w:color w:val="120F0A"/>
          <w:sz w:val="21"/>
        </w:rPr>
        <w:t>If the Foundation receives an eligible sponsorship fee of ₹1,00,000 and the contributor's written rate is 1.5 percent, the commission basis is ₹1,00,000 and the commission is ₹1,500. GST collected on top of the fee, unpaid amounts, and in-kind credits do not increase that calculation.</w:t>
      </w:r>
    </w:p>
    <w:p>
      <w:pPr>
        <w:spacing w:after="120" w:line="269" w:lineRule="auto"/>
      </w:pPr>
      <w:r>
        <w:rPr>
          <w:rFonts w:ascii="Aptos" w:hAnsi="Aptos"/>
          <w:i/>
          <w:color w:val="120F0A"/>
          <w:sz w:val="21"/>
        </w:rPr>
        <w:t>This example explains the formula. It does not approve a rate or a payout for any real contributor.</w:t>
      </w:r>
    </w:p>
    <w:p>
      <w:pPr>
        <w:pStyle w:val="Heading2"/>
        <w:keepNext/>
      </w:pPr>
      <w:r>
        <w:t>Commission approval record</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835"/>
            <w:shd w:fill="97192C"/>
            <w:tcMar>
              <w:top w:w="115" w:type="dxa"/>
              <w:start w:w="120" w:type="dxa"/>
              <w:bottom w:w="115" w:type="dxa"/>
              <w:end w:w="120" w:type="dxa"/>
            </w:tcMar>
            <w:vAlign w:val="center"/>
          </w:tcPr>
          <w:p>
            <w:pPr>
              <w:spacing w:after="0"/>
              <w:jc w:val="center"/>
            </w:pPr>
            <w:r>
              <w:rPr>
                <w:rFonts w:ascii="Aptos" w:hAnsi="Aptos"/>
                <w:b/>
                <w:color w:val="FFFFFF"/>
                <w:sz w:val="18"/>
              </w:rPr>
              <w:t>Field</w:t>
            </w:r>
          </w:p>
        </w:tc>
        <w:tc>
          <w:tcPr>
            <w:tcW w:type="dxa" w:w="6406"/>
            <w:shd w:fill="97192C"/>
            <w:tcMar>
              <w:top w:w="115" w:type="dxa"/>
              <w:start w:w="120" w:type="dxa"/>
              <w:bottom w:w="115" w:type="dxa"/>
              <w:end w:w="120" w:type="dxa"/>
            </w:tcMar>
            <w:vAlign w:val="center"/>
          </w:tcPr>
          <w:p>
            <w:pPr>
              <w:spacing w:after="0"/>
              <w:jc w:val="center"/>
            </w:pPr>
            <w:r>
              <w:rPr>
                <w:rFonts w:ascii="Aptos" w:hAnsi="Aptos"/>
                <w:b/>
                <w:color w:val="FFFFFF"/>
                <w:sz w:val="18"/>
              </w:rPr>
              <w:t>Record</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8"/>
              </w:rPr>
              <w:t>Contributor</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8"/>
              </w:rPr>
              <w:t>________________________________________</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8"/>
              </w:rPr>
              <w:t>Sponsor</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8"/>
              </w:rPr>
              <w:t>________________________________________</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8"/>
              </w:rPr>
              <w:t>Approved rate</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8"/>
              </w:rPr>
              <w:t>________ %  between 1% and 3%</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8"/>
              </w:rPr>
              <w:t>Contribution covered</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8"/>
              </w:rPr>
              <w:t>________________________________________</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8"/>
              </w:rPr>
              <w:t>Approval record</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8"/>
              </w:rPr>
              <w:t>________________________________________</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8"/>
              </w:rPr>
              <w:t>Eligible cash received</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8"/>
              </w:rPr>
              <w:t>₹ ______________________________________</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8"/>
              </w:rPr>
              <w:t>Verified commission</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8"/>
              </w:rPr>
              <w:t>₹ ______________________________________</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8"/>
              </w:rPr>
              <w:t>Payout status</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8"/>
              </w:rPr>
              <w:t>________________________________________</w:t>
            </w:r>
          </w:p>
        </w:tc>
      </w:tr>
    </w:tbl>
    <w:p>
      <w:pPr>
        <w:pageBreakBefore/>
        <w:spacing w:after="100"/>
      </w:pPr>
      <w:r>
        <w:rPr>
          <w:rFonts w:ascii="Aptos" w:hAnsi="Aptos"/>
          <w:b/>
          <w:color w:val="97192C"/>
          <w:sz w:val="17"/>
        </w:rPr>
        <w:t>COMMUNICATION</w:t>
      </w:r>
    </w:p>
    <w:p>
      <w:pPr>
        <w:pStyle w:val="Heading1"/>
        <w:keepNext/>
      </w:pPr>
      <w:r>
        <w:t>Content keeps outreach credible</w:t>
      </w:r>
    </w:p>
    <w:p>
      <w:pPr>
        <w:spacing w:after="120" w:line="269" w:lineRule="auto"/>
      </w:pPr>
      <w:r>
        <w:rPr>
          <w:rFonts w:ascii="Aptos" w:hAnsi="Aptos"/>
          <w:i w:val="0"/>
          <w:color w:val="120F0A"/>
          <w:sz w:val="21"/>
        </w:rPr>
        <w:t>Outreach needs proof that the campaign is alive. Content should give a sponsor or school something concrete to understand: who is building, what a city is preparing, what participants will do, and what has already happened.</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757"/>
            <w:shd w:fill="97192C"/>
            <w:tcMar>
              <w:top w:w="115" w:type="dxa"/>
              <w:start w:w="120" w:type="dxa"/>
              <w:bottom w:w="115" w:type="dxa"/>
              <w:end w:w="120" w:type="dxa"/>
            </w:tcMar>
            <w:vAlign w:val="center"/>
          </w:tcPr>
          <w:p>
            <w:pPr>
              <w:spacing w:after="0"/>
              <w:jc w:val="center"/>
            </w:pPr>
            <w:r>
              <w:rPr>
                <w:rFonts w:ascii="Aptos" w:hAnsi="Aptos"/>
                <w:b/>
                <w:color w:val="FFFFFF"/>
                <w:sz w:val="18"/>
              </w:rPr>
              <w:t>Moment</w:t>
            </w:r>
          </w:p>
        </w:tc>
        <w:tc>
          <w:tcPr>
            <w:tcW w:type="dxa" w:w="4082"/>
            <w:shd w:fill="97192C"/>
            <w:tcMar>
              <w:top w:w="115" w:type="dxa"/>
              <w:start w:w="120" w:type="dxa"/>
              <w:bottom w:w="115" w:type="dxa"/>
              <w:end w:w="120" w:type="dxa"/>
            </w:tcMar>
            <w:vAlign w:val="center"/>
          </w:tcPr>
          <w:p>
            <w:pPr>
              <w:spacing w:after="0"/>
              <w:jc w:val="center"/>
            </w:pPr>
            <w:r>
              <w:rPr>
                <w:rFonts w:ascii="Aptos" w:hAnsi="Aptos"/>
                <w:b/>
                <w:color w:val="FFFFFF"/>
                <w:sz w:val="18"/>
              </w:rPr>
              <w:t>Useful content</w:t>
            </w:r>
          </w:p>
        </w:tc>
        <w:tc>
          <w:tcPr>
            <w:tcW w:type="dxa" w:w="3402"/>
            <w:shd w:fill="97192C"/>
            <w:tcMar>
              <w:top w:w="115" w:type="dxa"/>
              <w:start w:w="120" w:type="dxa"/>
              <w:bottom w:w="115" w:type="dxa"/>
              <w:end w:w="120" w:type="dxa"/>
            </w:tcMar>
            <w:vAlign w:val="center"/>
          </w:tcPr>
          <w:p>
            <w:pPr>
              <w:spacing w:after="0"/>
              <w:jc w:val="center"/>
            </w:pPr>
            <w:r>
              <w:rPr>
                <w:rFonts w:ascii="Aptos" w:hAnsi="Aptos"/>
                <w:b/>
                <w:color w:val="FFFFFF"/>
                <w:sz w:val="18"/>
              </w:rPr>
              <w:t>Approval condition</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Campaign launch</w:t>
            </w:r>
          </w:p>
        </w:tc>
        <w:tc>
          <w:tcPr>
            <w:tcW w:type="dxa" w:w="4082"/>
            <w:tcMar>
              <w:top w:w="105" w:type="dxa"/>
              <w:start w:w="120" w:type="dxa"/>
              <w:bottom w:w="105" w:type="dxa"/>
              <w:end w:w="120" w:type="dxa"/>
            </w:tcMar>
            <w:vAlign w:val="center"/>
          </w:tcPr>
          <w:p>
            <w:pPr>
              <w:spacing w:after="0" w:line="252" w:lineRule="auto"/>
            </w:pPr>
            <w:r>
              <w:rPr>
                <w:rFonts w:ascii="Aptos" w:hAnsi="Aptos"/>
                <w:color w:val="120F0A"/>
                <w:sz w:val="17"/>
              </w:rPr>
              <w:t>Programme explanation, registration path, participation rules, and confirmed dates</w:t>
            </w:r>
          </w:p>
        </w:tc>
        <w:tc>
          <w:tcPr>
            <w:tcW w:type="dxa" w:w="3402"/>
            <w:tcMar>
              <w:top w:w="105" w:type="dxa"/>
              <w:start w:w="120" w:type="dxa"/>
              <w:bottom w:w="105" w:type="dxa"/>
              <w:end w:w="120" w:type="dxa"/>
            </w:tcMar>
            <w:vAlign w:val="center"/>
          </w:tcPr>
          <w:p>
            <w:pPr>
              <w:spacing w:after="0" w:line="252" w:lineRule="auto"/>
            </w:pPr>
            <w:r>
              <w:rPr>
                <w:rFonts w:ascii="Aptos" w:hAnsi="Aptos"/>
                <w:color w:val="120F0A"/>
                <w:sz w:val="17"/>
              </w:rPr>
              <w:t>Co-branding and strategic announcement approval</w:t>
            </w:r>
          </w:p>
        </w:tc>
      </w:tr>
      <w:tr>
        <w:tc>
          <w:tcPr>
            <w:tcW w:type="dxa" w:w="1757"/>
            <w:tcMar>
              <w:top w:w="105" w:type="dxa"/>
              <w:start w:w="120" w:type="dxa"/>
              <w:bottom w:w="105" w:type="dxa"/>
              <w:end w:w="120" w:type="dxa"/>
            </w:tcMar>
            <w:vAlign w:val="center"/>
            <w:shd w:fill="F8F3F1"/>
          </w:tcPr>
          <w:p>
            <w:pPr>
              <w:spacing w:after="0" w:line="252" w:lineRule="auto"/>
            </w:pPr>
            <w:r>
              <w:rPr>
                <w:rFonts w:ascii="Aptos" w:hAnsi="Aptos"/>
                <w:color w:val="120F0A"/>
                <w:sz w:val="17"/>
              </w:rPr>
              <w:t>City preparation</w:t>
            </w:r>
          </w:p>
        </w:tc>
        <w:tc>
          <w:tcPr>
            <w:tcW w:type="dxa" w:w="4082"/>
            <w:tcMar>
              <w:top w:w="105" w:type="dxa"/>
              <w:start w:w="120" w:type="dxa"/>
              <w:bottom w:w="105" w:type="dxa"/>
              <w:end w:w="120" w:type="dxa"/>
            </w:tcMar>
            <w:vAlign w:val="center"/>
            <w:shd w:fill="F8F3F1"/>
          </w:tcPr>
          <w:p>
            <w:pPr>
              <w:spacing w:after="0" w:line="252" w:lineRule="auto"/>
            </w:pPr>
            <w:r>
              <w:rPr>
                <w:rFonts w:ascii="Aptos" w:hAnsi="Aptos"/>
                <w:color w:val="120F0A"/>
                <w:sz w:val="17"/>
              </w:rPr>
              <w:t>Venue progress, local community stories, mentors, and challenge context</w:t>
            </w:r>
          </w:p>
        </w:tc>
        <w:tc>
          <w:tcPr>
            <w:tcW w:type="dxa" w:w="3402"/>
            <w:tcMar>
              <w:top w:w="105" w:type="dxa"/>
              <w:start w:w="120" w:type="dxa"/>
              <w:bottom w:w="105" w:type="dxa"/>
              <w:end w:w="120" w:type="dxa"/>
            </w:tcMar>
            <w:vAlign w:val="center"/>
            <w:shd w:fill="F8F3F1"/>
          </w:tcPr>
          <w:p>
            <w:pPr>
              <w:spacing w:after="0" w:line="252" w:lineRule="auto"/>
            </w:pPr>
            <w:r>
              <w:rPr>
                <w:rFonts w:ascii="Aptos" w:hAnsi="Aptos"/>
                <w:color w:val="120F0A"/>
                <w:sz w:val="17"/>
              </w:rPr>
              <w:t>Publish only confirmed facts; obtain required consent</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Zonal live coverage</w:t>
            </w:r>
          </w:p>
        </w:tc>
        <w:tc>
          <w:tcPr>
            <w:tcW w:type="dxa" w:w="4082"/>
            <w:tcMar>
              <w:top w:w="105" w:type="dxa"/>
              <w:start w:w="120" w:type="dxa"/>
              <w:bottom w:w="105" w:type="dxa"/>
              <w:end w:w="120" w:type="dxa"/>
            </w:tcMar>
            <w:vAlign w:val="center"/>
          </w:tcPr>
          <w:p>
            <w:pPr>
              <w:spacing w:after="0" w:line="252" w:lineRule="auto"/>
            </w:pPr>
            <w:r>
              <w:rPr>
                <w:rFonts w:ascii="Aptos" w:hAnsi="Aptos"/>
                <w:color w:val="120F0A"/>
                <w:sz w:val="17"/>
              </w:rPr>
              <w:t>Build progress, workshops, judging, and participant work</w:t>
            </w:r>
          </w:p>
        </w:tc>
        <w:tc>
          <w:tcPr>
            <w:tcW w:type="dxa" w:w="3402"/>
            <w:tcMar>
              <w:top w:w="105" w:type="dxa"/>
              <w:start w:w="120" w:type="dxa"/>
              <w:bottom w:w="105" w:type="dxa"/>
              <w:end w:w="120" w:type="dxa"/>
            </w:tcMar>
            <w:vAlign w:val="center"/>
          </w:tcPr>
          <w:p>
            <w:pPr>
              <w:spacing w:after="0" w:line="252" w:lineRule="auto"/>
            </w:pPr>
            <w:r>
              <w:rPr>
                <w:rFonts w:ascii="Aptos" w:hAnsi="Aptos"/>
                <w:color w:val="120F0A"/>
                <w:sz w:val="17"/>
              </w:rPr>
              <w:t>Media consent and safeguarding controls active</w:t>
            </w:r>
          </w:p>
        </w:tc>
      </w:tr>
      <w:tr>
        <w:tc>
          <w:tcPr>
            <w:tcW w:type="dxa" w:w="1757"/>
            <w:tcMar>
              <w:top w:w="105" w:type="dxa"/>
              <w:start w:w="120" w:type="dxa"/>
              <w:bottom w:w="105" w:type="dxa"/>
              <w:end w:w="120" w:type="dxa"/>
            </w:tcMar>
            <w:vAlign w:val="center"/>
            <w:shd w:fill="F8F3F1"/>
          </w:tcPr>
          <w:p>
            <w:pPr>
              <w:spacing w:after="0" w:line="252" w:lineRule="auto"/>
            </w:pPr>
            <w:r>
              <w:rPr>
                <w:rFonts w:ascii="Aptos" w:hAnsi="Aptos"/>
                <w:color w:val="120F0A"/>
                <w:sz w:val="17"/>
              </w:rPr>
              <w:t>Zonal result</w:t>
            </w:r>
          </w:p>
        </w:tc>
        <w:tc>
          <w:tcPr>
            <w:tcW w:type="dxa" w:w="4082"/>
            <w:tcMar>
              <w:top w:w="105" w:type="dxa"/>
              <w:start w:w="120" w:type="dxa"/>
              <w:bottom w:w="105" w:type="dxa"/>
              <w:end w:w="120" w:type="dxa"/>
            </w:tcMar>
            <w:vAlign w:val="center"/>
            <w:shd w:fill="F8F3F1"/>
          </w:tcPr>
          <w:p>
            <w:pPr>
              <w:spacing w:after="0" w:line="252" w:lineRule="auto"/>
            </w:pPr>
            <w:r>
              <w:rPr>
                <w:rFonts w:ascii="Aptos" w:hAnsi="Aptos"/>
                <w:color w:val="120F0A"/>
                <w:sz w:val="17"/>
              </w:rPr>
              <w:t>Projects, qualifiers, outcomes, and sponsor delivery</w:t>
            </w:r>
          </w:p>
        </w:tc>
        <w:tc>
          <w:tcPr>
            <w:tcW w:type="dxa" w:w="3402"/>
            <w:tcMar>
              <w:top w:w="105" w:type="dxa"/>
              <w:start w:w="120" w:type="dxa"/>
              <w:bottom w:w="105" w:type="dxa"/>
              <w:end w:w="120" w:type="dxa"/>
            </w:tcMar>
            <w:vAlign w:val="center"/>
            <w:shd w:fill="F8F3F1"/>
          </w:tcPr>
          <w:p>
            <w:pPr>
              <w:spacing w:after="0" w:line="252" w:lineRule="auto"/>
            </w:pPr>
            <w:r>
              <w:rPr>
                <w:rFonts w:ascii="Aptos" w:hAnsi="Aptos"/>
                <w:color w:val="120F0A"/>
                <w:sz w:val="17"/>
              </w:rPr>
              <w:t>Results verified before publication</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Finalist runway</w:t>
            </w:r>
          </w:p>
        </w:tc>
        <w:tc>
          <w:tcPr>
            <w:tcW w:type="dxa" w:w="4082"/>
            <w:tcMar>
              <w:top w:w="105" w:type="dxa"/>
              <w:start w:w="120" w:type="dxa"/>
              <w:bottom w:w="105" w:type="dxa"/>
              <w:end w:w="120" w:type="dxa"/>
            </w:tcMar>
            <w:vAlign w:val="center"/>
          </w:tcPr>
          <w:p>
            <w:pPr>
              <w:spacing w:after="0" w:line="252" w:lineRule="auto"/>
            </w:pPr>
            <w:r>
              <w:rPr>
                <w:rFonts w:ascii="Aptos" w:hAnsi="Aptos"/>
                <w:color w:val="120F0A"/>
                <w:sz w:val="17"/>
              </w:rPr>
              <w:t>Finalist projects, mentor support, and final preparation</w:t>
            </w:r>
          </w:p>
        </w:tc>
        <w:tc>
          <w:tcPr>
            <w:tcW w:type="dxa" w:w="3402"/>
            <w:tcMar>
              <w:top w:w="105" w:type="dxa"/>
              <w:start w:w="120" w:type="dxa"/>
              <w:bottom w:w="105" w:type="dxa"/>
              <w:end w:w="120" w:type="dxa"/>
            </w:tcMar>
            <w:vAlign w:val="center"/>
          </w:tcPr>
          <w:p>
            <w:pPr>
              <w:spacing w:after="0" w:line="252" w:lineRule="auto"/>
            </w:pPr>
            <w:r>
              <w:rPr>
                <w:rFonts w:ascii="Aptos" w:hAnsi="Aptos"/>
                <w:color w:val="120F0A"/>
                <w:sz w:val="17"/>
              </w:rPr>
              <w:t>Travel, identity, guardian, and media details cleared</w:t>
            </w:r>
          </w:p>
        </w:tc>
      </w:tr>
      <w:tr>
        <w:tc>
          <w:tcPr>
            <w:tcW w:type="dxa" w:w="1757"/>
            <w:tcMar>
              <w:top w:w="105" w:type="dxa"/>
              <w:start w:w="120" w:type="dxa"/>
              <w:bottom w:w="105" w:type="dxa"/>
              <w:end w:w="120" w:type="dxa"/>
            </w:tcMar>
            <w:vAlign w:val="center"/>
            <w:shd w:fill="F8F3F1"/>
          </w:tcPr>
          <w:p>
            <w:pPr>
              <w:spacing w:after="0" w:line="252" w:lineRule="auto"/>
            </w:pPr>
            <w:r>
              <w:rPr>
                <w:rFonts w:ascii="Aptos" w:hAnsi="Aptos"/>
                <w:color w:val="120F0A"/>
                <w:sz w:val="17"/>
              </w:rPr>
              <w:t>IIT Bombay final</w:t>
            </w:r>
          </w:p>
        </w:tc>
        <w:tc>
          <w:tcPr>
            <w:tcW w:type="dxa" w:w="4082"/>
            <w:tcMar>
              <w:top w:w="105" w:type="dxa"/>
              <w:start w:w="120" w:type="dxa"/>
              <w:bottom w:w="105" w:type="dxa"/>
              <w:end w:w="120" w:type="dxa"/>
            </w:tcMar>
            <w:vAlign w:val="center"/>
            <w:shd w:fill="F8F3F1"/>
          </w:tcPr>
          <w:p>
            <w:pPr>
              <w:spacing w:after="0" w:line="252" w:lineRule="auto"/>
            </w:pPr>
            <w:r>
              <w:rPr>
                <w:rFonts w:ascii="Aptos" w:hAnsi="Aptos"/>
                <w:color w:val="120F0A"/>
                <w:sz w:val="17"/>
              </w:rPr>
              <w:t>Final builds, judging, partner visibility, and outcomes</w:t>
            </w:r>
          </w:p>
        </w:tc>
        <w:tc>
          <w:tcPr>
            <w:tcW w:type="dxa" w:w="3402"/>
            <w:tcMar>
              <w:top w:w="105" w:type="dxa"/>
              <w:start w:w="120" w:type="dxa"/>
              <w:bottom w:w="105" w:type="dxa"/>
              <w:end w:w="120" w:type="dxa"/>
            </w:tcMar>
            <w:vAlign w:val="center"/>
            <w:shd w:fill="F8F3F1"/>
          </w:tcPr>
          <w:p>
            <w:pPr>
              <w:spacing w:after="0" w:line="252" w:lineRule="auto"/>
            </w:pPr>
            <w:r>
              <w:rPr>
                <w:rFonts w:ascii="Aptos" w:hAnsi="Aptos"/>
                <w:color w:val="120F0A"/>
                <w:sz w:val="17"/>
              </w:rPr>
              <w:t>Joint event, brand, sponsor, and participant approvals</w:t>
            </w:r>
          </w:p>
        </w:tc>
      </w:tr>
      <w:tr>
        <w:tc>
          <w:tcPr>
            <w:tcW w:type="dxa" w:w="1757"/>
            <w:tcMar>
              <w:top w:w="105" w:type="dxa"/>
              <w:start w:w="120" w:type="dxa"/>
              <w:bottom w:w="105" w:type="dxa"/>
              <w:end w:w="120" w:type="dxa"/>
            </w:tcMar>
            <w:vAlign w:val="center"/>
          </w:tcPr>
          <w:p>
            <w:pPr>
              <w:spacing w:after="0" w:line="252" w:lineRule="auto"/>
            </w:pPr>
            <w:r>
              <w:rPr>
                <w:rFonts w:ascii="Aptos" w:hAnsi="Aptos"/>
                <w:color w:val="120F0A"/>
                <w:sz w:val="17"/>
              </w:rPr>
              <w:t>After the campaign</w:t>
            </w:r>
          </w:p>
        </w:tc>
        <w:tc>
          <w:tcPr>
            <w:tcW w:type="dxa" w:w="4082"/>
            <w:tcMar>
              <w:top w:w="105" w:type="dxa"/>
              <w:start w:w="120" w:type="dxa"/>
              <w:bottom w:w="105" w:type="dxa"/>
              <w:end w:w="120" w:type="dxa"/>
            </w:tcMar>
            <w:vAlign w:val="center"/>
          </w:tcPr>
          <w:p>
            <w:pPr>
              <w:spacing w:after="0" w:line="252" w:lineRule="auto"/>
            </w:pPr>
            <w:r>
              <w:rPr>
                <w:rFonts w:ascii="Aptos" w:hAnsi="Aptos"/>
                <w:color w:val="120F0A"/>
                <w:sz w:val="17"/>
              </w:rPr>
              <w:t>Impact report, delivery evidence, lessons, and renewal material</w:t>
            </w:r>
          </w:p>
        </w:tc>
        <w:tc>
          <w:tcPr>
            <w:tcW w:type="dxa" w:w="3402"/>
            <w:tcMar>
              <w:top w:w="105" w:type="dxa"/>
              <w:start w:w="120" w:type="dxa"/>
              <w:bottom w:w="105" w:type="dxa"/>
              <w:end w:w="120" w:type="dxa"/>
            </w:tcMar>
            <w:vAlign w:val="center"/>
          </w:tcPr>
          <w:p>
            <w:pPr>
              <w:spacing w:after="0" w:line="252" w:lineRule="auto"/>
            </w:pPr>
            <w:r>
              <w:rPr>
                <w:rFonts w:ascii="Aptos" w:hAnsi="Aptos"/>
                <w:color w:val="120F0A"/>
                <w:sz w:val="17"/>
              </w:rPr>
              <w:t>Confidential and participant data removed or authorised</w:t>
            </w:r>
          </w:p>
        </w:tc>
      </w:tr>
    </w:tbl>
    <w:p>
      <w:pPr>
        <w:spacing w:after="20"/>
      </w:pPr>
    </w:p>
    <w:p>
      <w:pPr>
        <w:pStyle w:val="Heading2"/>
        <w:keepNext/>
      </w:pPr>
      <w:r>
        <w:t>Publishing rules</w:t>
      </w:r>
    </w:p>
    <w:p>
      <w:pPr>
        <w:pStyle w:val="ListBullet"/>
        <w:spacing w:after="60" w:line="259" w:lineRule="auto"/>
      </w:pPr>
      <w:r>
        <w:rPr>
          <w:rFonts w:ascii="Aptos" w:hAnsi="Aptos"/>
          <w:color w:val="120F0A"/>
          <w:sz w:val="20"/>
        </w:rPr>
        <w:t>Use bits&amp;bytes™ exactly in community-facing copy. Use GOBITSNBYTES FOUNDATION for legal, financial, and formal institutional contexts.</w:t>
      </w:r>
    </w:p>
    <w:p>
      <w:pPr>
        <w:pStyle w:val="ListBullet"/>
        <w:spacing w:after="60" w:line="259" w:lineRule="auto"/>
      </w:pPr>
      <w:r>
        <w:rPr>
          <w:rFonts w:ascii="Aptos" w:hAnsi="Aptos"/>
          <w:color w:val="120F0A"/>
          <w:sz w:val="20"/>
        </w:rPr>
        <w:t>Use approved logo lockups and obtain approval for co-branded sponsor, school, press, or merchandise material.</w:t>
      </w:r>
    </w:p>
    <w:p>
      <w:pPr>
        <w:pStyle w:val="ListBullet"/>
        <w:spacing w:after="60" w:line="259" w:lineRule="auto"/>
      </w:pPr>
      <w:r>
        <w:rPr>
          <w:rFonts w:ascii="Aptos" w:hAnsi="Aptos"/>
          <w:color w:val="120F0A"/>
          <w:sz w:val="20"/>
        </w:rPr>
        <w:t>Do not publish a city, date, venue, prize, speaker, sponsor, or finalist before it is confirmed through the relevant lane.</w:t>
      </w:r>
    </w:p>
    <w:p>
      <w:pPr>
        <w:pStyle w:val="ListBullet"/>
        <w:spacing w:after="60" w:line="259" w:lineRule="auto"/>
      </w:pPr>
      <w:r>
        <w:rPr>
          <w:rFonts w:ascii="Aptos" w:hAnsi="Aptos"/>
          <w:color w:val="120F0A"/>
          <w:sz w:val="20"/>
        </w:rPr>
        <w:t>Do not share participant contact data with sponsors. Sponsor visibility may include approved branding, booths, and mentor access, subject to the agreement and safeguarding rules.</w:t>
      </w:r>
    </w:p>
    <w:p>
      <w:pPr>
        <w:pStyle w:val="ListBullet"/>
        <w:spacing w:after="60" w:line="259" w:lineRule="auto"/>
      </w:pPr>
      <w:r>
        <w:rPr>
          <w:rFonts w:ascii="Aptos" w:hAnsi="Aptos"/>
          <w:color w:val="120F0A"/>
          <w:sz w:val="20"/>
        </w:rPr>
        <w:t>Store the final file, approval record, and publication link so sponsor delivery can be proved later.</w:t>
      </w:r>
    </w:p>
    <w:p>
      <w:pPr>
        <w:pageBreakBefore/>
        <w:spacing w:after="100"/>
      </w:pPr>
      <w:r>
        <w:rPr>
          <w:rFonts w:ascii="Aptos" w:hAnsi="Aptos"/>
          <w:b/>
          <w:color w:val="97192C"/>
          <w:sz w:val="17"/>
        </w:rPr>
        <w:t>SAFEGUARDING</w:t>
      </w:r>
    </w:p>
    <w:p>
      <w:pPr>
        <w:pStyle w:val="Heading1"/>
        <w:keepNext/>
      </w:pPr>
      <w:r>
        <w:t>A youth campaign has to be built for youth safety</w:t>
      </w:r>
    </w:p>
    <w:p>
      <w:pPr>
        <w:spacing w:after="120" w:line="269" w:lineRule="auto"/>
      </w:pPr>
      <w:r>
        <w:rPr>
          <w:rFonts w:ascii="Aptos" w:hAnsi="Aptos"/>
          <w:i w:val="0"/>
          <w:color w:val="120F0A"/>
          <w:sz w:val="21"/>
        </w:rPr>
        <w:t>Most participants are expected to be high school students. Safety is therefore part of the event design, not a form added at the end. If a city cannot meet the required controls, it must shorten, move, or delay the event.</w:t>
      </w:r>
    </w:p>
    <w:p>
      <w:pPr>
        <w:pStyle w:val="Heading2"/>
        <w:keepNext/>
      </w:pPr>
      <w:r>
        <w:t>Controls for every zonal</w:t>
      </w:r>
    </w:p>
    <w:p>
      <w:pPr>
        <w:pStyle w:val="ListBullet"/>
        <w:spacing w:after="60" w:line="259" w:lineRule="auto"/>
      </w:pPr>
      <w:r>
        <w:rPr>
          <w:rFonts w:ascii="Aptos" w:hAnsi="Aptos"/>
          <w:color w:val="120F0A"/>
          <w:sz w:val="20"/>
        </w:rPr>
        <w:t>Verifiable parent or lawful guardian consent before processing a minor's personal data where required.</w:t>
      </w:r>
    </w:p>
    <w:p>
      <w:pPr>
        <w:pStyle w:val="ListBullet"/>
        <w:spacing w:after="60" w:line="259" w:lineRule="auto"/>
      </w:pPr>
      <w:r>
        <w:rPr>
          <w:rFonts w:ascii="Aptos" w:hAnsi="Aptos"/>
          <w:color w:val="120F0A"/>
          <w:sz w:val="20"/>
        </w:rPr>
        <w:t>Separate written guardian release before photographing, recording, livestreaming, or publicly featuring a minor.</w:t>
      </w:r>
    </w:p>
    <w:p>
      <w:pPr>
        <w:pStyle w:val="ListBullet"/>
        <w:spacing w:after="60" w:line="259" w:lineRule="auto"/>
      </w:pPr>
      <w:r>
        <w:rPr>
          <w:rFonts w:ascii="Aptos" w:hAnsi="Aptos"/>
          <w:color w:val="120F0A"/>
          <w:sz w:val="20"/>
        </w:rPr>
        <w:t>At least two vetted adults present for sessions involving minors; no isolated one-to-one physical or private online session.</w:t>
      </w:r>
    </w:p>
    <w:p>
      <w:pPr>
        <w:pStyle w:val="ListBullet"/>
        <w:spacing w:after="60" w:line="259" w:lineRule="auto"/>
      </w:pPr>
      <w:r>
        <w:rPr>
          <w:rFonts w:ascii="Aptos" w:hAnsi="Aptos"/>
          <w:color w:val="120F0A"/>
          <w:sz w:val="20"/>
        </w:rPr>
        <w:t>A visible code of conduct, reporting channel, incident owner, and immediate escalation route.</w:t>
      </w:r>
    </w:p>
    <w:p>
      <w:pPr>
        <w:pStyle w:val="ListBullet"/>
        <w:spacing w:after="60" w:line="259" w:lineRule="auto"/>
      </w:pPr>
      <w:r>
        <w:rPr>
          <w:rFonts w:ascii="Aptos" w:hAnsi="Aptos"/>
          <w:color w:val="120F0A"/>
          <w:sz w:val="20"/>
        </w:rPr>
        <w:t>Only necessary participant data is collected, access is limited, and sponsor access to personal contact data is prohibited.</w:t>
      </w:r>
    </w:p>
    <w:p>
      <w:pPr>
        <w:pStyle w:val="ListBullet"/>
        <w:spacing w:after="60" w:line="259" w:lineRule="auto"/>
      </w:pPr>
      <w:r>
        <w:rPr>
          <w:rFonts w:ascii="Aptos" w:hAnsi="Aptos"/>
          <w:color w:val="120F0A"/>
          <w:sz w:val="20"/>
        </w:rPr>
        <w:t>Safe arrival, controlled access, emergency contacts, medical response, and documented departure procedures.</w:t>
      </w:r>
    </w:p>
    <w:p>
      <w:pPr>
        <w:pStyle w:val="Heading2"/>
        <w:keepNext/>
      </w:pPr>
      <w:r>
        <w:t>Additional overnight gate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835"/>
            <w:shd w:fill="97192C"/>
            <w:tcMar>
              <w:top w:w="115" w:type="dxa"/>
              <w:start w:w="120" w:type="dxa"/>
              <w:bottom w:w="115" w:type="dxa"/>
              <w:end w:w="120" w:type="dxa"/>
            </w:tcMar>
            <w:vAlign w:val="center"/>
          </w:tcPr>
          <w:p>
            <w:pPr>
              <w:spacing w:after="0"/>
              <w:jc w:val="center"/>
            </w:pPr>
            <w:r>
              <w:rPr>
                <w:rFonts w:ascii="Aptos" w:hAnsi="Aptos"/>
                <w:b/>
                <w:color w:val="FFFFFF"/>
                <w:sz w:val="18"/>
              </w:rPr>
              <w:t>Requirement</w:t>
            </w:r>
          </w:p>
        </w:tc>
        <w:tc>
          <w:tcPr>
            <w:tcW w:type="dxa" w:w="6406"/>
            <w:shd w:fill="97192C"/>
            <w:tcMar>
              <w:top w:w="115" w:type="dxa"/>
              <w:start w:w="120" w:type="dxa"/>
              <w:bottom w:w="115" w:type="dxa"/>
              <w:end w:w="120" w:type="dxa"/>
            </w:tcMar>
            <w:vAlign w:val="center"/>
          </w:tcPr>
          <w:p>
            <w:pPr>
              <w:spacing w:after="0"/>
              <w:jc w:val="center"/>
            </w:pPr>
            <w:r>
              <w:rPr>
                <w:rFonts w:ascii="Aptos" w:hAnsi="Aptos"/>
                <w:b/>
                <w:color w:val="FFFFFF"/>
                <w:sz w:val="18"/>
              </w:rPr>
              <w:t>Evidence before announcement</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7"/>
              </w:rPr>
              <w:t>Venue perimeter and access control</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7"/>
              </w:rPr>
              <w:t>Written venue plan and responsible adult contact</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7"/>
              </w:rPr>
              <w:t>Gender-separated resting areas</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7"/>
              </w:rPr>
              <w:t>Mapped spaces with supervision and access rules</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7"/>
              </w:rPr>
              <w:t>Chaperones and adult rotations</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7"/>
              </w:rPr>
              <w:t>Named vetted adults, shifts, and escalation contacts</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7"/>
              </w:rPr>
              <w:t>Guardian consent</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7"/>
              </w:rPr>
              <w:t>Approved consent workflow covering the overnight format, travel, media, and emergency contact</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7"/>
              </w:rPr>
              <w:t>Food, water, rest, and medical support</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7"/>
              </w:rPr>
              <w:t>Operating plan and vendors or venue support confirmed</w:t>
            </w:r>
          </w:p>
        </w:tc>
      </w:tr>
      <w:tr>
        <w:tc>
          <w:tcPr>
            <w:tcW w:type="dxa" w:w="2835"/>
            <w:tcMar>
              <w:top w:w="105" w:type="dxa"/>
              <w:start w:w="120" w:type="dxa"/>
              <w:bottom w:w="105" w:type="dxa"/>
              <w:end w:w="120" w:type="dxa"/>
            </w:tcMar>
            <w:vAlign w:val="center"/>
            <w:shd w:fill="F8F3F1"/>
          </w:tcPr>
          <w:p>
            <w:pPr>
              <w:spacing w:after="0" w:line="252" w:lineRule="auto"/>
            </w:pPr>
            <w:r>
              <w:rPr>
                <w:rFonts w:ascii="Aptos" w:hAnsi="Aptos"/>
                <w:color w:val="120F0A"/>
                <w:sz w:val="17"/>
              </w:rPr>
              <w:t>Arrival and departure</w:t>
            </w:r>
          </w:p>
        </w:tc>
        <w:tc>
          <w:tcPr>
            <w:tcW w:type="dxa" w:w="6406"/>
            <w:tcMar>
              <w:top w:w="105" w:type="dxa"/>
              <w:start w:w="120" w:type="dxa"/>
              <w:bottom w:w="105" w:type="dxa"/>
              <w:end w:w="120" w:type="dxa"/>
            </w:tcMar>
            <w:vAlign w:val="center"/>
            <w:shd w:fill="F8F3F1"/>
          </w:tcPr>
          <w:p>
            <w:pPr>
              <w:spacing w:after="0" w:line="252" w:lineRule="auto"/>
            </w:pPr>
            <w:r>
              <w:rPr>
                <w:rFonts w:ascii="Aptos" w:hAnsi="Aptos"/>
                <w:color w:val="120F0A"/>
                <w:sz w:val="17"/>
              </w:rPr>
              <w:t>Safe timing, pickup or travel instructions, and exception handling</w:t>
            </w:r>
          </w:p>
        </w:tc>
      </w:tr>
      <w:tr>
        <w:tc>
          <w:tcPr>
            <w:tcW w:type="dxa" w:w="2835"/>
            <w:tcMar>
              <w:top w:w="105" w:type="dxa"/>
              <w:start w:w="120" w:type="dxa"/>
              <w:bottom w:w="105" w:type="dxa"/>
              <w:end w:w="120" w:type="dxa"/>
            </w:tcMar>
            <w:vAlign w:val="center"/>
          </w:tcPr>
          <w:p>
            <w:pPr>
              <w:spacing w:after="0" w:line="252" w:lineRule="auto"/>
            </w:pPr>
            <w:r>
              <w:rPr>
                <w:rFonts w:ascii="Aptos" w:hAnsi="Aptos"/>
                <w:color w:val="120F0A"/>
                <w:sz w:val="17"/>
              </w:rPr>
              <w:t>Incident response</w:t>
            </w:r>
          </w:p>
        </w:tc>
        <w:tc>
          <w:tcPr>
            <w:tcW w:type="dxa" w:w="6406"/>
            <w:tcMar>
              <w:top w:w="105" w:type="dxa"/>
              <w:start w:w="120" w:type="dxa"/>
              <w:bottom w:w="105" w:type="dxa"/>
              <w:end w:w="120" w:type="dxa"/>
            </w:tcMar>
            <w:vAlign w:val="center"/>
          </w:tcPr>
          <w:p>
            <w:pPr>
              <w:spacing w:after="0" w:line="252" w:lineRule="auto"/>
            </w:pPr>
            <w:r>
              <w:rPr>
                <w:rFonts w:ascii="Aptos" w:hAnsi="Aptos"/>
                <w:color w:val="120F0A"/>
                <w:sz w:val="17"/>
              </w:rPr>
              <w:t>Reporting path, immediate protection steps, partner notification, and statutory escalation where required</w:t>
            </w:r>
          </w:p>
        </w:tc>
      </w:tr>
    </w:tbl>
    <w:p>
      <w:pPr>
        <w:spacing w:after="20"/>
      </w:pPr>
    </w:p>
    <w:p>
      <w:pPr>
        <w:pStyle w:val="Heading2"/>
        <w:keepNext/>
      </w:pPr>
      <w:r>
        <w:t>Stop conditions</w:t>
      </w:r>
    </w:p>
    <w:p>
      <w:pPr>
        <w:spacing w:after="120" w:line="269" w:lineRule="auto"/>
      </w:pPr>
      <w:r>
        <w:rPr>
          <w:rFonts w:ascii="Aptos" w:hAnsi="Aptos"/>
          <w:i w:val="0"/>
          <w:color w:val="120F0A"/>
          <w:sz w:val="21"/>
        </w:rPr>
        <w:t>Pause registration, promotion, or the event itself when a material safeguarding control is missing, a serious incident is unresolved, venue security fails, or a partner cannot meet the agreed minor-protection standard. The partnership agreement allows the Foundation to suspend promotional support, withhold participation, or terminate for compromised safety standards.</w:t>
      </w:r>
    </w:p>
    <w:p>
      <w:pPr>
        <w:pageBreakBefore/>
        <w:spacing w:after="100"/>
      </w:pPr>
      <w:r>
        <w:rPr>
          <w:rFonts w:ascii="Aptos" w:hAnsi="Aptos"/>
          <w:b/>
          <w:color w:val="97192C"/>
          <w:sz w:val="17"/>
        </w:rPr>
        <w:t>MONEY AND AUTHORITY</w:t>
      </w:r>
    </w:p>
    <w:p>
      <w:pPr>
        <w:pStyle w:val="Heading1"/>
        <w:keepNext/>
      </w:pPr>
      <w:r>
        <w:t>Money moves through official accounts and recorded approvals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438"/>
            <w:shd w:fill="97192C"/>
            <w:tcMar>
              <w:top w:w="115" w:type="dxa"/>
              <w:start w:w="120" w:type="dxa"/>
              <w:bottom w:w="115" w:type="dxa"/>
              <w:end w:w="120" w:type="dxa"/>
            </w:tcMar>
            <w:vAlign w:val="center"/>
          </w:tcPr>
          <w:p>
            <w:pPr>
              <w:spacing w:after="0"/>
              <w:jc w:val="center"/>
            </w:pPr>
            <w:r>
              <w:rPr>
                <w:rFonts w:ascii="Aptos" w:hAnsi="Aptos"/>
                <w:b/>
                <w:color w:val="FFFFFF"/>
                <w:sz w:val="18"/>
              </w:rPr>
              <w:t>Control</w:t>
            </w:r>
          </w:p>
        </w:tc>
        <w:tc>
          <w:tcPr>
            <w:tcW w:type="dxa" w:w="6803"/>
            <w:shd w:fill="97192C"/>
            <w:tcMar>
              <w:top w:w="115" w:type="dxa"/>
              <w:start w:w="120" w:type="dxa"/>
              <w:bottom w:w="115" w:type="dxa"/>
              <w:end w:w="120" w:type="dxa"/>
            </w:tcMar>
            <w:vAlign w:val="center"/>
          </w:tcPr>
          <w:p>
            <w:pPr>
              <w:spacing w:after="0"/>
              <w:jc w:val="center"/>
            </w:pPr>
            <w:r>
              <w:rPr>
                <w:rFonts w:ascii="Aptos" w:hAnsi="Aptos"/>
                <w:b/>
                <w:color w:val="FFFFFF"/>
                <w:sz w:val="18"/>
              </w:rPr>
              <w:t>Rule</w:t>
            </w:r>
          </w:p>
        </w:tc>
      </w:tr>
      <w:tr>
        <w:tc>
          <w:tcPr>
            <w:tcW w:type="dxa" w:w="2438"/>
            <w:tcMar>
              <w:top w:w="105" w:type="dxa"/>
              <w:start w:w="120" w:type="dxa"/>
              <w:bottom w:w="105" w:type="dxa"/>
              <w:end w:w="120" w:type="dxa"/>
            </w:tcMar>
            <w:vAlign w:val="center"/>
          </w:tcPr>
          <w:p>
            <w:pPr>
              <w:spacing w:after="0" w:line="252" w:lineRule="auto"/>
            </w:pPr>
            <w:r>
              <w:rPr>
                <w:rFonts w:ascii="Aptos" w:hAnsi="Aptos"/>
                <w:color w:val="120F0A"/>
                <w:sz w:val="17"/>
              </w:rPr>
              <w:t>Fund routing</w:t>
            </w:r>
          </w:p>
        </w:tc>
        <w:tc>
          <w:tcPr>
            <w:tcW w:type="dxa" w:w="6803"/>
            <w:tcMar>
              <w:top w:w="105" w:type="dxa"/>
              <w:start w:w="120" w:type="dxa"/>
              <w:bottom w:w="105" w:type="dxa"/>
              <w:end w:w="120" w:type="dxa"/>
            </w:tcMar>
            <w:vAlign w:val="center"/>
          </w:tcPr>
          <w:p>
            <w:pPr>
              <w:spacing w:after="0" w:line="252" w:lineRule="auto"/>
            </w:pPr>
            <w:r>
              <w:rPr>
                <w:rFonts w:ascii="Aptos" w:hAnsi="Aptos"/>
                <w:color w:val="120F0A"/>
                <w:sz w:val="17"/>
              </w:rPr>
              <w:t>Use approved Foundation corporate accounts or official Techfest institutional accounts as permitted by the agreement. Never use personal accounts, personal UPI IDs, wallets, or cash.</w:t>
            </w:r>
          </w:p>
        </w:tc>
      </w:tr>
      <w:tr>
        <w:tc>
          <w:tcPr>
            <w:tcW w:type="dxa" w:w="2438"/>
            <w:tcMar>
              <w:top w:w="105" w:type="dxa"/>
              <w:start w:w="120" w:type="dxa"/>
              <w:bottom w:w="105" w:type="dxa"/>
              <w:end w:w="120" w:type="dxa"/>
            </w:tcMar>
            <w:vAlign w:val="center"/>
            <w:shd w:fill="F8F3F1"/>
          </w:tcPr>
          <w:p>
            <w:pPr>
              <w:spacing w:after="0" w:line="252" w:lineRule="auto"/>
            </w:pPr>
            <w:r>
              <w:rPr>
                <w:rFonts w:ascii="Aptos" w:hAnsi="Aptos"/>
                <w:color w:val="120F0A"/>
                <w:sz w:val="17"/>
              </w:rPr>
              <w:t>Joint spend threshold</w:t>
            </w:r>
          </w:p>
        </w:tc>
        <w:tc>
          <w:tcPr>
            <w:tcW w:type="dxa" w:w="6803"/>
            <w:tcMar>
              <w:top w:w="105" w:type="dxa"/>
              <w:start w:w="120" w:type="dxa"/>
              <w:bottom w:w="105" w:type="dxa"/>
              <w:end w:w="120" w:type="dxa"/>
            </w:tcMar>
            <w:vAlign w:val="center"/>
            <w:shd w:fill="F8F3F1"/>
          </w:tcPr>
          <w:p>
            <w:pPr>
              <w:spacing w:after="0" w:line="252" w:lineRule="auto"/>
            </w:pPr>
            <w:r>
              <w:rPr>
                <w:rFonts w:ascii="Aptos" w:hAnsi="Aptos"/>
                <w:color w:val="120F0A"/>
                <w:sz w:val="17"/>
              </w:rPr>
              <w:t>An Event obligation above ₹25,000 needs prior written consent from the other party unless it sits within a pre-approved joint budget line.</w:t>
            </w:r>
          </w:p>
        </w:tc>
      </w:tr>
      <w:tr>
        <w:tc>
          <w:tcPr>
            <w:tcW w:type="dxa" w:w="2438"/>
            <w:tcMar>
              <w:top w:w="105" w:type="dxa"/>
              <w:start w:w="120" w:type="dxa"/>
              <w:bottom w:w="105" w:type="dxa"/>
              <w:end w:w="120" w:type="dxa"/>
            </w:tcMar>
            <w:vAlign w:val="center"/>
          </w:tcPr>
          <w:p>
            <w:pPr>
              <w:spacing w:after="0" w:line="252" w:lineRule="auto"/>
            </w:pPr>
            <w:r>
              <w:rPr>
                <w:rFonts w:ascii="Aptos" w:hAnsi="Aptos"/>
                <w:color w:val="120F0A"/>
                <w:sz w:val="17"/>
              </w:rPr>
              <w:t>Local Fork sponsorship</w:t>
            </w:r>
          </w:p>
        </w:tc>
        <w:tc>
          <w:tcPr>
            <w:tcW w:type="dxa" w:w="6803"/>
            <w:tcMar>
              <w:top w:w="105" w:type="dxa"/>
              <w:start w:w="120" w:type="dxa"/>
              <w:bottom w:w="105" w:type="dxa"/>
              <w:end w:w="120" w:type="dxa"/>
            </w:tcMar>
            <w:vAlign w:val="center"/>
          </w:tcPr>
          <w:p>
            <w:pPr>
              <w:spacing w:after="0" w:line="252" w:lineRule="auto"/>
            </w:pPr>
            <w:r>
              <w:rPr>
                <w:rFonts w:ascii="Aptos" w:hAnsi="Aptos"/>
                <w:color w:val="120F0A"/>
                <w:sz w:val="17"/>
              </w:rPr>
              <w:t>A city Fork may raise local event sponsorship up to ₹50,000. A deal above that requires HQ CFO approval.</w:t>
            </w:r>
          </w:p>
        </w:tc>
      </w:tr>
      <w:tr>
        <w:tc>
          <w:tcPr>
            <w:tcW w:type="dxa" w:w="2438"/>
            <w:tcMar>
              <w:top w:w="105" w:type="dxa"/>
              <w:start w:w="120" w:type="dxa"/>
              <w:bottom w:w="105" w:type="dxa"/>
              <w:end w:w="120" w:type="dxa"/>
            </w:tcMar>
            <w:vAlign w:val="center"/>
            <w:shd w:fill="F8F3F1"/>
          </w:tcPr>
          <w:p>
            <w:pPr>
              <w:spacing w:after="0" w:line="252" w:lineRule="auto"/>
            </w:pPr>
            <w:r>
              <w:rPr>
                <w:rFonts w:ascii="Aptos" w:hAnsi="Aptos"/>
                <w:color w:val="120F0A"/>
                <w:sz w:val="17"/>
              </w:rPr>
              <w:t>Foundation high-value authority</w:t>
            </w:r>
          </w:p>
        </w:tc>
        <w:tc>
          <w:tcPr>
            <w:tcW w:type="dxa" w:w="6803"/>
            <w:tcMar>
              <w:top w:w="105" w:type="dxa"/>
              <w:start w:w="120" w:type="dxa"/>
              <w:bottom w:w="105" w:type="dxa"/>
              <w:end w:w="120" w:type="dxa"/>
            </w:tcMar>
            <w:vAlign w:val="center"/>
            <w:shd w:fill="F8F3F1"/>
          </w:tcPr>
          <w:p>
            <w:pPr>
              <w:spacing w:after="0" w:line="252" w:lineRule="auto"/>
            </w:pPr>
            <w:r>
              <w:rPr>
                <w:rFonts w:ascii="Aptos" w:hAnsi="Aptos"/>
                <w:color w:val="120F0A"/>
                <w:sz w:val="17"/>
              </w:rPr>
              <w:t>Contracts, disbursements, or legal obligations above ₹1,00,000 require the Foundation's dual-signature control under the current authority rule.</w:t>
            </w:r>
          </w:p>
        </w:tc>
      </w:tr>
      <w:tr>
        <w:tc>
          <w:tcPr>
            <w:tcW w:type="dxa" w:w="2438"/>
            <w:tcMar>
              <w:top w:w="105" w:type="dxa"/>
              <w:start w:w="120" w:type="dxa"/>
              <w:bottom w:w="105" w:type="dxa"/>
              <w:end w:w="120" w:type="dxa"/>
            </w:tcMar>
            <w:vAlign w:val="center"/>
          </w:tcPr>
          <w:p>
            <w:pPr>
              <w:spacing w:after="0" w:line="252" w:lineRule="auto"/>
            </w:pPr>
            <w:r>
              <w:rPr>
                <w:rFonts w:ascii="Aptos" w:hAnsi="Aptos"/>
                <w:color w:val="120F0A"/>
                <w:sz w:val="17"/>
              </w:rPr>
              <w:t>Sponsorship agreements</w:t>
            </w:r>
          </w:p>
        </w:tc>
        <w:tc>
          <w:tcPr>
            <w:tcW w:type="dxa" w:w="6803"/>
            <w:tcMar>
              <w:top w:w="105" w:type="dxa"/>
              <w:start w:w="120" w:type="dxa"/>
              <w:bottom w:w="105" w:type="dxa"/>
              <w:end w:w="120" w:type="dxa"/>
            </w:tcMar>
            <w:vAlign w:val="center"/>
          </w:tcPr>
          <w:p>
            <w:pPr>
              <w:spacing w:after="0" w:line="252" w:lineRule="auto"/>
            </w:pPr>
            <w:r>
              <w:rPr>
                <w:rFonts w:ascii="Aptos" w:hAnsi="Aptos"/>
                <w:color w:val="120F0A"/>
                <w:sz w:val="17"/>
              </w:rPr>
              <w:t>Only authorised corporate officers or Board signatories may execute sponsorship contracts and MOUs.</w:t>
            </w:r>
          </w:p>
        </w:tc>
      </w:tr>
      <w:tr>
        <w:tc>
          <w:tcPr>
            <w:tcW w:type="dxa" w:w="2438"/>
            <w:tcMar>
              <w:top w:w="105" w:type="dxa"/>
              <w:start w:w="120" w:type="dxa"/>
              <w:bottom w:w="105" w:type="dxa"/>
              <w:end w:w="120" w:type="dxa"/>
            </w:tcMar>
            <w:vAlign w:val="center"/>
            <w:shd w:fill="F8F3F1"/>
          </w:tcPr>
          <w:p>
            <w:pPr>
              <w:spacing w:after="0" w:line="252" w:lineRule="auto"/>
            </w:pPr>
            <w:r>
              <w:rPr>
                <w:rFonts w:ascii="Aptos" w:hAnsi="Aptos"/>
                <w:color w:val="120F0A"/>
                <w:sz w:val="17"/>
              </w:rPr>
              <w:t>Reconciliation</w:t>
            </w:r>
          </w:p>
        </w:tc>
        <w:tc>
          <w:tcPr>
            <w:tcW w:type="dxa" w:w="6803"/>
            <w:tcMar>
              <w:top w:w="105" w:type="dxa"/>
              <w:start w:w="120" w:type="dxa"/>
              <w:bottom w:w="105" w:type="dxa"/>
              <w:end w:w="120" w:type="dxa"/>
            </w:tcMar>
            <w:vAlign w:val="center"/>
            <w:shd w:fill="F8F3F1"/>
          </w:tcPr>
          <w:p>
            <w:pPr>
              <w:spacing w:after="0" w:line="252" w:lineRule="auto"/>
            </w:pPr>
            <w:r>
              <w:rPr>
                <w:rFonts w:ascii="Aptos" w:hAnsi="Aptos"/>
                <w:color w:val="120F0A"/>
                <w:sz w:val="17"/>
              </w:rPr>
              <w:t>Maintain transparent records, reconcile bi-weekly during execution, and complete final settlement within the agreement's timeline.</w:t>
            </w:r>
          </w:p>
        </w:tc>
      </w:tr>
    </w:tbl>
    <w:p>
      <w:pPr>
        <w:spacing w:after="20"/>
      </w:pPr>
    </w:p>
    <w:p>
      <w:pPr>
        <w:pStyle w:val="Heading2"/>
        <w:keepNext/>
      </w:pPr>
      <w:r>
        <w:t>The 60 to 40 interpretation</w:t>
      </w:r>
    </w:p>
    <w:p>
      <w:pPr>
        <w:spacing w:after="120" w:line="269" w:lineRule="auto"/>
      </w:pPr>
      <w:r>
        <w:rPr>
          <w:rFonts w:ascii="Aptos" w:hAnsi="Aptos"/>
          <w:i w:val="0"/>
          <w:color w:val="120F0A"/>
          <w:sz w:val="21"/>
        </w:rPr>
        <w:t>The current internal intention is that eligible commercial activations using Techfest-provided venue inventory, such as stalls, are split 60 percent to GOBITSNBYTES FOUNDATION and 40 percent to Techfest. For example, ₹100 of eligible activation revenue would allocate ₹60 to the Foundation and ₹40 to Techfest, subject to taxes and the agreed calculation basis.</w:t>
      </w:r>
    </w:p>
    <w:p>
      <w:pPr>
        <w:spacing w:after="120" w:line="269" w:lineRule="auto"/>
      </w:pPr>
      <w:r>
        <w:rPr>
          <w:rFonts w:ascii="Aptos" w:hAnsi="Aptos"/>
          <w:i w:val="0"/>
          <w:color w:val="120F0A"/>
          <w:sz w:val="21"/>
        </w:rPr>
        <w:t>Do not treat that narrow interpretation as settled yet. Clause 7.4 and Addendum A of the executed agreement describe the 60 to 40 category more broadly as zonal sponsorship and on-ground advertising revenue. Obtain written confirmation from Techfest before quoting, allocating, or contracting on the narrower basis.</w:t>
      </w:r>
    </w:p>
    <w:p>
      <w:pPr>
        <w:pStyle w:val="Heading2"/>
        <w:keepNext/>
      </w:pPr>
      <w:r>
        <w:t>Intellectual property and confidentiality</w:t>
      </w:r>
    </w:p>
    <w:p>
      <w:pPr>
        <w:pStyle w:val="ListBullet"/>
        <w:spacing w:after="60" w:line="259" w:lineRule="auto"/>
      </w:pPr>
      <w:r>
        <w:rPr>
          <w:rFonts w:ascii="Aptos" w:hAnsi="Aptos"/>
          <w:color w:val="120F0A"/>
          <w:sz w:val="20"/>
        </w:rPr>
        <w:t>Each party keeps its pre-existing brands, tools, templates, content, and other background intellectual property.</w:t>
      </w:r>
    </w:p>
    <w:p>
      <w:pPr>
        <w:pStyle w:val="ListBullet"/>
        <w:spacing w:after="60" w:line="259" w:lineRule="auto"/>
      </w:pPr>
      <w:r>
        <w:rPr>
          <w:rFonts w:ascii="Aptos" w:hAnsi="Aptos"/>
          <w:color w:val="120F0A"/>
          <w:sz w:val="20"/>
        </w:rPr>
        <w:t>Event-specific material created collaboratively is shared Event IP under Addendum B and cannot be commercially transferred without both parties' written consent.</w:t>
      </w:r>
    </w:p>
    <w:p>
      <w:pPr>
        <w:pStyle w:val="ListBullet"/>
        <w:spacing w:after="60" w:line="259" w:lineRule="auto"/>
      </w:pPr>
      <w:r>
        <w:rPr>
          <w:rFonts w:ascii="Aptos" w:hAnsi="Aptos"/>
          <w:color w:val="120F0A"/>
          <w:sz w:val="20"/>
        </w:rPr>
        <w:t>Both parties may use approved Event IP for promotion, portfolio, impact reporting, and education with proper attribution.</w:t>
      </w:r>
    </w:p>
    <w:p>
      <w:pPr>
        <w:pStyle w:val="ListBullet"/>
        <w:spacing w:after="60" w:line="259" w:lineRule="auto"/>
      </w:pPr>
      <w:r>
        <w:rPr>
          <w:rFonts w:ascii="Aptos" w:hAnsi="Aptos"/>
          <w:color w:val="120F0A"/>
          <w:sz w:val="20"/>
        </w:rPr>
        <w:t>Sponsor terms, participant data, financial records, internal processes, and non-public plans remain confidential. The agreement's confidentiality obligations survive for two years.</w:t>
      </w:r>
    </w:p>
    <w:p>
      <w:pPr>
        <w:pageBreakBefore/>
        <w:spacing w:after="100"/>
      </w:pPr>
      <w:r>
        <w:rPr>
          <w:rFonts w:ascii="Aptos" w:hAnsi="Aptos"/>
          <w:b/>
          <w:color w:val="97192C"/>
          <w:sz w:val="17"/>
        </w:rPr>
        <w:t>CONTROL ROOM</w:t>
      </w:r>
    </w:p>
    <w:p>
      <w:pPr>
        <w:pStyle w:val="Heading1"/>
        <w:keepNext/>
      </w:pPr>
      <w:r>
        <w:t>Weekly campaign dashboard</w:t>
      </w:r>
    </w:p>
    <w:p>
      <w:pPr>
        <w:spacing w:after="120" w:line="269" w:lineRule="auto"/>
      </w:pPr>
      <w:r>
        <w:rPr>
          <w:rFonts w:ascii="Aptos" w:hAnsi="Aptos"/>
          <w:i w:val="0"/>
          <w:color w:val="120F0A"/>
          <w:sz w:val="21"/>
        </w:rPr>
        <w:t>This page is the weekly truth. Update it before the campaign review, use one reporting cut-off, and link to evidence instead of debating numbers from memory.</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494"/>
            <w:shd w:fill="97192C"/>
            <w:tcMar>
              <w:top w:w="115" w:type="dxa"/>
              <w:start w:w="120" w:type="dxa"/>
              <w:bottom w:w="115" w:type="dxa"/>
              <w:end w:w="120" w:type="dxa"/>
            </w:tcMar>
            <w:vAlign w:val="center"/>
          </w:tcPr>
          <w:p>
            <w:pPr>
              <w:spacing w:after="0"/>
              <w:jc w:val="center"/>
            </w:pPr>
            <w:r>
              <w:rPr>
                <w:rFonts w:ascii="Aptos" w:hAnsi="Aptos"/>
                <w:b/>
                <w:color w:val="FFFFFF"/>
                <w:sz w:val="18"/>
              </w:rPr>
              <w:t>Measure</w:t>
            </w:r>
          </w:p>
        </w:tc>
        <w:tc>
          <w:tcPr>
            <w:tcW w:type="dxa" w:w="3402"/>
            <w:shd w:fill="97192C"/>
            <w:tcMar>
              <w:top w:w="115" w:type="dxa"/>
              <w:start w:w="120" w:type="dxa"/>
              <w:bottom w:w="115" w:type="dxa"/>
              <w:end w:w="120" w:type="dxa"/>
            </w:tcMar>
            <w:vAlign w:val="center"/>
          </w:tcPr>
          <w:p>
            <w:pPr>
              <w:spacing w:after="0"/>
              <w:jc w:val="center"/>
            </w:pPr>
            <w:r>
              <w:rPr>
                <w:rFonts w:ascii="Aptos" w:hAnsi="Aptos"/>
                <w:b/>
                <w:color w:val="FFFFFF"/>
                <w:sz w:val="18"/>
              </w:rPr>
              <w:t>Target or definition</w:t>
            </w:r>
          </w:p>
        </w:tc>
        <w:tc>
          <w:tcPr>
            <w:tcW w:type="dxa" w:w="1757"/>
            <w:shd w:fill="97192C"/>
            <w:tcMar>
              <w:top w:w="115" w:type="dxa"/>
              <w:start w:w="120" w:type="dxa"/>
              <w:bottom w:w="115" w:type="dxa"/>
              <w:end w:w="120" w:type="dxa"/>
            </w:tcMar>
            <w:vAlign w:val="center"/>
          </w:tcPr>
          <w:p>
            <w:pPr>
              <w:spacing w:after="0"/>
              <w:jc w:val="center"/>
            </w:pPr>
            <w:r>
              <w:rPr>
                <w:rFonts w:ascii="Aptos" w:hAnsi="Aptos"/>
                <w:b/>
                <w:color w:val="FFFFFF"/>
                <w:sz w:val="18"/>
              </w:rPr>
              <w:t>Current</w:t>
            </w:r>
          </w:p>
        </w:tc>
        <w:tc>
          <w:tcPr>
            <w:tcW w:type="dxa" w:w="1587"/>
            <w:shd w:fill="97192C"/>
            <w:tcMar>
              <w:top w:w="115" w:type="dxa"/>
              <w:start w:w="120" w:type="dxa"/>
              <w:bottom w:w="115" w:type="dxa"/>
              <w:end w:w="120" w:type="dxa"/>
            </w:tcMar>
            <w:vAlign w:val="center"/>
          </w:tcPr>
          <w:p>
            <w:pPr>
              <w:spacing w:after="0"/>
              <w:jc w:val="center"/>
            </w:pPr>
            <w:r>
              <w:rPr>
                <w:rFonts w:ascii="Aptos" w:hAnsi="Aptos"/>
                <w:b/>
                <w:color w:val="FFFFFF"/>
                <w:sz w:val="18"/>
              </w:rPr>
              <w:t>Status</w:t>
            </w:r>
          </w:p>
        </w:tc>
      </w:tr>
      <w:tr>
        <w:tc>
          <w:tcPr>
            <w:tcW w:type="dxa" w:w="2494"/>
            <w:tcMar>
              <w:top w:w="105" w:type="dxa"/>
              <w:start w:w="120" w:type="dxa"/>
              <w:bottom w:w="105" w:type="dxa"/>
              <w:end w:w="120" w:type="dxa"/>
            </w:tcMar>
            <w:vAlign w:val="center"/>
          </w:tcPr>
          <w:p>
            <w:pPr>
              <w:spacing w:after="0" w:line="252" w:lineRule="auto"/>
            </w:pPr>
            <w:r>
              <w:rPr>
                <w:rFonts w:ascii="Aptos" w:hAnsi="Aptos"/>
                <w:color w:val="120F0A"/>
                <w:sz w:val="16"/>
              </w:rPr>
              <w:t>City slots selected</w:t>
            </w:r>
          </w:p>
        </w:tc>
        <w:tc>
          <w:tcPr>
            <w:tcW w:type="dxa" w:w="3402"/>
            <w:tcMar>
              <w:top w:w="105" w:type="dxa"/>
              <w:start w:w="120" w:type="dxa"/>
              <w:bottom w:w="105" w:type="dxa"/>
              <w:end w:w="120" w:type="dxa"/>
            </w:tcMar>
            <w:vAlign w:val="center"/>
          </w:tcPr>
          <w:p>
            <w:pPr>
              <w:spacing w:after="0" w:line="252" w:lineRule="auto"/>
              <w:jc w:val="center"/>
            </w:pPr>
            <w:r>
              <w:rPr>
                <w:rFonts w:ascii="Aptos" w:hAnsi="Aptos"/>
                <w:color w:val="120F0A"/>
                <w:sz w:val="16"/>
              </w:rPr>
              <w:t>12</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tcPr>
          <w:p>
            <w:pPr>
              <w:spacing w:after="0" w:line="252" w:lineRule="auto"/>
              <w:jc w:val="center"/>
            </w:pPr>
            <w:r>
              <w:rPr>
                <w:rFonts w:ascii="Aptos" w:hAnsi="Aptos"/>
                <w:color w:val="120F0A"/>
                <w:sz w:val="16"/>
              </w:rPr>
              <w:t>Open</w:t>
            </w:r>
          </w:p>
        </w:tc>
      </w:tr>
      <w:tr>
        <w:tc>
          <w:tcPr>
            <w:tcW w:type="dxa" w:w="2494"/>
            <w:tcMar>
              <w:top w:w="105" w:type="dxa"/>
              <w:start w:w="120" w:type="dxa"/>
              <w:bottom w:w="105" w:type="dxa"/>
              <w:end w:w="120" w:type="dxa"/>
            </w:tcMar>
            <w:vAlign w:val="center"/>
            <w:shd w:fill="F8F3F1"/>
          </w:tcPr>
          <w:p>
            <w:pPr>
              <w:spacing w:after="0" w:line="252" w:lineRule="auto"/>
            </w:pPr>
            <w:r>
              <w:rPr>
                <w:rFonts w:ascii="Aptos" w:hAnsi="Aptos"/>
                <w:color w:val="120F0A"/>
                <w:sz w:val="16"/>
              </w:rPr>
              <w:t>Cities safety-ready</w:t>
            </w:r>
          </w:p>
        </w:tc>
        <w:tc>
          <w:tcPr>
            <w:tcW w:type="dxa" w:w="3402"/>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All announced cities</w:t>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Open</w:t>
            </w:r>
          </w:p>
        </w:tc>
      </w:tr>
      <w:tr>
        <w:tc>
          <w:tcPr>
            <w:tcW w:type="dxa" w:w="2494"/>
            <w:tcMar>
              <w:top w:w="105" w:type="dxa"/>
              <w:start w:w="120" w:type="dxa"/>
              <w:bottom w:w="105" w:type="dxa"/>
              <w:end w:w="120" w:type="dxa"/>
            </w:tcMar>
            <w:vAlign w:val="center"/>
          </w:tcPr>
          <w:p>
            <w:pPr>
              <w:spacing w:after="0" w:line="252" w:lineRule="auto"/>
            </w:pPr>
            <w:r>
              <w:rPr>
                <w:rFonts w:ascii="Aptos" w:hAnsi="Aptos"/>
                <w:color w:val="120F0A"/>
                <w:sz w:val="16"/>
              </w:rPr>
              <w:t>Verified participants</w:t>
            </w:r>
          </w:p>
        </w:tc>
        <w:tc>
          <w:tcPr>
            <w:tcW w:type="dxa" w:w="3402"/>
            <w:tcMar>
              <w:top w:w="105" w:type="dxa"/>
              <w:start w:w="120" w:type="dxa"/>
              <w:bottom w:w="105" w:type="dxa"/>
              <w:end w:w="120" w:type="dxa"/>
            </w:tcMar>
            <w:vAlign w:val="center"/>
          </w:tcPr>
          <w:p>
            <w:pPr>
              <w:spacing w:after="0" w:line="252" w:lineRule="auto"/>
              <w:jc w:val="center"/>
            </w:pPr>
            <w:r>
              <w:rPr>
                <w:rFonts w:ascii="Aptos" w:hAnsi="Aptos"/>
                <w:color w:val="120F0A"/>
                <w:sz w:val="16"/>
              </w:rPr>
              <w:t>Campaign total</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tcPr>
          <w:p>
            <w:pPr>
              <w:spacing w:after="0" w:line="252" w:lineRule="auto"/>
              <w:jc w:val="center"/>
            </w:pPr>
            <w:r>
              <w:rPr>
                <w:rFonts w:ascii="Aptos" w:hAnsi="Aptos"/>
                <w:color w:val="120F0A"/>
                <w:sz w:val="16"/>
              </w:rPr>
              <w:t>Not started</w:t>
            </w:r>
          </w:p>
        </w:tc>
      </w:tr>
      <w:tr>
        <w:tc>
          <w:tcPr>
            <w:tcW w:type="dxa" w:w="2494"/>
            <w:tcMar>
              <w:top w:w="105" w:type="dxa"/>
              <w:start w:w="120" w:type="dxa"/>
              <w:bottom w:w="105" w:type="dxa"/>
              <w:end w:w="120" w:type="dxa"/>
            </w:tcMar>
            <w:vAlign w:val="center"/>
            <w:shd w:fill="F8F3F1"/>
          </w:tcPr>
          <w:p>
            <w:pPr>
              <w:spacing w:after="0" w:line="252" w:lineRule="auto"/>
            </w:pPr>
            <w:r>
              <w:rPr>
                <w:rFonts w:ascii="Aptos" w:hAnsi="Aptos"/>
                <w:color w:val="120F0A"/>
                <w:sz w:val="16"/>
              </w:rPr>
              <w:t>High school share</w:t>
            </w:r>
          </w:p>
        </w:tc>
        <w:tc>
          <w:tcPr>
            <w:tcW w:type="dxa" w:w="3402"/>
            <w:tcMar>
              <w:top w:w="105" w:type="dxa"/>
              <w:start w:w="120" w:type="dxa"/>
              <w:bottom w:w="105" w:type="dxa"/>
              <w:end w:w="120" w:type="dxa"/>
            </w:tcMar>
            <w:vAlign w:val="center"/>
            <w:shd w:fill="F8F3F1"/>
          </w:tcPr>
          <w:p>
            <w:pPr>
              <w:spacing w:after="0" w:line="252" w:lineRule="auto"/>
            </w:pPr>
            <w:r>
              <w:rPr>
                <w:rFonts w:ascii="Aptos" w:hAnsi="Aptos"/>
                <w:color w:val="120F0A"/>
                <w:sz w:val="16"/>
              </w:rPr>
              <w:t>At least 80% campaign-wide</w:t>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Not measurable</w:t>
            </w:r>
          </w:p>
        </w:tc>
        <w:tc>
          <w:tcPr>
            <w:tcW w:type="dxa" w:w="158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Not started</w:t>
            </w:r>
          </w:p>
        </w:tc>
      </w:tr>
      <w:tr>
        <w:tc>
          <w:tcPr>
            <w:tcW w:type="dxa" w:w="2494"/>
            <w:tcMar>
              <w:top w:w="105" w:type="dxa"/>
              <w:start w:w="120" w:type="dxa"/>
              <w:bottom w:w="105" w:type="dxa"/>
              <w:end w:w="120" w:type="dxa"/>
            </w:tcMar>
            <w:vAlign w:val="center"/>
          </w:tcPr>
          <w:p>
            <w:pPr>
              <w:spacing w:after="0" w:line="252" w:lineRule="auto"/>
            </w:pPr>
            <w:r>
              <w:rPr>
                <w:rFonts w:ascii="Aptos" w:hAnsi="Aptos"/>
                <w:color w:val="120F0A"/>
                <w:sz w:val="16"/>
              </w:rPr>
              <w:t>Active outreach contributors</w:t>
            </w:r>
          </w:p>
        </w:tc>
        <w:tc>
          <w:tcPr>
            <w:tcW w:type="dxa" w:w="3402"/>
            <w:tcMar>
              <w:top w:w="105" w:type="dxa"/>
              <w:start w:w="120" w:type="dxa"/>
              <w:bottom w:w="105" w:type="dxa"/>
              <w:end w:w="120" w:type="dxa"/>
            </w:tcMar>
            <w:vAlign w:val="center"/>
          </w:tcPr>
          <w:p>
            <w:pPr>
              <w:spacing w:after="0" w:line="252" w:lineRule="auto"/>
              <w:jc w:val="center"/>
            </w:pPr>
            <w:r>
              <w:rPr>
                <w:rFonts w:ascii="Aptos" w:hAnsi="Aptos"/>
                <w:color w:val="120F0A"/>
                <w:sz w:val="16"/>
              </w:rPr>
              <w:t>50 to 100</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tcPr>
          <w:p>
            <w:pPr>
              <w:spacing w:after="0" w:line="252" w:lineRule="auto"/>
              <w:jc w:val="center"/>
            </w:pPr>
            <w:r>
              <w:rPr>
                <w:rFonts w:ascii="Aptos" w:hAnsi="Aptos"/>
                <w:color w:val="120F0A"/>
                <w:sz w:val="16"/>
              </w:rPr>
              <w:t>Building</w:t>
            </w:r>
          </w:p>
        </w:tc>
      </w:tr>
      <w:tr>
        <w:tc>
          <w:tcPr>
            <w:tcW w:type="dxa" w:w="2494"/>
            <w:tcMar>
              <w:top w:w="105" w:type="dxa"/>
              <w:start w:w="120" w:type="dxa"/>
              <w:bottom w:w="105" w:type="dxa"/>
              <w:end w:w="120" w:type="dxa"/>
            </w:tcMar>
            <w:vAlign w:val="center"/>
            <w:shd w:fill="F8F3F1"/>
          </w:tcPr>
          <w:p>
            <w:pPr>
              <w:spacing w:after="0" w:line="252" w:lineRule="auto"/>
            </w:pPr>
            <w:r>
              <w:rPr>
                <w:rFonts w:ascii="Aptos" w:hAnsi="Aptos"/>
                <w:color w:val="120F0A"/>
                <w:sz w:val="16"/>
              </w:rPr>
              <w:t>Qualified sponsor pipeline</w:t>
            </w:r>
          </w:p>
        </w:tc>
        <w:tc>
          <w:tcPr>
            <w:tcW w:type="dxa" w:w="3402"/>
            <w:tcMar>
              <w:top w:w="105" w:type="dxa"/>
              <w:start w:w="120" w:type="dxa"/>
              <w:bottom w:w="105" w:type="dxa"/>
              <w:end w:w="120" w:type="dxa"/>
            </w:tcMar>
            <w:vAlign w:val="center"/>
            <w:shd w:fill="F8F3F1"/>
          </w:tcPr>
          <w:p>
            <w:pPr>
              <w:spacing w:after="0" w:line="252" w:lineRule="auto"/>
            </w:pPr>
            <w:r>
              <w:rPr>
                <w:rFonts w:ascii="Aptos" w:hAnsi="Aptos"/>
                <w:color w:val="120F0A"/>
                <w:sz w:val="16"/>
              </w:rPr>
              <w:t>Weekly approved pipeline value</w:t>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 0</w:t>
            </w:r>
          </w:p>
        </w:tc>
        <w:tc>
          <w:tcPr>
            <w:tcW w:type="dxa" w:w="158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Building</w:t>
            </w:r>
          </w:p>
        </w:tc>
      </w:tr>
      <w:tr>
        <w:tc>
          <w:tcPr>
            <w:tcW w:type="dxa" w:w="2494"/>
            <w:tcMar>
              <w:top w:w="105" w:type="dxa"/>
              <w:start w:w="120" w:type="dxa"/>
              <w:bottom w:w="105" w:type="dxa"/>
              <w:end w:w="120" w:type="dxa"/>
            </w:tcMar>
            <w:vAlign w:val="center"/>
          </w:tcPr>
          <w:p>
            <w:pPr>
              <w:spacing w:after="0" w:line="252" w:lineRule="auto"/>
            </w:pPr>
            <w:r>
              <w:rPr>
                <w:rFonts w:ascii="Aptos" w:hAnsi="Aptos"/>
                <w:color w:val="120F0A"/>
                <w:sz w:val="16"/>
              </w:rPr>
              <w:t>Contracted sponsorship</w:t>
            </w:r>
          </w:p>
        </w:tc>
        <w:tc>
          <w:tcPr>
            <w:tcW w:type="dxa" w:w="3402"/>
            <w:tcMar>
              <w:top w:w="105" w:type="dxa"/>
              <w:start w:w="120" w:type="dxa"/>
              <w:bottom w:w="105" w:type="dxa"/>
              <w:end w:w="120" w:type="dxa"/>
            </w:tcMar>
            <w:vAlign w:val="center"/>
          </w:tcPr>
          <w:p>
            <w:pPr>
              <w:spacing w:after="0" w:line="252" w:lineRule="auto"/>
            </w:pPr>
            <w:r>
              <w:rPr>
                <w:rFonts w:ascii="Aptos" w:hAnsi="Aptos"/>
                <w:color w:val="120F0A"/>
                <w:sz w:val="16"/>
              </w:rPr>
              <w:t>Executed eligible sponsorship value</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6"/>
              </w:rPr>
              <w:t>₹ 0</w:t>
            </w:r>
          </w:p>
        </w:tc>
        <w:tc>
          <w:tcPr>
            <w:tcW w:type="dxa" w:w="1587"/>
            <w:tcMar>
              <w:top w:w="105" w:type="dxa"/>
              <w:start w:w="120" w:type="dxa"/>
              <w:bottom w:w="105" w:type="dxa"/>
              <w:end w:w="120" w:type="dxa"/>
            </w:tcMar>
            <w:vAlign w:val="center"/>
          </w:tcPr>
          <w:p>
            <w:pPr>
              <w:spacing w:after="0" w:line="252" w:lineRule="auto"/>
              <w:jc w:val="center"/>
            </w:pPr>
            <w:r>
              <w:rPr>
                <w:rFonts w:ascii="Aptos" w:hAnsi="Aptos"/>
                <w:color w:val="120F0A"/>
                <w:sz w:val="16"/>
              </w:rPr>
              <w:t>Not started</w:t>
            </w:r>
          </w:p>
        </w:tc>
      </w:tr>
      <w:tr>
        <w:tc>
          <w:tcPr>
            <w:tcW w:type="dxa" w:w="2494"/>
            <w:tcMar>
              <w:top w:w="105" w:type="dxa"/>
              <w:start w:w="120" w:type="dxa"/>
              <w:bottom w:w="105" w:type="dxa"/>
              <w:end w:w="120" w:type="dxa"/>
            </w:tcMar>
            <w:vAlign w:val="center"/>
            <w:shd w:fill="F8F3F1"/>
          </w:tcPr>
          <w:p>
            <w:pPr>
              <w:spacing w:after="0" w:line="252" w:lineRule="auto"/>
            </w:pPr>
            <w:r>
              <w:rPr>
                <w:rFonts w:ascii="Aptos" w:hAnsi="Aptos"/>
                <w:color w:val="120F0A"/>
                <w:sz w:val="16"/>
              </w:rPr>
              <w:t>Eligible cash received</w:t>
            </w:r>
          </w:p>
        </w:tc>
        <w:tc>
          <w:tcPr>
            <w:tcW w:type="dxa" w:w="3402"/>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₹2 crore gross target</w:t>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 0</w:t>
            </w:r>
          </w:p>
        </w:tc>
        <w:tc>
          <w:tcPr>
            <w:tcW w:type="dxa" w:w="158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Not started</w:t>
            </w:r>
          </w:p>
        </w:tc>
      </w:tr>
      <w:tr>
        <w:tc>
          <w:tcPr>
            <w:tcW w:type="dxa" w:w="2494"/>
            <w:tcMar>
              <w:top w:w="105" w:type="dxa"/>
              <w:start w:w="120" w:type="dxa"/>
              <w:bottom w:w="105" w:type="dxa"/>
              <w:end w:w="120" w:type="dxa"/>
            </w:tcMar>
            <w:vAlign w:val="center"/>
          </w:tcPr>
          <w:p>
            <w:pPr>
              <w:spacing w:after="0" w:line="252" w:lineRule="auto"/>
            </w:pPr>
            <w:r>
              <w:rPr>
                <w:rFonts w:ascii="Aptos" w:hAnsi="Aptos"/>
                <w:color w:val="120F0A"/>
                <w:sz w:val="16"/>
              </w:rPr>
              <w:t>Sponsor deliverables overdue</w:t>
            </w:r>
          </w:p>
        </w:tc>
        <w:tc>
          <w:tcPr>
            <w:tcW w:type="dxa" w:w="3402"/>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tcPr>
          <w:p>
            <w:pPr>
              <w:spacing w:after="0" w:line="252" w:lineRule="auto"/>
              <w:jc w:val="center"/>
            </w:pPr>
            <w:r>
              <w:rPr>
                <w:rFonts w:ascii="Aptos" w:hAnsi="Aptos"/>
                <w:color w:val="120F0A"/>
                <w:sz w:val="16"/>
              </w:rPr>
              <w:t>On track</w:t>
            </w:r>
          </w:p>
        </w:tc>
      </w:tr>
      <w:tr>
        <w:tc>
          <w:tcPr>
            <w:tcW w:type="dxa" w:w="2494"/>
            <w:tcMar>
              <w:top w:w="105" w:type="dxa"/>
              <w:start w:w="120" w:type="dxa"/>
              <w:bottom w:w="105" w:type="dxa"/>
              <w:end w:w="120" w:type="dxa"/>
            </w:tcMar>
            <w:vAlign w:val="center"/>
            <w:shd w:fill="F8F3F1"/>
          </w:tcPr>
          <w:p>
            <w:pPr>
              <w:spacing w:after="0" w:line="252" w:lineRule="auto"/>
            </w:pPr>
            <w:r>
              <w:rPr>
                <w:rFonts w:ascii="Aptos" w:hAnsi="Aptos"/>
                <w:color w:val="120F0A"/>
                <w:sz w:val="16"/>
              </w:rPr>
              <w:t>Open safeguarding issues</w:t>
            </w:r>
          </w:p>
        </w:tc>
        <w:tc>
          <w:tcPr>
            <w:tcW w:type="dxa" w:w="3402"/>
            <w:tcMar>
              <w:top w:w="105" w:type="dxa"/>
              <w:start w:w="120" w:type="dxa"/>
              <w:bottom w:w="105" w:type="dxa"/>
              <w:end w:w="120" w:type="dxa"/>
            </w:tcMar>
            <w:vAlign w:val="center"/>
            <w:shd w:fill="F8F3F1"/>
          </w:tcPr>
          <w:p>
            <w:pPr>
              <w:spacing w:after="0" w:line="252" w:lineRule="auto"/>
            </w:pPr>
            <w:r>
              <w:rPr>
                <w:rFonts w:ascii="Aptos" w:hAnsi="Aptos"/>
                <w:color w:val="120F0A"/>
                <w:sz w:val="16"/>
              </w:rPr>
              <w:t>0 unresolved material issues</w:t>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shd w:fill="F8F3F1"/>
          </w:tcPr>
          <w:p>
            <w:pPr>
              <w:spacing w:after="0" w:line="252" w:lineRule="auto"/>
              <w:jc w:val="center"/>
            </w:pPr>
            <w:r>
              <w:rPr>
                <w:rFonts w:ascii="Aptos" w:hAnsi="Aptos"/>
                <w:color w:val="120F0A"/>
                <w:sz w:val="16"/>
              </w:rPr>
              <w:t>On track</w:t>
            </w:r>
          </w:p>
        </w:tc>
      </w:tr>
      <w:tr>
        <w:tc>
          <w:tcPr>
            <w:tcW w:type="dxa" w:w="2494"/>
            <w:tcMar>
              <w:top w:w="105" w:type="dxa"/>
              <w:start w:w="120" w:type="dxa"/>
              <w:bottom w:w="105" w:type="dxa"/>
              <w:end w:w="120" w:type="dxa"/>
            </w:tcMar>
            <w:vAlign w:val="center"/>
          </w:tcPr>
          <w:p>
            <w:pPr>
              <w:spacing w:after="0" w:line="252" w:lineRule="auto"/>
            </w:pPr>
            <w:r>
              <w:rPr>
                <w:rFonts w:ascii="Aptos" w:hAnsi="Aptos"/>
                <w:color w:val="120F0A"/>
                <w:sz w:val="16"/>
              </w:rPr>
              <w:t>Decisions overdue</w:t>
            </w:r>
          </w:p>
        </w:tc>
        <w:tc>
          <w:tcPr>
            <w:tcW w:type="dxa" w:w="3402"/>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6"/>
              </w:rPr>
              <w:t>0</w:t>
            </w:r>
          </w:p>
        </w:tc>
        <w:tc>
          <w:tcPr>
            <w:tcW w:type="dxa" w:w="1587"/>
            <w:tcMar>
              <w:top w:w="105" w:type="dxa"/>
              <w:start w:w="120" w:type="dxa"/>
              <w:bottom w:w="105" w:type="dxa"/>
              <w:end w:w="120" w:type="dxa"/>
            </w:tcMar>
            <w:vAlign w:val="center"/>
          </w:tcPr>
          <w:p>
            <w:pPr>
              <w:spacing w:after="0" w:line="252" w:lineRule="auto"/>
              <w:jc w:val="center"/>
            </w:pPr>
            <w:r>
              <w:rPr>
                <w:rFonts w:ascii="Aptos" w:hAnsi="Aptos"/>
                <w:color w:val="120F0A"/>
                <w:sz w:val="16"/>
              </w:rPr>
              <w:t>On track</w:t>
            </w:r>
          </w:p>
        </w:tc>
      </w:tr>
    </w:tbl>
    <w:p>
      <w:pPr>
        <w:spacing w:after="20"/>
      </w:pPr>
    </w:p>
    <w:p>
      <w:pPr>
        <w:pStyle w:val="Heading2"/>
        <w:keepNext/>
      </w:pPr>
      <w:r>
        <w:t>Weekly review order</w:t>
      </w:r>
    </w:p>
    <w:p>
      <w:pPr>
        <w:spacing w:after="80"/>
        <w:ind w:left="351" w:hanging="295"/>
      </w:pPr>
      <w:r>
        <w:rPr>
          <w:rFonts w:ascii="Aptos" w:hAnsi="Aptos"/>
          <w:color w:val="120F0A"/>
          <w:sz w:val="20"/>
        </w:rPr>
        <w:t>1.  Safety and incidents first.</w:t>
      </w:r>
    </w:p>
    <w:p>
      <w:pPr>
        <w:spacing w:after="80"/>
        <w:ind w:left="351" w:hanging="295"/>
      </w:pPr>
      <w:r>
        <w:rPr>
          <w:rFonts w:ascii="Aptos" w:hAnsi="Aptos"/>
          <w:color w:val="120F0A"/>
          <w:sz w:val="20"/>
        </w:rPr>
        <w:t>2.  Money received, invoices, refunds, and reconciliation.</w:t>
      </w:r>
    </w:p>
    <w:p>
      <w:pPr>
        <w:spacing w:after="80"/>
        <w:ind w:left="351" w:hanging="295"/>
      </w:pPr>
      <w:r>
        <w:rPr>
          <w:rFonts w:ascii="Aptos" w:hAnsi="Aptos"/>
          <w:color w:val="120F0A"/>
          <w:sz w:val="20"/>
        </w:rPr>
        <w:t>3.  Sponsor pipeline by next action, not by optimistic headline value.</w:t>
      </w:r>
    </w:p>
    <w:p>
      <w:pPr>
        <w:spacing w:after="80"/>
        <w:ind w:left="351" w:hanging="295"/>
      </w:pPr>
      <w:r>
        <w:rPr>
          <w:rFonts w:ascii="Aptos" w:hAnsi="Aptos"/>
          <w:color w:val="120F0A"/>
          <w:sz w:val="20"/>
        </w:rPr>
        <w:t>4.  City readiness and decisions blocking announcements or delivery.</w:t>
      </w:r>
    </w:p>
    <w:p>
      <w:pPr>
        <w:spacing w:after="80"/>
        <w:ind w:left="351" w:hanging="295"/>
      </w:pPr>
      <w:r>
        <w:rPr>
          <w:rFonts w:ascii="Aptos" w:hAnsi="Aptos"/>
          <w:color w:val="120F0A"/>
          <w:sz w:val="20"/>
        </w:rPr>
        <w:t>5.  Participant mix and the campaign-wide high school percentage.</w:t>
      </w:r>
    </w:p>
    <w:p>
      <w:pPr>
        <w:spacing w:after="80"/>
        <w:ind w:left="351" w:hanging="295"/>
      </w:pPr>
      <w:r>
        <w:rPr>
          <w:rFonts w:ascii="Aptos" w:hAnsi="Aptos"/>
          <w:color w:val="120F0A"/>
          <w:sz w:val="20"/>
        </w:rPr>
        <w:t>6.  Sponsor deliverables, content shipped, and approvals due.</w:t>
      </w:r>
    </w:p>
    <w:p>
      <w:pPr>
        <w:pStyle w:val="Heading2"/>
        <w:keepNext/>
      </w:pPr>
      <w:r>
        <w:t>The question at the end of every review</w:t>
      </w:r>
    </w:p>
    <w:p>
      <w:pPr>
        <w:spacing w:after="120" w:line="269" w:lineRule="auto"/>
      </w:pPr>
      <w:r>
        <w:rPr>
          <w:rFonts w:ascii="Aptos" w:hAnsi="Aptos"/>
          <w:i w:val="0"/>
          <w:color w:val="120F0A"/>
          <w:sz w:val="21"/>
        </w:rPr>
        <w:t>What is the smallest set of decisions and actions that materially improves safety, cash received, or city readiness before the next review?</w:t>
      </w:r>
    </w:p>
    <w:p>
      <w:pPr>
        <w:pageBreakBefore/>
        <w:spacing w:after="100"/>
      </w:pPr>
      <w:r>
        <w:rPr>
          <w:rFonts w:ascii="Aptos" w:hAnsi="Aptos"/>
          <w:b/>
          <w:color w:val="97192C"/>
          <w:sz w:val="17"/>
        </w:rPr>
        <w:t>RISK</w:t>
      </w:r>
    </w:p>
    <w:p>
      <w:pPr>
        <w:pStyle w:val="Heading1"/>
        <w:keepNext/>
      </w:pPr>
      <w:r>
        <w:t>Known failure modes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984"/>
            <w:shd w:fill="97192C"/>
            <w:tcMar>
              <w:top w:w="115" w:type="dxa"/>
              <w:start w:w="120" w:type="dxa"/>
              <w:bottom w:w="115" w:type="dxa"/>
              <w:end w:w="120" w:type="dxa"/>
            </w:tcMar>
            <w:vAlign w:val="center"/>
          </w:tcPr>
          <w:p>
            <w:pPr>
              <w:spacing w:after="0"/>
              <w:jc w:val="center"/>
            </w:pPr>
            <w:r>
              <w:rPr>
                <w:rFonts w:ascii="Aptos" w:hAnsi="Aptos"/>
                <w:b/>
                <w:color w:val="FFFFFF"/>
                <w:sz w:val="18"/>
              </w:rPr>
              <w:t>Risk</w:t>
            </w:r>
          </w:p>
        </w:tc>
        <w:tc>
          <w:tcPr>
            <w:tcW w:type="dxa" w:w="3231"/>
            <w:shd w:fill="97192C"/>
            <w:tcMar>
              <w:top w:w="115" w:type="dxa"/>
              <w:start w:w="120" w:type="dxa"/>
              <w:bottom w:w="115" w:type="dxa"/>
              <w:end w:w="120" w:type="dxa"/>
            </w:tcMar>
            <w:vAlign w:val="center"/>
          </w:tcPr>
          <w:p>
            <w:pPr>
              <w:spacing w:after="0"/>
              <w:jc w:val="center"/>
            </w:pPr>
            <w:r>
              <w:rPr>
                <w:rFonts w:ascii="Aptos" w:hAnsi="Aptos"/>
                <w:b/>
                <w:color w:val="FFFFFF"/>
                <w:sz w:val="18"/>
              </w:rPr>
              <w:t>Early signal</w:t>
            </w:r>
          </w:p>
        </w:tc>
        <w:tc>
          <w:tcPr>
            <w:tcW w:type="dxa" w:w="4025"/>
            <w:shd w:fill="97192C"/>
            <w:tcMar>
              <w:top w:w="115" w:type="dxa"/>
              <w:start w:w="120" w:type="dxa"/>
              <w:bottom w:w="115" w:type="dxa"/>
              <w:end w:w="120" w:type="dxa"/>
            </w:tcMar>
            <w:vAlign w:val="center"/>
          </w:tcPr>
          <w:p>
            <w:pPr>
              <w:spacing w:after="0"/>
              <w:jc w:val="center"/>
            </w:pPr>
            <w:r>
              <w:rPr>
                <w:rFonts w:ascii="Aptos" w:hAnsi="Aptos"/>
                <w:b/>
                <w:color w:val="FFFFFF"/>
                <w:sz w:val="18"/>
              </w:rPr>
              <w:t>Response</w:t>
            </w:r>
          </w:p>
        </w:tc>
      </w:tr>
      <w:tr>
        <w:tc>
          <w:tcPr>
            <w:tcW w:type="dxa" w:w="1984"/>
            <w:tcMar>
              <w:top w:w="105" w:type="dxa"/>
              <w:start w:w="120" w:type="dxa"/>
              <w:bottom w:w="105" w:type="dxa"/>
              <w:end w:w="120" w:type="dxa"/>
            </w:tcMar>
            <w:vAlign w:val="center"/>
          </w:tcPr>
          <w:p>
            <w:pPr>
              <w:spacing w:after="0" w:line="252" w:lineRule="auto"/>
            </w:pPr>
            <w:r>
              <w:rPr>
                <w:rFonts w:ascii="Aptos" w:hAnsi="Aptos"/>
                <w:color w:val="120F0A"/>
                <w:sz w:val="16"/>
              </w:rPr>
              <w:t>Sponsorship shortfall</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6"/>
              </w:rPr>
              <w:t>Pipeline value, conversations, proposals, or cash received lag the required pace</w:t>
            </w:r>
          </w:p>
        </w:tc>
        <w:tc>
          <w:tcPr>
            <w:tcW w:type="dxa" w:w="4025"/>
            <w:tcMar>
              <w:top w:w="105" w:type="dxa"/>
              <w:start w:w="120" w:type="dxa"/>
              <w:bottom w:w="105" w:type="dxa"/>
              <w:end w:w="120" w:type="dxa"/>
            </w:tcMar>
            <w:vAlign w:val="center"/>
          </w:tcPr>
          <w:p>
            <w:pPr>
              <w:spacing w:after="0" w:line="252" w:lineRule="auto"/>
            </w:pPr>
            <w:r>
              <w:rPr>
                <w:rFonts w:ascii="Aptos" w:hAnsi="Aptos"/>
                <w:color w:val="120F0A"/>
                <w:sz w:val="16"/>
              </w:rPr>
              <w:t>Narrow sponsor segments, improve proof, increase qualified ownership, protect core programme scope, and stop budgeting against unsigned money</w:t>
            </w:r>
          </w:p>
        </w:tc>
      </w:tr>
      <w:tr>
        <w:tc>
          <w:tcPr>
            <w:tcW w:type="dxa" w:w="1984"/>
            <w:tcMar>
              <w:top w:w="105" w:type="dxa"/>
              <w:start w:w="120" w:type="dxa"/>
              <w:bottom w:w="105" w:type="dxa"/>
              <w:end w:w="120" w:type="dxa"/>
            </w:tcMar>
            <w:vAlign w:val="center"/>
            <w:shd w:fill="F8F3F1"/>
          </w:tcPr>
          <w:p>
            <w:pPr>
              <w:spacing w:after="0" w:line="252" w:lineRule="auto"/>
            </w:pPr>
            <w:r>
              <w:rPr>
                <w:rFonts w:ascii="Aptos" w:hAnsi="Aptos"/>
                <w:color w:val="120F0A"/>
                <w:sz w:val="16"/>
              </w:rPr>
              <w:t>Duplicate outreach</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6"/>
              </w:rPr>
              <w:t>A sponsor receives multiple uncoordinated messages</w:t>
            </w:r>
          </w:p>
        </w:tc>
        <w:tc>
          <w:tcPr>
            <w:tcW w:type="dxa" w:w="4025"/>
            <w:tcMar>
              <w:top w:w="105" w:type="dxa"/>
              <w:start w:w="120" w:type="dxa"/>
              <w:bottom w:w="105" w:type="dxa"/>
              <w:end w:w="120" w:type="dxa"/>
            </w:tcMar>
            <w:vAlign w:val="center"/>
            <w:shd w:fill="F8F3F1"/>
          </w:tcPr>
          <w:p>
            <w:pPr>
              <w:spacing w:after="0" w:line="252" w:lineRule="auto"/>
            </w:pPr>
            <w:r>
              <w:rPr>
                <w:rFonts w:ascii="Aptos" w:hAnsi="Aptos"/>
                <w:color w:val="120F0A"/>
                <w:sz w:val="16"/>
              </w:rPr>
              <w:t>Enforce one account owner and merge duplicate records immediately</w:t>
            </w:r>
          </w:p>
        </w:tc>
      </w:tr>
      <w:tr>
        <w:tc>
          <w:tcPr>
            <w:tcW w:type="dxa" w:w="1984"/>
            <w:tcMar>
              <w:top w:w="105" w:type="dxa"/>
              <w:start w:w="120" w:type="dxa"/>
              <w:bottom w:w="105" w:type="dxa"/>
              <w:end w:w="120" w:type="dxa"/>
            </w:tcMar>
            <w:vAlign w:val="center"/>
          </w:tcPr>
          <w:p>
            <w:pPr>
              <w:spacing w:after="0" w:line="252" w:lineRule="auto"/>
            </w:pPr>
            <w:r>
              <w:rPr>
                <w:rFonts w:ascii="Aptos" w:hAnsi="Aptos"/>
                <w:color w:val="120F0A"/>
                <w:sz w:val="16"/>
              </w:rPr>
              <w:t>Unapproved promises</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6"/>
              </w:rPr>
              <w:t>A proposal contains benefits, dates, or inventory that are not confirmed</w:t>
            </w:r>
          </w:p>
        </w:tc>
        <w:tc>
          <w:tcPr>
            <w:tcW w:type="dxa" w:w="4025"/>
            <w:tcMar>
              <w:top w:w="105" w:type="dxa"/>
              <w:start w:w="120" w:type="dxa"/>
              <w:bottom w:w="105" w:type="dxa"/>
              <w:end w:w="120" w:type="dxa"/>
            </w:tcMar>
            <w:vAlign w:val="center"/>
          </w:tcPr>
          <w:p>
            <w:pPr>
              <w:spacing w:after="0" w:line="252" w:lineRule="auto"/>
            </w:pPr>
            <w:r>
              <w:rPr>
                <w:rFonts w:ascii="Aptos" w:hAnsi="Aptos"/>
                <w:color w:val="120F0A"/>
                <w:sz w:val="16"/>
              </w:rPr>
              <w:t>Pause the proposal, correct the record, and obtain the required approval</w:t>
            </w:r>
          </w:p>
        </w:tc>
      </w:tr>
      <w:tr>
        <w:tc>
          <w:tcPr>
            <w:tcW w:type="dxa" w:w="1984"/>
            <w:tcMar>
              <w:top w:w="105" w:type="dxa"/>
              <w:start w:w="120" w:type="dxa"/>
              <w:bottom w:w="105" w:type="dxa"/>
              <w:end w:w="120" w:type="dxa"/>
            </w:tcMar>
            <w:vAlign w:val="center"/>
            <w:shd w:fill="F8F3F1"/>
          </w:tcPr>
          <w:p>
            <w:pPr>
              <w:spacing w:after="0" w:line="252" w:lineRule="auto"/>
            </w:pPr>
            <w:r>
              <w:rPr>
                <w:rFonts w:ascii="Aptos" w:hAnsi="Aptos"/>
                <w:color w:val="120F0A"/>
                <w:sz w:val="16"/>
              </w:rPr>
              <w:t>Weak city operator</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6"/>
              </w:rPr>
              <w:t>Venue, adults, reporting, or local follow-through remains vague</w:t>
            </w:r>
          </w:p>
        </w:tc>
        <w:tc>
          <w:tcPr>
            <w:tcW w:type="dxa" w:w="4025"/>
            <w:tcMar>
              <w:top w:w="105" w:type="dxa"/>
              <w:start w:w="120" w:type="dxa"/>
              <w:bottom w:w="105" w:type="dxa"/>
              <w:end w:w="120" w:type="dxa"/>
            </w:tcMar>
            <w:vAlign w:val="center"/>
            <w:shd w:fill="F8F3F1"/>
          </w:tcPr>
          <w:p>
            <w:pPr>
              <w:spacing w:after="0" w:line="252" w:lineRule="auto"/>
            </w:pPr>
            <w:r>
              <w:rPr>
                <w:rFonts w:ascii="Aptos" w:hAnsi="Aptos"/>
                <w:color w:val="120F0A"/>
                <w:sz w:val="16"/>
              </w:rPr>
              <w:t>Add support, reduce format, replace the city, or delay confirmation</w:t>
            </w:r>
          </w:p>
        </w:tc>
      </w:tr>
      <w:tr>
        <w:tc>
          <w:tcPr>
            <w:tcW w:type="dxa" w:w="1984"/>
            <w:tcMar>
              <w:top w:w="105" w:type="dxa"/>
              <w:start w:w="120" w:type="dxa"/>
              <w:bottom w:w="105" w:type="dxa"/>
              <w:end w:w="120" w:type="dxa"/>
            </w:tcMar>
            <w:vAlign w:val="center"/>
          </w:tcPr>
          <w:p>
            <w:pPr>
              <w:spacing w:after="0" w:line="252" w:lineRule="auto"/>
            </w:pPr>
            <w:r>
              <w:rPr>
                <w:rFonts w:ascii="Aptos" w:hAnsi="Aptos"/>
                <w:color w:val="120F0A"/>
                <w:sz w:val="16"/>
              </w:rPr>
              <w:t>Late venue confirmation</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6"/>
              </w:rPr>
              <w:t>A city approaches promotion without written venue readiness</w:t>
            </w:r>
          </w:p>
        </w:tc>
        <w:tc>
          <w:tcPr>
            <w:tcW w:type="dxa" w:w="4025"/>
            <w:tcMar>
              <w:top w:w="105" w:type="dxa"/>
              <w:start w:w="120" w:type="dxa"/>
              <w:bottom w:w="105" w:type="dxa"/>
              <w:end w:w="120" w:type="dxa"/>
            </w:tcMar>
            <w:vAlign w:val="center"/>
          </w:tcPr>
          <w:p>
            <w:pPr>
              <w:spacing w:after="0" w:line="252" w:lineRule="auto"/>
            </w:pPr>
            <w:r>
              <w:rPr>
                <w:rFonts w:ascii="Aptos" w:hAnsi="Aptos"/>
                <w:color w:val="120F0A"/>
                <w:sz w:val="16"/>
              </w:rPr>
              <w:t>Do not announce; move or shorten the event</w:t>
            </w:r>
          </w:p>
        </w:tc>
      </w:tr>
      <w:tr>
        <w:tc>
          <w:tcPr>
            <w:tcW w:type="dxa" w:w="1984"/>
            <w:tcMar>
              <w:top w:w="105" w:type="dxa"/>
              <w:start w:w="120" w:type="dxa"/>
              <w:bottom w:w="105" w:type="dxa"/>
              <w:end w:w="120" w:type="dxa"/>
            </w:tcMar>
            <w:vAlign w:val="center"/>
            <w:shd w:fill="F8F3F1"/>
          </w:tcPr>
          <w:p>
            <w:pPr>
              <w:spacing w:after="0" w:line="252" w:lineRule="auto"/>
            </w:pPr>
            <w:r>
              <w:rPr>
                <w:rFonts w:ascii="Aptos" w:hAnsi="Aptos"/>
                <w:color w:val="120F0A"/>
                <w:sz w:val="16"/>
              </w:rPr>
              <w:t>Unsafe overnight plan</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6"/>
              </w:rPr>
              <w:t>Rest, supervision, consent, access, or emergency coverage is incomplete</w:t>
            </w:r>
          </w:p>
        </w:tc>
        <w:tc>
          <w:tcPr>
            <w:tcW w:type="dxa" w:w="4025"/>
            <w:tcMar>
              <w:top w:w="105" w:type="dxa"/>
              <w:start w:w="120" w:type="dxa"/>
              <w:bottom w:w="105" w:type="dxa"/>
              <w:end w:w="120" w:type="dxa"/>
            </w:tcMar>
            <w:vAlign w:val="center"/>
            <w:shd w:fill="F8F3F1"/>
          </w:tcPr>
          <w:p>
            <w:pPr>
              <w:spacing w:after="0" w:line="252" w:lineRule="auto"/>
            </w:pPr>
            <w:r>
              <w:rPr>
                <w:rFonts w:ascii="Aptos" w:hAnsi="Aptos"/>
                <w:color w:val="120F0A"/>
                <w:sz w:val="16"/>
              </w:rPr>
              <w:t>Use Mini, change the venue, delay, or cancel</w:t>
            </w:r>
          </w:p>
        </w:tc>
      </w:tr>
      <w:tr>
        <w:tc>
          <w:tcPr>
            <w:tcW w:type="dxa" w:w="1984"/>
            <w:tcMar>
              <w:top w:w="105" w:type="dxa"/>
              <w:start w:w="120" w:type="dxa"/>
              <w:bottom w:w="105" w:type="dxa"/>
              <w:end w:w="120" w:type="dxa"/>
            </w:tcMar>
            <w:vAlign w:val="center"/>
          </w:tcPr>
          <w:p>
            <w:pPr>
              <w:spacing w:after="0" w:line="252" w:lineRule="auto"/>
            </w:pPr>
            <w:r>
              <w:rPr>
                <w:rFonts w:ascii="Aptos" w:hAnsi="Aptos"/>
                <w:color w:val="120F0A"/>
                <w:sz w:val="16"/>
              </w:rPr>
              <w:t>Participant imbalance</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6"/>
              </w:rPr>
              <w:t>The combined high school share trends below 80%</w:t>
            </w:r>
          </w:p>
        </w:tc>
        <w:tc>
          <w:tcPr>
            <w:tcW w:type="dxa" w:w="4025"/>
            <w:tcMar>
              <w:top w:w="105" w:type="dxa"/>
              <w:start w:w="120" w:type="dxa"/>
              <w:bottom w:w="105" w:type="dxa"/>
              <w:end w:w="120" w:type="dxa"/>
            </w:tcMar>
            <w:vAlign w:val="center"/>
          </w:tcPr>
          <w:p>
            <w:pPr>
              <w:spacing w:after="0" w:line="252" w:lineRule="auto"/>
            </w:pPr>
            <w:r>
              <w:rPr>
                <w:rFonts w:ascii="Aptos" w:hAnsi="Aptos"/>
                <w:color w:val="120F0A"/>
                <w:sz w:val="16"/>
              </w:rPr>
              <w:t>Shift school outreach and later-city capacity while keeping city access flexible</w:t>
            </w:r>
          </w:p>
        </w:tc>
      </w:tr>
      <w:tr>
        <w:tc>
          <w:tcPr>
            <w:tcW w:type="dxa" w:w="1984"/>
            <w:tcMar>
              <w:top w:w="105" w:type="dxa"/>
              <w:start w:w="120" w:type="dxa"/>
              <w:bottom w:w="105" w:type="dxa"/>
              <w:end w:w="120" w:type="dxa"/>
            </w:tcMar>
            <w:vAlign w:val="center"/>
            <w:shd w:fill="F8F3F1"/>
          </w:tcPr>
          <w:p>
            <w:pPr>
              <w:spacing w:after="0" w:line="252" w:lineRule="auto"/>
            </w:pPr>
            <w:r>
              <w:rPr>
                <w:rFonts w:ascii="Aptos" w:hAnsi="Aptos"/>
                <w:color w:val="120F0A"/>
                <w:sz w:val="16"/>
              </w:rPr>
              <w:t>Sponsor delivery debt</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6"/>
              </w:rPr>
              <w:t>Brand assets, sessions, stalls, or reports lack owners and evidence</w:t>
            </w:r>
          </w:p>
        </w:tc>
        <w:tc>
          <w:tcPr>
            <w:tcW w:type="dxa" w:w="4025"/>
            <w:tcMar>
              <w:top w:w="105" w:type="dxa"/>
              <w:start w:w="120" w:type="dxa"/>
              <w:bottom w:w="105" w:type="dxa"/>
              <w:end w:w="120" w:type="dxa"/>
            </w:tcMar>
            <w:vAlign w:val="center"/>
            <w:shd w:fill="F8F3F1"/>
          </w:tcPr>
          <w:p>
            <w:pPr>
              <w:spacing w:after="0" w:line="252" w:lineRule="auto"/>
            </w:pPr>
            <w:r>
              <w:rPr>
                <w:rFonts w:ascii="Aptos" w:hAnsi="Aptos"/>
                <w:color w:val="120F0A"/>
                <w:sz w:val="16"/>
              </w:rPr>
              <w:t>Freeze new promises in that lane until delivery is recovered</w:t>
            </w:r>
          </w:p>
        </w:tc>
      </w:tr>
      <w:tr>
        <w:tc>
          <w:tcPr>
            <w:tcW w:type="dxa" w:w="1984"/>
            <w:tcMar>
              <w:top w:w="105" w:type="dxa"/>
              <w:start w:w="120" w:type="dxa"/>
              <w:bottom w:w="105" w:type="dxa"/>
              <w:end w:w="120" w:type="dxa"/>
            </w:tcMar>
            <w:vAlign w:val="center"/>
          </w:tcPr>
          <w:p>
            <w:pPr>
              <w:spacing w:after="0" w:line="252" w:lineRule="auto"/>
            </w:pPr>
            <w:r>
              <w:rPr>
                <w:rFonts w:ascii="Aptos" w:hAnsi="Aptos"/>
                <w:color w:val="120F0A"/>
                <w:sz w:val="16"/>
              </w:rPr>
              <w:t>Approval delay</w:t>
            </w:r>
          </w:p>
        </w:tc>
        <w:tc>
          <w:tcPr>
            <w:tcW w:type="dxa" w:w="3231"/>
            <w:tcMar>
              <w:top w:w="105" w:type="dxa"/>
              <w:start w:w="120" w:type="dxa"/>
              <w:bottom w:w="105" w:type="dxa"/>
              <w:end w:w="120" w:type="dxa"/>
            </w:tcMar>
            <w:vAlign w:val="center"/>
          </w:tcPr>
          <w:p>
            <w:pPr>
              <w:spacing w:after="0" w:line="252" w:lineRule="auto"/>
            </w:pPr>
            <w:r>
              <w:rPr>
                <w:rFonts w:ascii="Aptos" w:hAnsi="Aptos"/>
                <w:color w:val="120F0A"/>
                <w:sz w:val="16"/>
              </w:rPr>
              <w:t>Joint or Board decisions sit without a deadline or escalation</w:t>
            </w:r>
          </w:p>
        </w:tc>
        <w:tc>
          <w:tcPr>
            <w:tcW w:type="dxa" w:w="4025"/>
            <w:tcMar>
              <w:top w:w="105" w:type="dxa"/>
              <w:start w:w="120" w:type="dxa"/>
              <w:bottom w:w="105" w:type="dxa"/>
              <w:end w:w="120" w:type="dxa"/>
            </w:tcMar>
            <w:vAlign w:val="center"/>
          </w:tcPr>
          <w:p>
            <w:pPr>
              <w:spacing w:after="0" w:line="252" w:lineRule="auto"/>
            </w:pPr>
            <w:r>
              <w:rPr>
                <w:rFonts w:ascii="Aptos" w:hAnsi="Aptos"/>
                <w:color w:val="120F0A"/>
                <w:sz w:val="16"/>
              </w:rPr>
              <w:t>Record the decision, deadline, impact, and escalation path</w:t>
            </w:r>
          </w:p>
        </w:tc>
      </w:tr>
      <w:tr>
        <w:tc>
          <w:tcPr>
            <w:tcW w:type="dxa" w:w="1984"/>
            <w:tcMar>
              <w:top w:w="105" w:type="dxa"/>
              <w:start w:w="120" w:type="dxa"/>
              <w:bottom w:w="105" w:type="dxa"/>
              <w:end w:w="120" w:type="dxa"/>
            </w:tcMar>
            <w:vAlign w:val="center"/>
            <w:shd w:fill="F8F3F1"/>
          </w:tcPr>
          <w:p>
            <w:pPr>
              <w:spacing w:after="0" w:line="252" w:lineRule="auto"/>
            </w:pPr>
            <w:r>
              <w:rPr>
                <w:rFonts w:ascii="Aptos" w:hAnsi="Aptos"/>
                <w:color w:val="120F0A"/>
                <w:sz w:val="16"/>
              </w:rPr>
              <w:t>Privacy breach</w:t>
            </w:r>
          </w:p>
        </w:tc>
        <w:tc>
          <w:tcPr>
            <w:tcW w:type="dxa" w:w="3231"/>
            <w:tcMar>
              <w:top w:w="105" w:type="dxa"/>
              <w:start w:w="120" w:type="dxa"/>
              <w:bottom w:w="105" w:type="dxa"/>
              <w:end w:w="120" w:type="dxa"/>
            </w:tcMar>
            <w:vAlign w:val="center"/>
            <w:shd w:fill="F8F3F1"/>
          </w:tcPr>
          <w:p>
            <w:pPr>
              <w:spacing w:after="0" w:line="252" w:lineRule="auto"/>
            </w:pPr>
            <w:r>
              <w:rPr>
                <w:rFonts w:ascii="Aptos" w:hAnsi="Aptos"/>
                <w:color w:val="120F0A"/>
                <w:sz w:val="16"/>
              </w:rPr>
              <w:t>Participant data is copied, shared, or requested outside the approved need</w:t>
            </w:r>
          </w:p>
        </w:tc>
        <w:tc>
          <w:tcPr>
            <w:tcW w:type="dxa" w:w="4025"/>
            <w:tcMar>
              <w:top w:w="105" w:type="dxa"/>
              <w:start w:w="120" w:type="dxa"/>
              <w:bottom w:w="105" w:type="dxa"/>
              <w:end w:w="120" w:type="dxa"/>
            </w:tcMar>
            <w:vAlign w:val="center"/>
            <w:shd w:fill="F8F3F1"/>
          </w:tcPr>
          <w:p>
            <w:pPr>
              <w:spacing w:after="0" w:line="252" w:lineRule="auto"/>
            </w:pPr>
            <w:r>
              <w:rPr>
                <w:rFonts w:ascii="Aptos" w:hAnsi="Aptos"/>
                <w:color w:val="120F0A"/>
                <w:sz w:val="16"/>
              </w:rPr>
              <w:t>Restrict access, preserve evidence, notify the authorised incident lane, and follow legal reporting duties</w:t>
            </w:r>
          </w:p>
        </w:tc>
      </w:tr>
    </w:tbl>
    <w:p>
      <w:pPr>
        <w:spacing w:after="20"/>
      </w:pPr>
    </w:p>
    <w:p>
      <w:pPr>
        <w:pStyle w:val="Heading2"/>
        <w:keepNext/>
      </w:pPr>
      <w:r>
        <w:t>Programme fallback order</w:t>
      </w:r>
    </w:p>
    <w:p>
      <w:pPr>
        <w:spacing w:after="80"/>
        <w:ind w:left="351" w:hanging="295"/>
      </w:pPr>
      <w:r>
        <w:rPr>
          <w:rFonts w:ascii="Aptos" w:hAnsi="Aptos"/>
          <w:color w:val="120F0A"/>
          <w:sz w:val="20"/>
        </w:rPr>
        <w:t>1.  Remove speculative benefits and spending.</w:t>
      </w:r>
    </w:p>
    <w:p>
      <w:pPr>
        <w:spacing w:after="80"/>
        <w:ind w:left="351" w:hanging="295"/>
      </w:pPr>
      <w:r>
        <w:rPr>
          <w:rFonts w:ascii="Aptos" w:hAnsi="Aptos"/>
          <w:color w:val="120F0A"/>
          <w:sz w:val="20"/>
        </w:rPr>
        <w:t>2.  Shorten a city from Extended to Original or Mini when the longer format is the risk.</w:t>
      </w:r>
    </w:p>
    <w:p>
      <w:pPr>
        <w:spacing w:after="80"/>
        <w:ind w:left="351" w:hanging="295"/>
      </w:pPr>
      <w:r>
        <w:rPr>
          <w:rFonts w:ascii="Aptos" w:hAnsi="Aptos"/>
          <w:color w:val="120F0A"/>
          <w:sz w:val="20"/>
        </w:rPr>
        <w:t>3.  Reduce city capacity before weakening safety, judging, or participant support.</w:t>
      </w:r>
    </w:p>
    <w:p>
      <w:pPr>
        <w:spacing w:after="80"/>
        <w:ind w:left="351" w:hanging="295"/>
      </w:pPr>
      <w:r>
        <w:rPr>
          <w:rFonts w:ascii="Aptos" w:hAnsi="Aptos"/>
          <w:color w:val="120F0A"/>
          <w:sz w:val="20"/>
        </w:rPr>
        <w:t>4.  Move or replace a city that cannot clear its venue and safeguarding gates.</w:t>
      </w:r>
    </w:p>
    <w:p>
      <w:pPr>
        <w:spacing w:after="80"/>
        <w:ind w:left="351" w:hanging="295"/>
      </w:pPr>
      <w:r>
        <w:rPr>
          <w:rFonts w:ascii="Aptos" w:hAnsi="Aptos"/>
          <w:color w:val="120F0A"/>
          <w:sz w:val="20"/>
        </w:rPr>
        <w:t>5.  Protect the national final and the strongest zonal experiences rather than pretending every early ambition is still funded.</w:t>
      </w:r>
    </w:p>
    <w:p>
      <w:pPr>
        <w:pageBreakBefore/>
        <w:spacing w:after="100"/>
      </w:pPr>
      <w:r>
        <w:rPr>
          <w:rFonts w:ascii="Aptos" w:hAnsi="Aptos"/>
          <w:b/>
          <w:color w:val="97192C"/>
          <w:sz w:val="17"/>
        </w:rPr>
        <w:t>DECISIONS</w:t>
      </w:r>
    </w:p>
    <w:p>
      <w:pPr>
        <w:pStyle w:val="Heading1"/>
        <w:keepNext/>
      </w:pPr>
      <w:r>
        <w:t>Decision register and working assumptions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28"/>
        <w:gridCol w:w="1928"/>
        <w:gridCol w:w="1928"/>
        <w:gridCol w:w="1928"/>
        <w:gridCol w:w="1928"/>
      </w:tblGrid>
      <w:tr>
        <w:trPr>
          <w:tblHeader w:val="true"/>
        </w:trPr>
        <w:tc>
          <w:tcPr>
            <w:tcW w:type="dxa" w:w="2551"/>
            <w:shd w:fill="97192C"/>
            <w:tcMar>
              <w:top w:w="115" w:type="dxa"/>
              <w:start w:w="120" w:type="dxa"/>
              <w:bottom w:w="115" w:type="dxa"/>
              <w:end w:w="120" w:type="dxa"/>
            </w:tcMar>
            <w:vAlign w:val="center"/>
          </w:tcPr>
          <w:p>
            <w:pPr>
              <w:spacing w:after="0"/>
              <w:jc w:val="center"/>
            </w:pPr>
            <w:r>
              <w:rPr>
                <w:rFonts w:ascii="Aptos" w:hAnsi="Aptos"/>
                <w:b/>
                <w:color w:val="FFFFFF"/>
                <w:sz w:val="18"/>
              </w:rPr>
              <w:t>Decision</w:t>
            </w:r>
          </w:p>
        </w:tc>
        <w:tc>
          <w:tcPr>
            <w:tcW w:type="dxa" w:w="2154"/>
            <w:shd w:fill="97192C"/>
            <w:tcMar>
              <w:top w:w="115" w:type="dxa"/>
              <w:start w:w="120" w:type="dxa"/>
              <w:bottom w:w="115" w:type="dxa"/>
              <w:end w:w="120" w:type="dxa"/>
            </w:tcMar>
            <w:vAlign w:val="center"/>
          </w:tcPr>
          <w:p>
            <w:pPr>
              <w:spacing w:after="0"/>
              <w:jc w:val="center"/>
            </w:pPr>
            <w:r>
              <w:rPr>
                <w:rFonts w:ascii="Aptos" w:hAnsi="Aptos"/>
                <w:b/>
                <w:color w:val="FFFFFF"/>
                <w:sz w:val="18"/>
              </w:rPr>
              <w:t>Operating lane</w:t>
            </w:r>
          </w:p>
        </w:tc>
        <w:tc>
          <w:tcPr>
            <w:tcW w:type="dxa" w:w="1701"/>
            <w:shd w:fill="97192C"/>
            <w:tcMar>
              <w:top w:w="115" w:type="dxa"/>
              <w:start w:w="120" w:type="dxa"/>
              <w:bottom w:w="115" w:type="dxa"/>
              <w:end w:w="120" w:type="dxa"/>
            </w:tcMar>
            <w:vAlign w:val="center"/>
          </w:tcPr>
          <w:p>
            <w:pPr>
              <w:spacing w:after="0"/>
              <w:jc w:val="center"/>
            </w:pPr>
            <w:r>
              <w:rPr>
                <w:rFonts w:ascii="Aptos" w:hAnsi="Aptos"/>
                <w:b/>
                <w:color w:val="FFFFFF"/>
                <w:sz w:val="18"/>
              </w:rPr>
              <w:t>Needed by</w:t>
            </w:r>
          </w:p>
        </w:tc>
        <w:tc>
          <w:tcPr>
            <w:tcW w:type="dxa" w:w="1304"/>
            <w:shd w:fill="97192C"/>
            <w:tcMar>
              <w:top w:w="115" w:type="dxa"/>
              <w:start w:w="120" w:type="dxa"/>
              <w:bottom w:w="115" w:type="dxa"/>
              <w:end w:w="120" w:type="dxa"/>
            </w:tcMar>
            <w:vAlign w:val="center"/>
          </w:tcPr>
          <w:p>
            <w:pPr>
              <w:spacing w:after="0"/>
              <w:jc w:val="center"/>
            </w:pPr>
            <w:r>
              <w:rPr>
                <w:rFonts w:ascii="Aptos" w:hAnsi="Aptos"/>
                <w:b/>
                <w:color w:val="FFFFFF"/>
                <w:sz w:val="18"/>
              </w:rPr>
              <w:t>Status</w:t>
            </w:r>
          </w:p>
        </w:tc>
        <w:tc>
          <w:tcPr>
            <w:tcW w:type="dxa" w:w="1814"/>
            <w:shd w:fill="97192C"/>
            <w:tcMar>
              <w:top w:w="115" w:type="dxa"/>
              <w:start w:w="120" w:type="dxa"/>
              <w:bottom w:w="115" w:type="dxa"/>
              <w:end w:w="120" w:type="dxa"/>
            </w:tcMar>
            <w:vAlign w:val="center"/>
          </w:tcPr>
          <w:p>
            <w:pPr>
              <w:spacing w:after="0"/>
              <w:jc w:val="center"/>
            </w:pPr>
            <w:r>
              <w:rPr>
                <w:rFonts w:ascii="Aptos" w:hAnsi="Aptos"/>
                <w:b/>
                <w:color w:val="FFFFFF"/>
                <w:sz w:val="18"/>
              </w:rPr>
              <w:t>Closing record</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5"/>
              </w:rPr>
              <w:t>Confirm the scope of the 60 to 40 revenue category with Techfest</w:t>
            </w:r>
          </w:p>
        </w:tc>
        <w:tc>
          <w:tcPr>
            <w:tcW w:type="dxa" w:w="2154"/>
            <w:tcMar>
              <w:top w:w="105" w:type="dxa"/>
              <w:start w:w="120" w:type="dxa"/>
              <w:bottom w:w="105" w:type="dxa"/>
              <w:end w:w="120" w:type="dxa"/>
            </w:tcMar>
            <w:vAlign w:val="center"/>
          </w:tcPr>
          <w:p>
            <w:pPr>
              <w:spacing w:after="0" w:line="252" w:lineRule="auto"/>
            </w:pPr>
            <w:r>
              <w:rPr>
                <w:rFonts w:ascii="Aptos" w:hAnsi="Aptos"/>
                <w:color w:val="120F0A"/>
                <w:sz w:val="15"/>
              </w:rPr>
              <w:t>Board, finance, partnership</w:t>
            </w:r>
          </w:p>
        </w:tc>
        <w:tc>
          <w:tcPr>
            <w:tcW w:type="dxa" w:w="1701"/>
            <w:tcMar>
              <w:top w:w="105" w:type="dxa"/>
              <w:start w:w="120" w:type="dxa"/>
              <w:bottom w:w="105" w:type="dxa"/>
              <w:end w:w="120" w:type="dxa"/>
            </w:tcMar>
            <w:vAlign w:val="center"/>
          </w:tcPr>
          <w:p>
            <w:pPr>
              <w:spacing w:after="0" w:line="252" w:lineRule="auto"/>
            </w:pPr>
            <w:r>
              <w:rPr>
                <w:rFonts w:ascii="Aptos" w:hAnsi="Aptos"/>
                <w:color w:val="120F0A"/>
                <w:sz w:val="15"/>
              </w:rPr>
              <w:t>Before related sponsor proposals</w:t>
            </w:r>
          </w:p>
        </w:tc>
        <w:tc>
          <w:tcPr>
            <w:tcW w:type="dxa" w:w="1304"/>
            <w:tcMar>
              <w:top w:w="105" w:type="dxa"/>
              <w:start w:w="120" w:type="dxa"/>
              <w:bottom w:w="105" w:type="dxa"/>
              <w:end w:w="120" w:type="dxa"/>
            </w:tcMar>
            <w:vAlign w:val="center"/>
          </w:tcPr>
          <w:p>
            <w:pPr>
              <w:spacing w:after="0" w:line="252" w:lineRule="auto"/>
            </w:pPr>
            <w:r>
              <w:rPr>
                <w:rFonts w:ascii="Aptos" w:hAnsi="Aptos"/>
                <w:color w:val="120F0A"/>
                <w:sz w:val="15"/>
              </w:rPr>
              <w:t>Needs written confirmation</w:t>
            </w:r>
          </w:p>
        </w:tc>
        <w:tc>
          <w:tcPr>
            <w:tcW w:type="dxa" w:w="1814"/>
            <w:tcMar>
              <w:top w:w="105" w:type="dxa"/>
              <w:start w:w="120" w:type="dxa"/>
              <w:bottom w:w="105" w:type="dxa"/>
              <w:end w:w="120" w:type="dxa"/>
            </w:tcMar>
            <w:vAlign w:val="center"/>
          </w:tcPr>
          <w:p>
            <w:pPr>
              <w:spacing w:after="0" w:line="252" w:lineRule="auto"/>
            </w:pPr>
            <w:r>
              <w:rPr>
                <w:rFonts w:ascii="Aptos" w:hAnsi="Aptos"/>
                <w:color w:val="120F0A"/>
                <w:sz w:val="15"/>
              </w:rPr>
              <w:t>Written joint confirmation or amendment</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5"/>
              </w:rPr>
              <w:t>Select twelve cities</w:t>
            </w:r>
          </w:p>
        </w:tc>
        <w:tc>
          <w:tcPr>
            <w:tcW w:type="dxa" w:w="2154"/>
            <w:tcMar>
              <w:top w:w="105" w:type="dxa"/>
              <w:start w:w="120" w:type="dxa"/>
              <w:bottom w:w="105" w:type="dxa"/>
              <w:end w:w="120" w:type="dxa"/>
            </w:tcMar>
            <w:vAlign w:val="center"/>
            <w:shd w:fill="F8F3F1"/>
          </w:tcPr>
          <w:p>
            <w:pPr>
              <w:spacing w:after="0" w:line="252" w:lineRule="auto"/>
            </w:pPr>
            <w:r>
              <w:rPr>
                <w:rFonts w:ascii="Aptos" w:hAnsi="Aptos"/>
                <w:color w:val="120F0A"/>
                <w:sz w:val="15"/>
              </w:rPr>
              <w:t>Programme and partnerships</w:t>
            </w:r>
          </w:p>
        </w:tc>
        <w:tc>
          <w:tcPr>
            <w:tcW w:type="dxa" w:w="1701"/>
            <w:tcMar>
              <w:top w:w="105" w:type="dxa"/>
              <w:start w:w="120" w:type="dxa"/>
              <w:bottom w:w="105" w:type="dxa"/>
              <w:end w:w="120" w:type="dxa"/>
            </w:tcMar>
            <w:vAlign w:val="center"/>
            <w:shd w:fill="F8F3F1"/>
          </w:tcPr>
          <w:p>
            <w:pPr>
              <w:spacing w:after="0" w:line="252" w:lineRule="auto"/>
            </w:pPr>
            <w:r>
              <w:rPr>
                <w:rFonts w:ascii="Aptos" w:hAnsi="Aptos"/>
                <w:color w:val="120F0A"/>
                <w:sz w:val="15"/>
              </w:rPr>
              <w:t>Before each city announcement</w:t>
            </w:r>
          </w:p>
        </w:tc>
        <w:tc>
          <w:tcPr>
            <w:tcW w:type="dxa" w:w="130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5"/>
              </w:rPr>
              <w:t>Approved city register</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5"/>
              </w:rPr>
              <w:t>Choose format for each city</w:t>
            </w:r>
          </w:p>
        </w:tc>
        <w:tc>
          <w:tcPr>
            <w:tcW w:type="dxa" w:w="2154"/>
            <w:tcMar>
              <w:top w:w="105" w:type="dxa"/>
              <w:start w:w="120" w:type="dxa"/>
              <w:bottom w:w="105" w:type="dxa"/>
              <w:end w:w="120" w:type="dxa"/>
            </w:tcMar>
            <w:vAlign w:val="center"/>
          </w:tcPr>
          <w:p>
            <w:pPr>
              <w:spacing w:after="0" w:line="252" w:lineRule="auto"/>
            </w:pPr>
            <w:r>
              <w:rPr>
                <w:rFonts w:ascii="Aptos" w:hAnsi="Aptos"/>
                <w:color w:val="120F0A"/>
                <w:sz w:val="15"/>
              </w:rPr>
              <w:t>Programme, venue, safeguarding, finance</w:t>
            </w:r>
          </w:p>
        </w:tc>
        <w:tc>
          <w:tcPr>
            <w:tcW w:type="dxa" w:w="1701"/>
            <w:tcMar>
              <w:top w:w="105" w:type="dxa"/>
              <w:start w:w="120" w:type="dxa"/>
              <w:bottom w:w="105" w:type="dxa"/>
              <w:end w:w="120" w:type="dxa"/>
            </w:tcMar>
            <w:vAlign w:val="center"/>
          </w:tcPr>
          <w:p>
            <w:pPr>
              <w:spacing w:after="0" w:line="252" w:lineRule="auto"/>
            </w:pPr>
            <w:r>
              <w:rPr>
                <w:rFonts w:ascii="Aptos" w:hAnsi="Aptos"/>
                <w:color w:val="120F0A"/>
                <w:sz w:val="15"/>
              </w:rPr>
              <w:t>Before each city announcement</w:t>
            </w:r>
          </w:p>
        </w:tc>
        <w:tc>
          <w:tcPr>
            <w:tcW w:type="dxa" w:w="1304"/>
            <w:tcMar>
              <w:top w:w="105" w:type="dxa"/>
              <w:start w:w="120" w:type="dxa"/>
              <w:bottom w:w="105" w:type="dxa"/>
              <w:end w:w="120" w:type="dxa"/>
            </w:tcMar>
            <w:vAlign w:val="center"/>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5"/>
              </w:rPr>
              <w:t>City readiness record</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5"/>
              </w:rPr>
              <w:t>Set exact zonal dates</w:t>
            </w:r>
          </w:p>
        </w:tc>
        <w:tc>
          <w:tcPr>
            <w:tcW w:type="dxa" w:w="2154"/>
            <w:tcMar>
              <w:top w:w="105" w:type="dxa"/>
              <w:start w:w="120" w:type="dxa"/>
              <w:bottom w:w="105" w:type="dxa"/>
              <w:end w:w="120" w:type="dxa"/>
            </w:tcMar>
            <w:vAlign w:val="center"/>
            <w:shd w:fill="F8F3F1"/>
          </w:tcPr>
          <w:p>
            <w:pPr>
              <w:spacing w:after="0" w:line="252" w:lineRule="auto"/>
            </w:pPr>
            <w:r>
              <w:rPr>
                <w:rFonts w:ascii="Aptos" w:hAnsi="Aptos"/>
                <w:color w:val="120F0A"/>
                <w:sz w:val="15"/>
              </w:rPr>
              <w:t>Programme and host institutions</w:t>
            </w:r>
          </w:p>
        </w:tc>
        <w:tc>
          <w:tcPr>
            <w:tcW w:type="dxa" w:w="1701"/>
            <w:tcMar>
              <w:top w:w="105" w:type="dxa"/>
              <w:start w:w="120" w:type="dxa"/>
              <w:bottom w:w="105" w:type="dxa"/>
              <w:end w:w="120" w:type="dxa"/>
            </w:tcMar>
            <w:vAlign w:val="center"/>
            <w:shd w:fill="F8F3F1"/>
          </w:tcPr>
          <w:p>
            <w:pPr>
              <w:spacing w:after="0" w:line="252" w:lineRule="auto"/>
            </w:pPr>
            <w:r>
              <w:rPr>
                <w:rFonts w:ascii="Aptos" w:hAnsi="Aptos"/>
                <w:color w:val="120F0A"/>
                <w:sz w:val="15"/>
              </w:rPr>
              <w:t>Before registration allocation</w:t>
            </w:r>
          </w:p>
        </w:tc>
        <w:tc>
          <w:tcPr>
            <w:tcW w:type="dxa" w:w="130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5"/>
              </w:rPr>
              <w:t>Approved campaign calendar</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5"/>
              </w:rPr>
              <w:t>Set capacity for each city</w:t>
            </w:r>
          </w:p>
        </w:tc>
        <w:tc>
          <w:tcPr>
            <w:tcW w:type="dxa" w:w="2154"/>
            <w:tcMar>
              <w:top w:w="105" w:type="dxa"/>
              <w:start w:w="120" w:type="dxa"/>
              <w:bottom w:w="105" w:type="dxa"/>
              <w:end w:w="120" w:type="dxa"/>
            </w:tcMar>
            <w:vAlign w:val="center"/>
          </w:tcPr>
          <w:p>
            <w:pPr>
              <w:spacing w:after="0" w:line="252" w:lineRule="auto"/>
            </w:pPr>
            <w:r>
              <w:rPr>
                <w:rFonts w:ascii="Aptos" w:hAnsi="Aptos"/>
                <w:color w:val="120F0A"/>
                <w:sz w:val="15"/>
              </w:rPr>
              <w:t>Programme, venue, safeguarding</w:t>
            </w:r>
          </w:p>
        </w:tc>
        <w:tc>
          <w:tcPr>
            <w:tcW w:type="dxa" w:w="1701"/>
            <w:tcMar>
              <w:top w:w="105" w:type="dxa"/>
              <w:start w:w="120" w:type="dxa"/>
              <w:bottom w:w="105" w:type="dxa"/>
              <w:end w:w="120" w:type="dxa"/>
            </w:tcMar>
            <w:vAlign w:val="center"/>
          </w:tcPr>
          <w:p>
            <w:pPr>
              <w:spacing w:after="0" w:line="252" w:lineRule="auto"/>
            </w:pPr>
            <w:r>
              <w:rPr>
                <w:rFonts w:ascii="Aptos" w:hAnsi="Aptos"/>
                <w:color w:val="120F0A"/>
                <w:sz w:val="15"/>
              </w:rPr>
              <w:t>Before registration allocation</w:t>
            </w:r>
          </w:p>
        </w:tc>
        <w:tc>
          <w:tcPr>
            <w:tcW w:type="dxa" w:w="1304"/>
            <w:tcMar>
              <w:top w:w="105" w:type="dxa"/>
              <w:start w:w="120" w:type="dxa"/>
              <w:bottom w:w="105" w:type="dxa"/>
              <w:end w:w="120" w:type="dxa"/>
            </w:tcMar>
            <w:vAlign w:val="center"/>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tcPr>
          <w:p>
            <w:pPr>
              <w:spacing w:after="0" w:line="252" w:lineRule="auto"/>
              <w:jc w:val="center"/>
            </w:pPr>
            <w:r>
              <w:rPr>
                <w:rFonts w:ascii="Aptos" w:hAnsi="Aptos"/>
                <w:color w:val="120F0A"/>
                <w:sz w:val="15"/>
              </w:rPr>
              <w:t>City capacity record</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5"/>
              </w:rPr>
              <w:t>Set qualification numbers and reserve rules</w:t>
            </w:r>
          </w:p>
        </w:tc>
        <w:tc>
          <w:tcPr>
            <w:tcW w:type="dxa" w:w="215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Programme and judging</w:t>
            </w:r>
          </w:p>
        </w:tc>
        <w:tc>
          <w:tcPr>
            <w:tcW w:type="dxa" w:w="1701"/>
            <w:tcMar>
              <w:top w:w="105" w:type="dxa"/>
              <w:start w:w="120" w:type="dxa"/>
              <w:bottom w:w="105" w:type="dxa"/>
              <w:end w:w="120" w:type="dxa"/>
            </w:tcMar>
            <w:vAlign w:val="center"/>
            <w:shd w:fill="F8F3F1"/>
          </w:tcPr>
          <w:p>
            <w:pPr>
              <w:spacing w:after="0" w:line="252" w:lineRule="auto"/>
            </w:pPr>
            <w:r>
              <w:rPr>
                <w:rFonts w:ascii="Aptos" w:hAnsi="Aptos"/>
                <w:color w:val="120F0A"/>
                <w:sz w:val="15"/>
              </w:rPr>
              <w:t>Before first zonal results</w:t>
            </w:r>
          </w:p>
        </w:tc>
        <w:tc>
          <w:tcPr>
            <w:tcW w:type="dxa" w:w="130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Qualification policy</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5"/>
              </w:rPr>
              <w:t>Set finalist travel and guardian model</w:t>
            </w:r>
          </w:p>
        </w:tc>
        <w:tc>
          <w:tcPr>
            <w:tcW w:type="dxa" w:w="2154"/>
            <w:tcMar>
              <w:top w:w="105" w:type="dxa"/>
              <w:start w:w="120" w:type="dxa"/>
              <w:bottom w:w="105" w:type="dxa"/>
              <w:end w:w="120" w:type="dxa"/>
            </w:tcMar>
            <w:vAlign w:val="center"/>
          </w:tcPr>
          <w:p>
            <w:pPr>
              <w:spacing w:after="0" w:line="252" w:lineRule="auto"/>
            </w:pPr>
            <w:r>
              <w:rPr>
                <w:rFonts w:ascii="Aptos" w:hAnsi="Aptos"/>
                <w:color w:val="120F0A"/>
                <w:sz w:val="15"/>
              </w:rPr>
              <w:t>Programme, finance, safeguarding</w:t>
            </w:r>
          </w:p>
        </w:tc>
        <w:tc>
          <w:tcPr>
            <w:tcW w:type="dxa" w:w="1701"/>
            <w:tcMar>
              <w:top w:w="105" w:type="dxa"/>
              <w:start w:w="120" w:type="dxa"/>
              <w:bottom w:w="105" w:type="dxa"/>
              <w:end w:w="120" w:type="dxa"/>
            </w:tcMar>
            <w:vAlign w:val="center"/>
          </w:tcPr>
          <w:p>
            <w:pPr>
              <w:spacing w:after="0" w:line="252" w:lineRule="auto"/>
            </w:pPr>
            <w:r>
              <w:rPr>
                <w:rFonts w:ascii="Aptos" w:hAnsi="Aptos"/>
                <w:color w:val="120F0A"/>
                <w:sz w:val="15"/>
              </w:rPr>
              <w:t>Before first zonal results</w:t>
            </w:r>
          </w:p>
        </w:tc>
        <w:tc>
          <w:tcPr>
            <w:tcW w:type="dxa" w:w="1304"/>
            <w:tcMar>
              <w:top w:w="105" w:type="dxa"/>
              <w:start w:w="120" w:type="dxa"/>
              <w:bottom w:w="105" w:type="dxa"/>
              <w:end w:w="120" w:type="dxa"/>
            </w:tcMar>
            <w:vAlign w:val="center"/>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tcPr>
          <w:p>
            <w:pPr>
              <w:spacing w:after="0" w:line="252" w:lineRule="auto"/>
            </w:pPr>
            <w:r>
              <w:rPr>
                <w:rFonts w:ascii="Aptos" w:hAnsi="Aptos"/>
                <w:color w:val="120F0A"/>
                <w:sz w:val="15"/>
              </w:rPr>
              <w:t>Finalist operations plan</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5"/>
              </w:rPr>
              <w:t>Approve sponsor inventory, prices, and exclusivity rules</w:t>
            </w:r>
          </w:p>
        </w:tc>
        <w:tc>
          <w:tcPr>
            <w:tcW w:type="dxa" w:w="2154"/>
            <w:tcMar>
              <w:top w:w="105" w:type="dxa"/>
              <w:start w:w="120" w:type="dxa"/>
              <w:bottom w:w="105" w:type="dxa"/>
              <w:end w:w="120" w:type="dxa"/>
            </w:tcMar>
            <w:vAlign w:val="center"/>
            <w:shd w:fill="F8F3F1"/>
          </w:tcPr>
          <w:p>
            <w:pPr>
              <w:spacing w:after="0" w:line="252" w:lineRule="auto"/>
            </w:pPr>
            <w:r>
              <w:rPr>
                <w:rFonts w:ascii="Aptos" w:hAnsi="Aptos"/>
                <w:color w:val="120F0A"/>
                <w:sz w:val="15"/>
              </w:rPr>
              <w:t>Partnership, programme, finance, brand</w:t>
            </w:r>
          </w:p>
        </w:tc>
        <w:tc>
          <w:tcPr>
            <w:tcW w:type="dxa" w:w="1701"/>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Before proposals</w:t>
            </w:r>
          </w:p>
        </w:tc>
        <w:tc>
          <w:tcPr>
            <w:tcW w:type="dxa" w:w="130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5"/>
              </w:rPr>
              <w:t>Approved sponsorship prospectus</w:t>
            </w:r>
          </w:p>
        </w:tc>
      </w:tr>
      <w:tr>
        <w:tc>
          <w:tcPr>
            <w:tcW w:type="dxa" w:w="2551"/>
            <w:tcMar>
              <w:top w:w="105" w:type="dxa"/>
              <w:start w:w="120" w:type="dxa"/>
              <w:bottom w:w="105" w:type="dxa"/>
              <w:end w:w="120" w:type="dxa"/>
            </w:tcMar>
            <w:vAlign w:val="center"/>
          </w:tcPr>
          <w:p>
            <w:pPr>
              <w:spacing w:after="0" w:line="252" w:lineRule="auto"/>
            </w:pPr>
            <w:r>
              <w:rPr>
                <w:rFonts w:ascii="Aptos" w:hAnsi="Aptos"/>
                <w:color w:val="120F0A"/>
                <w:sz w:val="15"/>
              </w:rPr>
              <w:t>Approve city and final budgets</w:t>
            </w:r>
          </w:p>
        </w:tc>
        <w:tc>
          <w:tcPr>
            <w:tcW w:type="dxa" w:w="2154"/>
            <w:tcMar>
              <w:top w:w="105" w:type="dxa"/>
              <w:start w:w="120" w:type="dxa"/>
              <w:bottom w:w="105" w:type="dxa"/>
              <w:end w:w="120" w:type="dxa"/>
            </w:tcMar>
            <w:vAlign w:val="center"/>
          </w:tcPr>
          <w:p>
            <w:pPr>
              <w:spacing w:after="0" w:line="252" w:lineRule="auto"/>
              <w:jc w:val="center"/>
            </w:pPr>
            <w:r>
              <w:rPr>
                <w:rFonts w:ascii="Aptos" w:hAnsi="Aptos"/>
                <w:color w:val="120F0A"/>
                <w:sz w:val="15"/>
              </w:rPr>
              <w:t>Programme and finance</w:t>
            </w:r>
          </w:p>
        </w:tc>
        <w:tc>
          <w:tcPr>
            <w:tcW w:type="dxa" w:w="1701"/>
            <w:tcMar>
              <w:top w:w="105" w:type="dxa"/>
              <w:start w:w="120" w:type="dxa"/>
              <w:bottom w:w="105" w:type="dxa"/>
              <w:end w:w="120" w:type="dxa"/>
            </w:tcMar>
            <w:vAlign w:val="center"/>
          </w:tcPr>
          <w:p>
            <w:pPr>
              <w:spacing w:after="0" w:line="252" w:lineRule="auto"/>
              <w:jc w:val="center"/>
            </w:pPr>
            <w:r>
              <w:rPr>
                <w:rFonts w:ascii="Aptos" w:hAnsi="Aptos"/>
                <w:color w:val="120F0A"/>
                <w:sz w:val="15"/>
              </w:rPr>
              <w:t>Before commitments</w:t>
            </w:r>
          </w:p>
        </w:tc>
        <w:tc>
          <w:tcPr>
            <w:tcW w:type="dxa" w:w="1304"/>
            <w:tcMar>
              <w:top w:w="105" w:type="dxa"/>
              <w:start w:w="120" w:type="dxa"/>
              <w:bottom w:w="105" w:type="dxa"/>
              <w:end w:w="120" w:type="dxa"/>
            </w:tcMar>
            <w:vAlign w:val="center"/>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tcPr>
          <w:p>
            <w:pPr>
              <w:spacing w:after="0" w:line="252" w:lineRule="auto"/>
            </w:pPr>
            <w:r>
              <w:rPr>
                <w:rFonts w:ascii="Aptos" w:hAnsi="Aptos"/>
                <w:color w:val="120F0A"/>
                <w:sz w:val="15"/>
              </w:rPr>
              <w:t>Approved budget and authority record</w:t>
            </w:r>
          </w:p>
        </w:tc>
      </w:tr>
      <w:tr>
        <w:tc>
          <w:tcPr>
            <w:tcW w:type="dxa" w:w="2551"/>
            <w:tcMar>
              <w:top w:w="105" w:type="dxa"/>
              <w:start w:w="120" w:type="dxa"/>
              <w:bottom w:w="105" w:type="dxa"/>
              <w:end w:w="120" w:type="dxa"/>
            </w:tcMar>
            <w:vAlign w:val="center"/>
            <w:shd w:fill="F8F3F1"/>
          </w:tcPr>
          <w:p>
            <w:pPr>
              <w:spacing w:after="0" w:line="252" w:lineRule="auto"/>
            </w:pPr>
            <w:r>
              <w:rPr>
                <w:rFonts w:ascii="Aptos" w:hAnsi="Aptos"/>
                <w:color w:val="120F0A"/>
                <w:sz w:val="15"/>
              </w:rPr>
              <w:t>Set outreach activity targets</w:t>
            </w:r>
          </w:p>
        </w:tc>
        <w:tc>
          <w:tcPr>
            <w:tcW w:type="dxa" w:w="215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Outreach operations</w:t>
            </w:r>
          </w:p>
        </w:tc>
        <w:tc>
          <w:tcPr>
            <w:tcW w:type="dxa" w:w="1701"/>
            <w:tcMar>
              <w:top w:w="105" w:type="dxa"/>
              <w:start w:w="120" w:type="dxa"/>
              <w:bottom w:w="105" w:type="dxa"/>
              <w:end w:w="120" w:type="dxa"/>
            </w:tcMar>
            <w:vAlign w:val="center"/>
            <w:shd w:fill="F8F3F1"/>
          </w:tcPr>
          <w:p>
            <w:pPr>
              <w:spacing w:after="0" w:line="252" w:lineRule="auto"/>
            </w:pPr>
            <w:r>
              <w:rPr>
                <w:rFonts w:ascii="Aptos" w:hAnsi="Aptos"/>
                <w:color w:val="120F0A"/>
                <w:sz w:val="15"/>
              </w:rPr>
              <w:t>Before contributor launch</w:t>
            </w:r>
          </w:p>
        </w:tc>
        <w:tc>
          <w:tcPr>
            <w:tcW w:type="dxa" w:w="1304"/>
            <w:tcMar>
              <w:top w:w="105" w:type="dxa"/>
              <w:start w:w="120" w:type="dxa"/>
              <w:bottom w:w="105" w:type="dxa"/>
              <w:end w:w="120" w:type="dxa"/>
            </w:tcMar>
            <w:vAlign w:val="center"/>
            <w:shd w:fill="F8F3F1"/>
          </w:tcPr>
          <w:p>
            <w:pPr>
              <w:spacing w:after="0" w:line="252" w:lineRule="auto"/>
              <w:jc w:val="center"/>
            </w:pPr>
            <w:r>
              <w:rPr>
                <w:rFonts w:ascii="Aptos" w:hAnsi="Aptos"/>
                <w:color w:val="120F0A"/>
                <w:sz w:val="15"/>
              </w:rPr>
              <w:t>Open</w:t>
            </w:r>
          </w:p>
        </w:tc>
        <w:tc>
          <w:tcPr>
            <w:tcW w:type="dxa" w:w="1814"/>
            <w:tcMar>
              <w:top w:w="105" w:type="dxa"/>
              <w:start w:w="120" w:type="dxa"/>
              <w:bottom w:w="105" w:type="dxa"/>
              <w:end w:w="120" w:type="dxa"/>
            </w:tcMar>
            <w:vAlign w:val="center"/>
            <w:shd w:fill="F8F3F1"/>
          </w:tcPr>
          <w:p>
            <w:pPr>
              <w:spacing w:after="0" w:line="252" w:lineRule="auto"/>
            </w:pPr>
            <w:r>
              <w:rPr>
                <w:rFonts w:ascii="Aptos" w:hAnsi="Aptos"/>
                <w:color w:val="120F0A"/>
                <w:sz w:val="15"/>
              </w:rPr>
              <w:t>Weekly outreach operating brief</w:t>
            </w:r>
          </w:p>
        </w:tc>
      </w:tr>
    </w:tbl>
    <w:p>
      <w:pPr>
        <w:spacing w:after="20"/>
      </w:pPr>
    </w:p>
    <w:p>
      <w:pPr>
        <w:pStyle w:val="Heading2"/>
        <w:keepNext/>
      </w:pPr>
      <w:r>
        <w:t>Change log</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1134"/>
            <w:shd w:fill="97192C"/>
            <w:tcMar>
              <w:top w:w="115" w:type="dxa"/>
              <w:start w:w="120" w:type="dxa"/>
              <w:bottom w:w="115" w:type="dxa"/>
              <w:end w:w="120" w:type="dxa"/>
            </w:tcMar>
            <w:vAlign w:val="center"/>
          </w:tcPr>
          <w:p>
            <w:pPr>
              <w:spacing w:after="0"/>
              <w:jc w:val="center"/>
            </w:pPr>
            <w:r>
              <w:rPr>
                <w:rFonts w:ascii="Aptos" w:hAnsi="Aptos"/>
                <w:b/>
                <w:color w:val="FFFFFF"/>
                <w:sz w:val="18"/>
              </w:rPr>
              <w:t>Version</w:t>
            </w:r>
          </w:p>
        </w:tc>
        <w:tc>
          <w:tcPr>
            <w:tcW w:type="dxa" w:w="1757"/>
            <w:shd w:fill="97192C"/>
            <w:tcMar>
              <w:top w:w="115" w:type="dxa"/>
              <w:start w:w="120" w:type="dxa"/>
              <w:bottom w:w="115" w:type="dxa"/>
              <w:end w:w="120" w:type="dxa"/>
            </w:tcMar>
            <w:vAlign w:val="center"/>
          </w:tcPr>
          <w:p>
            <w:pPr>
              <w:spacing w:after="0"/>
              <w:jc w:val="center"/>
            </w:pPr>
            <w:r>
              <w:rPr>
                <w:rFonts w:ascii="Aptos" w:hAnsi="Aptos"/>
                <w:b/>
                <w:color w:val="FFFFFF"/>
                <w:sz w:val="18"/>
              </w:rPr>
              <w:t>Date</w:t>
            </w:r>
          </w:p>
        </w:tc>
        <w:tc>
          <w:tcPr>
            <w:tcW w:type="dxa" w:w="4139"/>
            <w:shd w:fill="97192C"/>
            <w:tcMar>
              <w:top w:w="115" w:type="dxa"/>
              <w:start w:w="120" w:type="dxa"/>
              <w:bottom w:w="115" w:type="dxa"/>
              <w:end w:w="120" w:type="dxa"/>
            </w:tcMar>
            <w:vAlign w:val="center"/>
          </w:tcPr>
          <w:p>
            <w:pPr>
              <w:spacing w:after="0"/>
              <w:jc w:val="center"/>
            </w:pPr>
            <w:r>
              <w:rPr>
                <w:rFonts w:ascii="Aptos" w:hAnsi="Aptos"/>
                <w:b/>
                <w:color w:val="FFFFFF"/>
                <w:sz w:val="18"/>
              </w:rPr>
              <w:t>Change</w:t>
            </w:r>
          </w:p>
        </w:tc>
        <w:tc>
          <w:tcPr>
            <w:tcW w:type="dxa" w:w="2211"/>
            <w:shd w:fill="97192C"/>
            <w:tcMar>
              <w:top w:w="115" w:type="dxa"/>
              <w:start w:w="120" w:type="dxa"/>
              <w:bottom w:w="115" w:type="dxa"/>
              <w:end w:w="120" w:type="dxa"/>
            </w:tcMar>
            <w:vAlign w:val="center"/>
          </w:tcPr>
          <w:p>
            <w:pPr>
              <w:spacing w:after="0"/>
              <w:jc w:val="center"/>
            </w:pPr>
            <w:r>
              <w:rPr>
                <w:rFonts w:ascii="Aptos" w:hAnsi="Aptos"/>
                <w:b/>
                <w:color w:val="FFFFFF"/>
                <w:sz w:val="18"/>
              </w:rPr>
              <w:t>Approved record</w:t>
            </w:r>
          </w:p>
        </w:tc>
      </w:tr>
      <w:tr>
        <w:tc>
          <w:tcPr>
            <w:tcW w:type="dxa" w:w="1134"/>
            <w:tcMar>
              <w:top w:w="105" w:type="dxa"/>
              <w:start w:w="120" w:type="dxa"/>
              <w:bottom w:w="105" w:type="dxa"/>
              <w:end w:w="120" w:type="dxa"/>
            </w:tcMar>
            <w:vAlign w:val="center"/>
          </w:tcPr>
          <w:p>
            <w:pPr>
              <w:spacing w:after="0" w:line="252" w:lineRule="auto"/>
            </w:pPr>
            <w:r>
              <w:rPr>
                <w:rFonts w:ascii="Aptos" w:hAnsi="Aptos"/>
                <w:color w:val="120F0A"/>
                <w:sz w:val="17"/>
              </w:rPr>
              <w:t>1.0</w:t>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7"/>
              </w:rPr>
              <w:t>10 September 2026</w:t>
            </w:r>
          </w:p>
        </w:tc>
        <w:tc>
          <w:tcPr>
            <w:tcW w:type="dxa" w:w="4139"/>
            <w:tcMar>
              <w:top w:w="105" w:type="dxa"/>
              <w:start w:w="120" w:type="dxa"/>
              <w:bottom w:w="105" w:type="dxa"/>
              <w:end w:w="120" w:type="dxa"/>
            </w:tcMar>
            <w:vAlign w:val="center"/>
          </w:tcPr>
          <w:p>
            <w:pPr>
              <w:spacing w:after="0" w:line="252" w:lineRule="auto"/>
            </w:pPr>
            <w:r>
              <w:rPr>
                <w:rFonts w:ascii="Aptos" w:hAnsi="Aptos"/>
                <w:color w:val="120F0A"/>
                <w:sz w:val="17"/>
              </w:rPr>
              <w:t>Initial internal operating playbook</w:t>
            </w:r>
          </w:p>
        </w:tc>
        <w:tc>
          <w:tcPr>
            <w:tcW w:type="dxa" w:w="2211"/>
            <w:tcMar>
              <w:top w:w="105" w:type="dxa"/>
              <w:start w:w="120" w:type="dxa"/>
              <w:bottom w:w="105" w:type="dxa"/>
              <w:end w:w="120" w:type="dxa"/>
            </w:tcMar>
            <w:vAlign w:val="center"/>
          </w:tcPr>
          <w:p>
            <w:pPr>
              <w:spacing w:after="0" w:line="252" w:lineRule="auto"/>
            </w:pPr>
            <w:r>
              <w:rPr>
                <w:rFonts w:ascii="Aptos" w:hAnsi="Aptos"/>
                <w:color w:val="120F0A"/>
                <w:sz w:val="17"/>
              </w:rPr>
              <w:t>Founding campaign brief and executed partnership agreement</w:t>
            </w:r>
          </w:p>
        </w:tc>
      </w:tr>
      <w:tr>
        <w:tc>
          <w:tcPr>
            <w:tcW w:type="dxa" w:w="1134"/>
            <w:tcMar>
              <w:top w:w="105" w:type="dxa"/>
              <w:start w:w="120" w:type="dxa"/>
              <w:bottom w:w="105" w:type="dxa"/>
              <w:end w:w="120" w:type="dxa"/>
            </w:tcMar>
            <w:vAlign w:val="center"/>
            <w:shd w:fill="F8F3F1"/>
          </w:tcPr>
          <w:p>
            <w:pPr>
              <w:spacing w:after="0" w:line="252" w:lineRule="auto"/>
            </w:pPr>
            <w:r>
              <w:rPr>
                <w:rFonts w:ascii="Aptos" w:hAnsi="Aptos"/>
                <w:color w:val="120F0A"/>
                <w:sz w:val="17"/>
              </w:rPr>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r>
          </w:p>
        </w:tc>
        <w:tc>
          <w:tcPr>
            <w:tcW w:type="dxa" w:w="4139"/>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r>
          </w:p>
        </w:tc>
        <w:tc>
          <w:tcPr>
            <w:tcW w:type="dxa" w:w="221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r>
          </w:p>
        </w:tc>
      </w:tr>
      <w:tr>
        <w:tc>
          <w:tcPr>
            <w:tcW w:type="dxa" w:w="1134"/>
            <w:tcMar>
              <w:top w:w="105" w:type="dxa"/>
              <w:start w:w="120" w:type="dxa"/>
              <w:bottom w:w="105" w:type="dxa"/>
              <w:end w:w="120" w:type="dxa"/>
            </w:tcMar>
            <w:vAlign w:val="center"/>
          </w:tcPr>
          <w:p>
            <w:pPr>
              <w:spacing w:after="0" w:line="252" w:lineRule="auto"/>
            </w:pPr>
            <w:r>
              <w:rPr>
                <w:rFonts w:ascii="Aptos" w:hAnsi="Aptos"/>
                <w:color w:val="120F0A"/>
                <w:sz w:val="17"/>
              </w:rPr>
            </w:r>
          </w:p>
        </w:tc>
        <w:tc>
          <w:tcPr>
            <w:tcW w:type="dxa" w:w="1757"/>
            <w:tcMar>
              <w:top w:w="105" w:type="dxa"/>
              <w:start w:w="120" w:type="dxa"/>
              <w:bottom w:w="105" w:type="dxa"/>
              <w:end w:w="120" w:type="dxa"/>
            </w:tcMar>
            <w:vAlign w:val="center"/>
          </w:tcPr>
          <w:p>
            <w:pPr>
              <w:spacing w:after="0" w:line="252" w:lineRule="auto"/>
              <w:jc w:val="center"/>
            </w:pPr>
            <w:r>
              <w:rPr>
                <w:rFonts w:ascii="Aptos" w:hAnsi="Aptos"/>
                <w:color w:val="120F0A"/>
                <w:sz w:val="17"/>
              </w:rPr>
            </w:r>
          </w:p>
        </w:tc>
        <w:tc>
          <w:tcPr>
            <w:tcW w:type="dxa" w:w="4139"/>
            <w:tcMar>
              <w:top w:w="105" w:type="dxa"/>
              <w:start w:w="120" w:type="dxa"/>
              <w:bottom w:w="105" w:type="dxa"/>
              <w:end w:w="120" w:type="dxa"/>
            </w:tcMar>
            <w:vAlign w:val="center"/>
          </w:tcPr>
          <w:p>
            <w:pPr>
              <w:spacing w:after="0" w:line="252" w:lineRule="auto"/>
              <w:jc w:val="center"/>
            </w:pPr>
            <w:r>
              <w:rPr>
                <w:rFonts w:ascii="Aptos" w:hAnsi="Aptos"/>
                <w:color w:val="120F0A"/>
                <w:sz w:val="17"/>
              </w:rPr>
            </w:r>
          </w:p>
        </w:tc>
        <w:tc>
          <w:tcPr>
            <w:tcW w:type="dxa" w:w="2211"/>
            <w:tcMar>
              <w:top w:w="105" w:type="dxa"/>
              <w:start w:w="120" w:type="dxa"/>
              <w:bottom w:w="105" w:type="dxa"/>
              <w:end w:w="120" w:type="dxa"/>
            </w:tcMar>
            <w:vAlign w:val="center"/>
          </w:tcPr>
          <w:p>
            <w:pPr>
              <w:spacing w:after="0" w:line="252" w:lineRule="auto"/>
              <w:jc w:val="center"/>
            </w:pPr>
            <w:r>
              <w:rPr>
                <w:rFonts w:ascii="Aptos" w:hAnsi="Aptos"/>
                <w:color w:val="120F0A"/>
                <w:sz w:val="17"/>
              </w:rPr>
            </w:r>
          </w:p>
        </w:tc>
      </w:tr>
      <w:tr>
        <w:tc>
          <w:tcPr>
            <w:tcW w:type="dxa" w:w="1134"/>
            <w:tcMar>
              <w:top w:w="105" w:type="dxa"/>
              <w:start w:w="120" w:type="dxa"/>
              <w:bottom w:w="105" w:type="dxa"/>
              <w:end w:w="120" w:type="dxa"/>
            </w:tcMar>
            <w:vAlign w:val="center"/>
            <w:shd w:fill="F8F3F1"/>
          </w:tcPr>
          <w:p>
            <w:pPr>
              <w:spacing w:after="0" w:line="252" w:lineRule="auto"/>
            </w:pPr>
            <w:r>
              <w:rPr>
                <w:rFonts w:ascii="Aptos" w:hAnsi="Aptos"/>
                <w:color w:val="120F0A"/>
                <w:sz w:val="17"/>
              </w:rPr>
            </w:r>
          </w:p>
        </w:tc>
        <w:tc>
          <w:tcPr>
            <w:tcW w:type="dxa" w:w="1757"/>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r>
          </w:p>
        </w:tc>
        <w:tc>
          <w:tcPr>
            <w:tcW w:type="dxa" w:w="4139"/>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r>
          </w:p>
        </w:tc>
        <w:tc>
          <w:tcPr>
            <w:tcW w:type="dxa" w:w="2211"/>
            <w:tcMar>
              <w:top w:w="105" w:type="dxa"/>
              <w:start w:w="120" w:type="dxa"/>
              <w:bottom w:w="105" w:type="dxa"/>
              <w:end w:w="120" w:type="dxa"/>
            </w:tcMar>
            <w:vAlign w:val="center"/>
            <w:shd w:fill="F8F3F1"/>
          </w:tcPr>
          <w:p>
            <w:pPr>
              <w:spacing w:after="0" w:line="252" w:lineRule="auto"/>
              <w:jc w:val="center"/>
            </w:pPr>
            <w:r>
              <w:rPr>
                <w:rFonts w:ascii="Aptos" w:hAnsi="Aptos"/>
                <w:color w:val="120F0A"/>
                <w:sz w:val="17"/>
              </w:rPr>
            </w:r>
          </w:p>
        </w:tc>
      </w:tr>
    </w:tbl>
    <w:p>
      <w:pPr>
        <w:spacing w:after="20"/>
      </w:pPr>
    </w:p>
    <w:p>
      <w:pPr>
        <w:pStyle w:val="Heading2"/>
        <w:keepNext/>
      </w:pPr>
      <w:r>
        <w:t>Primary source references</w:t>
      </w:r>
    </w:p>
    <w:p>
      <w:pPr>
        <w:pStyle w:val="ListBullet"/>
        <w:spacing w:after="60" w:line="259" w:lineRule="auto"/>
      </w:pPr>
      <w:r>
        <w:rPr>
          <w:rFonts w:ascii="Aptos" w:hAnsi="Aptos"/>
          <w:color w:val="120F0A"/>
          <w:sz w:val="18"/>
        </w:rPr>
        <w:t>Partnership Agreement for Co Organisation between Techfest IIT Bombay and GOBITSNBYTES FOUNDATION, executed September 2026, including Schedule 1 and Addenda A and B.</w:t>
      </w:r>
    </w:p>
    <w:p>
      <w:pPr>
        <w:pStyle w:val="ListBullet"/>
        <w:spacing w:after="60" w:line="259" w:lineRule="auto"/>
      </w:pPr>
      <w:r>
        <w:rPr>
          <w:rFonts w:ascii="Aptos" w:hAnsi="Aptos"/>
          <w:color w:val="120F0A"/>
          <w:sz w:val="18"/>
        </w:rPr>
        <w:t>GOBITSNBYTES FOUNDATION e-Memorandum of Association and e-Articles of Association.</w:t>
      </w:r>
    </w:p>
    <w:p>
      <w:pPr>
        <w:pStyle w:val="ListBullet"/>
        <w:spacing w:after="60" w:line="259" w:lineRule="auto"/>
      </w:pPr>
      <w:r>
        <w:rPr>
          <w:rFonts w:ascii="Aptos" w:hAnsi="Aptos"/>
          <w:color w:val="120F0A"/>
          <w:sz w:val="18"/>
        </w:rPr>
        <w:t>Foundation policies on parental consent, dual adult supervision, overnight hackathon safety, media consent, sponsor execution, cash prohibition, sponsor data privacy, local sponsorship authority, and dual-signature controls.</w:t>
      </w:r>
    </w:p>
    <w:p>
      <w:pPr>
        <w:pStyle w:val="ListBullet"/>
        <w:spacing w:after="60" w:line="259" w:lineRule="auto"/>
      </w:pPr>
      <w:r>
        <w:rPr>
          <w:rFonts w:ascii="Aptos" w:hAnsi="Aptos"/>
          <w:color w:val="120F0A"/>
          <w:sz w:val="18"/>
        </w:rPr>
        <w:t>bits&amp;bytes™ design system and brand usage rules.</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left"/>
      </w:tabs>
      <w:jc w:val="right"/>
    </w:pPr>
    <w:r>
      <w:rPr>
        <w:rFonts w:ascii="Aptos" w:hAnsi="Aptos"/>
        <w:color w:val="595959"/>
        <w:sz w:val="16"/>
      </w:rPr>
      <w:t>bits&amp;bytes™ Originals  |  internal operating playbook</w:t>
    </w:r>
    <w:r>
      <w:tab/>
    </w:r>
    <w:r>
      <w:rPr>
        <w:color w:val="595959"/>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20F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bits&amp;bytes Originals Techfest 2026 operating playbook</dc:title>
  <dc:subject>Internal source of truth for twelve zonal hackathons and the IIT Bombay final</dc:subject>
  <dc:creator>GOBITSNBYTES FOUNDATION</dc:creator>
  <cp:keywords>bits&amp;bytes, Techfest, IIT Bombay, hackathon, sponsorship, outreach</cp:keywords>
  <dc:description>generated by python-docx</dc:description>
  <cp:lastModifiedBy/>
  <cp:revision>1</cp:revision>
  <dcterms:created xsi:type="dcterms:W3CDTF">2013-12-23T23:15:00Z</dcterms:created>
  <dcterms:modified xsi:type="dcterms:W3CDTF">2013-12-23T23:15:00Z</dcterms:modified>
  <cp:category/>
</cp:coreProperties>
</file>