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pauj4atwc4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🇦🇪 UAE — MARKET DATA &amp; LIQUIDITY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bcomrb9tuu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Indicates ease of entry and exit from real estate investment, availability of transaction data, and reliability of liquidity signals.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6a456d8dyd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Official Transaction Visibility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Real estate transaction data in the UAE is published at the </w:t>
      </w:r>
      <w:r w:rsidDel="00000000" w:rsidR="00000000" w:rsidRPr="00000000">
        <w:rPr>
          <w:b w:val="1"/>
          <w:bCs w:val="1"/>
          <w:rtl w:val="0"/>
        </w:rPr>
        <w:t xml:space="preserve">emirate level</w:t>
      </w:r>
      <w:r w:rsidDel="00000000" w:rsidR="00000000" w:rsidRPr="00000000">
        <w:rPr>
          <w:rtl w:val="0"/>
        </w:rPr>
        <w:t xml:space="preserve">, not as a unified national dataset.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Dubai provides the most transparent and frequent transaction reporting through the </w:t>
      </w:r>
      <w:r w:rsidDel="00000000" w:rsidR="00000000" w:rsidRPr="00000000">
        <w:rPr>
          <w:b w:val="1"/>
          <w:bCs w:val="1"/>
          <w:rtl w:val="0"/>
        </w:rPr>
        <w:t xml:space="preserve">Dubai Land Department (DLD)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jlbl0t9lzp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Official Data Exists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Dubai Land Department publishes: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property transactions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transaction value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Property-level transaction records (via DLD / Dubai REST platforms)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Recent official releases indicate: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~270,000 transactions recorded in Dubai (2025)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transaction value exceeding AED 900 billion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Note)</w:t>
        <w:br w:type="textWrapping"/>
      </w:r>
      <w:r w:rsidDel="00000000" w:rsidR="00000000" w:rsidRPr="00000000">
        <w:rPr>
          <w:rtl w:val="0"/>
        </w:rPr>
        <w:t xml:space="preserve">Figures above are based on official releases and should be treated as </w:t>
      </w:r>
      <w:r w:rsidDel="00000000" w:rsidR="00000000" w:rsidRPr="00000000">
        <w:rPr>
          <w:b w:val="1"/>
          <w:bCs w:val="1"/>
          <w:rtl w:val="0"/>
        </w:rPr>
        <w:t xml:space="preserve">approximate where exact dataset reference is not specified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At the national level, macro indicators are available through: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Federal Competitiveness and Statistics Centre (FCSC)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xv9jm8ndeb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Official Data Does NOT Exist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officially published government metric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time-to-sell property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Days-on-market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liquidity ratios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u8qcm2f4bp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Emirate-Level Concentration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Market transparency and transaction reporting are </w:t>
      </w:r>
      <w:r w:rsidDel="00000000" w:rsidR="00000000" w:rsidRPr="00000000">
        <w:rPr>
          <w:b w:val="1"/>
          <w:bCs w:val="1"/>
          <w:rtl w:val="0"/>
        </w:rPr>
        <w:t xml:space="preserve">concentrated in specific emirates</w:t>
      </w:r>
      <w:r w:rsidDel="00000000" w:rsidR="00000000" w:rsidRPr="00000000">
        <w:rPr>
          <w:rtl w:val="0"/>
        </w:rPr>
        <w:t xml:space="preserve">, primarily: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Dubai (most active and data-transparent market)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Other emirates may have </w:t>
      </w:r>
      <w:r w:rsidDel="00000000" w:rsidR="00000000" w:rsidRPr="00000000">
        <w:rPr>
          <w:b w:val="1"/>
          <w:bCs w:val="1"/>
          <w:rtl w:val="0"/>
        </w:rPr>
        <w:t xml:space="preserve">limited publicly available transaction data</w:t>
      </w:r>
      <w:r w:rsidDel="00000000" w:rsidR="00000000" w:rsidRPr="00000000">
        <w:rPr>
          <w:rtl w:val="0"/>
        </w:rPr>
        <w:t xml:space="preserve">, making cross-emirate liquidity comparison difficult.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skhiakan9v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Liquidity Cannot Be Judged Only from Volume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Transaction volume alone does not fully represent liquidity because: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official time-to-sell metric is available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standardized absorption or turnover indicators are published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concentration may be skewed toward specific zones or asset types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pkk3nai0g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Advisory Caution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Liquidity assessment in the UAE must be interpreted carefully due to: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Emirate-level data fragmentation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standardized liquidity metrics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Dependence on transaction volume as primary observable indicator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elc7lvstjg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Needs Confirmation (Analytical Context)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transaction data reflects specific property segment (residential / commercial / off-plan)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 of transactions within designated zones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conditions at time of entry/exit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pobp3r9mze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Sources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https://dubailand.gov.ae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https://www.fcsc.gov.ae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puuj5cnemz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Verification Date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13/03/2026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hguaoqdooc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Escalation Note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Liquidity data limitations are structural and clearly observable from official sources. No conflicting or unclear regulatory information.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ubailand.gov.ae" TargetMode="External"/><Relationship Id="rId8" Type="http://schemas.openxmlformats.org/officeDocument/2006/relationships/hyperlink" Target="https://www.fcsc.gov.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5Z+AUGC6F90MLxPhJeOlxVfXFQ==">CgMxLjAyDmguanBhdWo0YXR3YzQ4Mg5oLjJiY29tcmI5dHV1YTIOaC5kNmE0NTZkOGR5ZHoyDmgub2psYmwwdDlsenAzMg5oLmF4djlqbThuZGVicDIOaC5jdThxY20yZjRicGgyDmgueXNraGlha2FuOXY2Mg1oLmFwa2szbmFpMGc0Mg5oLjFlbGM3bHZzdGpnMzIOaC5icG9icDNyOW16ZWwyDmguNHB1dWo1Y25lbXpxMg5oLmhoZ3Vhb3Fkb29jeDgAciExcUM4ekhIbkJqLTRWSTRCQjNLTEFTNHk1cVFZWHNLO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