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7a22hy6r3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🇦🇺 AUSTRALIA — OWNERSHIP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slgi7l3bz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whether foreign investors can legally acquire property, the approval process required, and restrictions on property type and ownership rights.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77pprj4rv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Legal Ownership Framework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Australia primarily operates under a </w:t>
      </w:r>
      <w:r w:rsidDel="00000000" w:rsidR="00000000" w:rsidRPr="00000000">
        <w:rPr>
          <w:b w:val="1"/>
          <w:bCs w:val="1"/>
          <w:rtl w:val="0"/>
        </w:rPr>
        <w:t xml:space="preserve">freehold ownership system</w:t>
      </w:r>
      <w:r w:rsidDel="00000000" w:rsidR="00000000" w:rsidRPr="00000000">
        <w:rPr>
          <w:rtl w:val="0"/>
        </w:rPr>
        <w:t xml:space="preserve">, where ownership includes both land and improvements.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Leasehold structures exist in specific jurisdictions, including: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Australian Capital Territory (ACT)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Northern Territory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9pckpjouz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Foreign Ownership Rules (Federal Level)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Foreign persons must obtain approval from the </w:t>
      </w:r>
      <w:r w:rsidDel="00000000" w:rsidR="00000000" w:rsidRPr="00000000">
        <w:rPr>
          <w:b w:val="1"/>
          <w:bCs w:val="1"/>
          <w:rtl w:val="0"/>
        </w:rPr>
        <w:t xml:space="preserve">Foreign Investment Review Board (FIRB)</w:t>
      </w:r>
      <w:r w:rsidDel="00000000" w:rsidR="00000000" w:rsidRPr="00000000">
        <w:rPr>
          <w:rtl w:val="0"/>
        </w:rPr>
        <w:t xml:space="preserve"> before acquiring residential real estate.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Under current rules, foreign buyers are generally: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to acquire: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dwellings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Vacant land for development (subject to construction conditions)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Restricted from acquiring: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(existing) residential dwellings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Limited exceptions may apply, including: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residents purchasing a principal place of residence (subject to conditions)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Redevelopment cases where existing dwellings are demolished and replaced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9jg1s8vff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FIRB Approval Framework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FIRB approval is </w:t>
      </w:r>
      <w:r w:rsidDel="00000000" w:rsidR="00000000" w:rsidRPr="00000000">
        <w:rPr>
          <w:b w:val="1"/>
          <w:bCs w:val="1"/>
          <w:rtl w:val="0"/>
        </w:rPr>
        <w:t xml:space="preserve">mandatory prior to acquisition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Approvals are </w:t>
      </w:r>
      <w:r w:rsidDel="00000000" w:rsidR="00000000" w:rsidRPr="00000000">
        <w:rPr>
          <w:b w:val="1"/>
          <w:bCs w:val="1"/>
          <w:rtl w:val="0"/>
        </w:rPr>
        <w:t xml:space="preserve">conditional</w:t>
      </w:r>
      <w:r w:rsidDel="00000000" w:rsidR="00000000" w:rsidRPr="00000000">
        <w:rPr>
          <w:rtl w:val="0"/>
        </w:rPr>
        <w:t xml:space="preserve"> and may include: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timelines (for vacant land)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 on holding or resale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reporting requirements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cpkslpid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State and Territory Considerations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While ownership approval is governed at the </w:t>
      </w:r>
      <w:r w:rsidDel="00000000" w:rsidR="00000000" w:rsidRPr="00000000">
        <w:rPr>
          <w:b w:val="1"/>
          <w:bCs w:val="1"/>
          <w:rtl w:val="0"/>
        </w:rPr>
        <w:t xml:space="preserve">federal level (FIRB)</w:t>
      </w:r>
      <w:r w:rsidDel="00000000" w:rsidR="00000000" w:rsidRPr="00000000">
        <w:rPr>
          <w:rtl w:val="0"/>
        </w:rPr>
        <w:t xml:space="preserve">, property regulation also involves: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State-based land title systems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State-level taxes and surcharges (separate from ownership eligibility)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State-level rules do not determine foreign ownership eligibility but may affect transaction costs, taxes, and ongoing holding obligations.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xwac8rwf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Leasehold Structure (if applicable)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Leasehold (Crown lease) systems operate in certain jurisdictions: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in ACT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lease terms up to </w:t>
      </w:r>
      <w:r w:rsidDel="00000000" w:rsidR="00000000" w:rsidRPr="00000000">
        <w:rPr>
          <w:b w:val="1"/>
          <w:bCs w:val="1"/>
          <w:rtl w:val="0"/>
        </w:rPr>
        <w:t xml:space="preserve">99 years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Advisory Caution / Red Flags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ownership is subject to: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FIRB approval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Property-type restrictions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Ongoing compliance obligations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Misclassification of property (new vs established) may result in: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Penalties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Forced divestment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de7nrchhf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Needs Legal Confirmation (Live Case)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FIRB approval eligibility for the transaction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classification (new vs established dwelling)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development conditions (if vacant land)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state-level requirements and charges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okayeamkr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Title Registry Authority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title registration is administered at the </w:t>
      </w:r>
      <w:r w:rsidDel="00000000" w:rsidR="00000000" w:rsidRPr="00000000">
        <w:rPr>
          <w:b w:val="1"/>
          <w:bCs w:val="1"/>
          <w:rtl w:val="0"/>
        </w:rPr>
        <w:t xml:space="preserve">state and territory level</w:t>
      </w:r>
      <w:r w:rsidDel="00000000" w:rsidR="00000000" w:rsidRPr="00000000">
        <w:rPr>
          <w:rtl w:val="0"/>
        </w:rPr>
        <w:t xml:space="preserve"> through Land Titles Offices.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nek7vcgpf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Sources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https://foreigninvestment.gov.au</w:t>
          <w:br w:type="textWrapping"/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https://www.ato.gov.au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fbj1on090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Verification Date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09/04/2026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bfeakz4xu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Escalation Note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Ownership framework is clearly defined under FIRB regulations and state land systems. Variations relate to property classification and compliance conditions, not unresolved legal ambiguity.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eigninvestment.gov.au" TargetMode="External"/><Relationship Id="rId7" Type="http://schemas.openxmlformats.org/officeDocument/2006/relationships/hyperlink" Target="https://www.ato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