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z1z4m94zd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🇦🇺 AUSTRALIA — TRANSACTION COSTS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adblxzso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total acquisition cost, distinguishes mandatory government charges from negotiable costs, and identifies additional costs applicable to foreign buyers.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wei7jom5l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Official Government Fees (Mandatory)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Transfer duties (stamp duty) are imposed at the state and territory level, with rates varying by jurisdiction.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Rates vary by state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Generally calculated as a percentage of property value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There is no unified national transfer tax; all acquisition duties are determined at the state and territory level.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buyers are subject to </w:t>
      </w:r>
      <w:r w:rsidDel="00000000" w:rsidR="00000000" w:rsidRPr="00000000">
        <w:rPr>
          <w:b w:val="1"/>
          <w:bCs w:val="1"/>
          <w:rtl w:val="0"/>
        </w:rPr>
        <w:t xml:space="preserve">additional surcharge purchaser duty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South Wales → ~8% surcharge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Rates vary across states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persons must pay an </w:t>
      </w:r>
      <w:r w:rsidDel="00000000" w:rsidR="00000000" w:rsidRPr="00000000">
        <w:rPr>
          <w:b w:val="1"/>
          <w:bCs w:val="1"/>
          <w:rtl w:val="0"/>
        </w:rPr>
        <w:t xml:space="preserve">application fee for FIRB approval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amount depends on property value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Payable prior to acquisition approval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Note)</w:t>
        <w:br w:type="textWrapping"/>
      </w:r>
      <w:r w:rsidDel="00000000" w:rsidR="00000000" w:rsidRPr="00000000">
        <w:rPr>
          <w:rtl w:val="0"/>
        </w:rPr>
        <w:t xml:space="preserve">These charges are </w:t>
      </w:r>
      <w:r w:rsidDel="00000000" w:rsidR="00000000" w:rsidRPr="00000000">
        <w:rPr>
          <w:b w:val="1"/>
          <w:bCs w:val="1"/>
          <w:rtl w:val="0"/>
        </w:rPr>
        <w:t xml:space="preserve">mandatory for foreign buyers</w:t>
      </w:r>
      <w:r w:rsidDel="00000000" w:rsidR="00000000" w:rsidRPr="00000000">
        <w:rPr>
          <w:rtl w:val="0"/>
        </w:rPr>
        <w:t xml:space="preserve"> and significantly increase total transaction cost.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gcu7ljjdw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Common Market Practice Costs (Negotiable)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(Market Practice)</w:t>
        <w:br w:type="textWrapping"/>
        <w:t xml:space="preserve">Real Estate Agent / Broker Fees: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1.5% – 3%</w:t>
      </w:r>
      <w:r w:rsidDel="00000000" w:rsidR="00000000" w:rsidRPr="00000000">
        <w:rPr>
          <w:rtl w:val="0"/>
        </w:rPr>
        <w:t xml:space="preserve"> of property value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paid by seller (not always by buyer)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Note)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Fees vary by state and transaction structure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Negotiable between parties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xivi6inv5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Optional Professional Costs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(Market Practice / Optional)</w:t>
        <w:br w:type="textWrapping"/>
        <w:t xml:space="preserve">Legal / Conveyancing Fees: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AUD 1,000 – AUD 3,000+</w:t>
      </w:r>
      <w:r w:rsidDel="00000000" w:rsidR="00000000" w:rsidRPr="00000000">
        <w:rPr>
          <w:rtl w:val="0"/>
        </w:rPr>
        <w:t xml:space="preserve"> depending on complexity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Note)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representation is </w:t>
      </w:r>
      <w:r w:rsidDel="00000000" w:rsidR="00000000" w:rsidRPr="00000000">
        <w:rPr>
          <w:b w:val="1"/>
          <w:bCs w:val="1"/>
          <w:rtl w:val="0"/>
        </w:rPr>
        <w:t xml:space="preserve">not legally mandatory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commonly used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Conveyancing is standard practice in most transactions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39gw4yzcc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Advisory Caution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Transaction costs vary significantly by: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or territory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value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buyer status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Foreign buyers face </w:t>
      </w:r>
      <w:r w:rsidDel="00000000" w:rsidR="00000000" w:rsidRPr="00000000">
        <w:rPr>
          <w:b w:val="1"/>
          <w:bCs w:val="1"/>
          <w:rtl w:val="0"/>
        </w:rPr>
        <w:t xml:space="preserve">materially higher acquisition costs</w:t>
      </w:r>
      <w:r w:rsidDel="00000000" w:rsidR="00000000" w:rsidRPr="00000000">
        <w:rPr>
          <w:rtl w:val="0"/>
        </w:rPr>
        <w:t xml:space="preserve"> due to: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Surcharge duties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FIRB application fees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am3wrooy5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Needs Confirmation (Transaction-Level)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state-level stamp duty rates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buyer surcharge applicable in specific state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FIRB application fee based on property value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and conveyancing fees for specific transaction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wrv2fvwz3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Sources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https://foreigninvestment.gov.au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cwyikqjgm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Verification Date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yo3l43s4x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Escalation Note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Transaction cost structure is clearly defined. Variations arise from state-level differences and property value, not from unclear or conflicting rules.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eigninvestment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