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vcsg325hw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🇦🇺 AUSTRALIA — TAX STRUCTURE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tc9sfjbut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tax exposure on rental income, property disposal, ownership holding costs, and transaction-related taxes for non-resident investors.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sfhow9k9r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Note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Context)</w:t>
        <w:br w:type="textWrapping"/>
      </w:r>
      <w:r w:rsidDel="00000000" w:rsidR="00000000" w:rsidRPr="00000000">
        <w:rPr>
          <w:rtl w:val="0"/>
        </w:rPr>
        <w:t xml:space="preserve">This note applies to </w:t>
      </w:r>
      <w:r w:rsidDel="00000000" w:rsidR="00000000" w:rsidRPr="00000000">
        <w:rPr>
          <w:b w:val="1"/>
          <w:bCs w:val="1"/>
          <w:rtl w:val="0"/>
        </w:rPr>
        <w:t xml:space="preserve">non-resident individual ownership of residential real estate</w:t>
      </w:r>
      <w:r w:rsidDel="00000000" w:rsidR="00000000" w:rsidRPr="00000000">
        <w:rPr>
          <w:rtl w:val="0"/>
        </w:rPr>
        <w:t xml:space="preserve"> and does not cover corporate/entity structures.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qivnm6quu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Federal Tax Position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5yhdbv6u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Rental Income Tax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Rental income earned by non-residents is taxed at </w:t>
      </w:r>
      <w:r w:rsidDel="00000000" w:rsidR="00000000" w:rsidRPr="00000000">
        <w:rPr>
          <w:b w:val="1"/>
          <w:bCs w:val="1"/>
          <w:rtl w:val="0"/>
        </w:rPr>
        <w:t xml:space="preserve">progressive income tax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tax-free threshold applies to non-residents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applies from the first dollar of income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marginal rate: </w:t>
      </w: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(Medicare levy generally not applicable to non-residents)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4c2uvwlf7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Capital Gains Tax (CGT)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Capital gains from disposal of Australian real estate are taxed under the </w:t>
      </w:r>
      <w:r w:rsidDel="00000000" w:rsidR="00000000" w:rsidRPr="00000000">
        <w:rPr>
          <w:b w:val="1"/>
          <w:bCs w:val="1"/>
          <w:rtl w:val="0"/>
        </w:rPr>
        <w:t xml:space="preserve">capital gains tax regime as part of income tax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CGT discount</w:t>
      </w:r>
      <w:r w:rsidDel="00000000" w:rsidR="00000000" w:rsidRPr="00000000">
        <w:rPr>
          <w:rtl w:val="0"/>
        </w:rPr>
        <w:t xml:space="preserve"> available for non-residents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capital gain is taxable at applicable non-resident income tax rates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(Clarification)</w:t>
        <w:br w:type="textWrapping"/>
      </w:r>
      <w:r w:rsidDel="00000000" w:rsidR="00000000" w:rsidRPr="00000000">
        <w:rPr>
          <w:rtl w:val="0"/>
        </w:rPr>
        <w:t xml:space="preserve">CGT is not a separate tax; it forms part of the </w:t>
      </w:r>
      <w:r w:rsidDel="00000000" w:rsidR="00000000" w:rsidRPr="00000000">
        <w:rPr>
          <w:b w:val="1"/>
          <w:bCs w:val="1"/>
          <w:rtl w:val="0"/>
        </w:rPr>
        <w:t xml:space="preserve">income tax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Federal income tax (including capital gains) applies at the national level, while stamp duty, land tax, and foreign buyer surcharges are imposed at the state and territory level.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hh51fptpf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State and Territory Taxes / Charges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Property-related taxes and charges are imposed at the </w:t>
      </w:r>
      <w:r w:rsidDel="00000000" w:rsidR="00000000" w:rsidRPr="00000000">
        <w:rPr>
          <w:b w:val="1"/>
          <w:bCs w:val="1"/>
          <w:rtl w:val="0"/>
        </w:rPr>
        <w:t xml:space="preserve">state and territory level</w:t>
      </w:r>
      <w:r w:rsidDel="00000000" w:rsidR="00000000" w:rsidRPr="00000000">
        <w:rPr>
          <w:rtl w:val="0"/>
        </w:rPr>
        <w:t xml:space="preserve">, and vary by jurisdiction.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jhr7ektuj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Stamp Duty (Transfer Duty)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Payable on acquisition of property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Rates vary by state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kft5y71d8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Foreign Buyer Surcharge Duty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duty applied to foreign purchasers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approximately </w:t>
      </w:r>
      <w:r w:rsidDel="00000000" w:rsidR="00000000" w:rsidRPr="00000000">
        <w:rPr>
          <w:b w:val="1"/>
          <w:bCs w:val="1"/>
          <w:rtl w:val="0"/>
        </w:rPr>
        <w:t xml:space="preserve">8% in New South Wales</w:t>
      </w:r>
      <w:r w:rsidDel="00000000" w:rsidR="00000000" w:rsidRPr="00000000">
        <w:rPr>
          <w:rtl w:val="0"/>
        </w:rPr>
        <w:t xml:space="preserve"> (varies by state)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6y2hs7web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 Tax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tax on property ownership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rates or surcharges often apply to foreign owners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pbtgziji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Property-Related Ongoing Costs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 tax (state-level)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Council rates (local government charges)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Note)</w:t>
        <w:br w:type="textWrapping"/>
      </w: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ownership-related costs</w:t>
      </w:r>
      <w:r w:rsidDel="00000000" w:rsidR="00000000" w:rsidRPr="00000000">
        <w:rPr>
          <w:rtl w:val="0"/>
        </w:rPr>
        <w:t xml:space="preserve">, not income taxes.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4pmxnfw00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Taxes Not Imposed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Australia does </w:t>
      </w:r>
      <w:r w:rsidDel="00000000" w:rsidR="00000000" w:rsidRPr="00000000">
        <w:rPr>
          <w:b w:val="1"/>
          <w:bCs w:val="1"/>
          <w:rtl w:val="0"/>
        </w:rPr>
        <w:t xml:space="preserve">not impose estate or inheritance tax</w:t>
      </w:r>
      <w:r w:rsidDel="00000000" w:rsidR="00000000" w:rsidRPr="00000000">
        <w:rPr>
          <w:rtl w:val="0"/>
        </w:rPr>
        <w:t xml:space="preserve"> on property ownership.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1at55egkg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Advisory Caution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(Advisory Caution)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treatment differs between: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Federal (income and CGT)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(stamp duty, land tax, surcharges)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investors are typically subject to: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state-level charges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CGT discount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rkprxqemg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Needs Legal Confirmation (Live Case)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state-level stamp duty and surcharge rates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tax obligations for specific property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residency classification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eligibility and taxable income calculation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g8ob80vg2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Sources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https://www.ato.gov.au</w:t>
          <w:br w:type="textWrapping"/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https://foreigninvestment.gov.au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rgfp10jxa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Verification Date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09/04/2026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405izbekk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Escalation Note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Tax framework is clearly defined at both federal and state levels. Variations arise from jurisdiction and transaction specifics, not from unresolved legal ambiguity.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to.gov.au" TargetMode="External"/><Relationship Id="rId7" Type="http://schemas.openxmlformats.org/officeDocument/2006/relationships/hyperlink" Target="https://foreigninvestment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