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gz4pmhauc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🇹🇭 THAILAND — MARKET DATA &amp; LIQUIDITY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cfjyqorly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this matters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Indicates availability of official housing data, transparency of the property market, and reliability of liquidity indicators.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29fpuj5e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Official Transaction Visibility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Real estate transaction data in Thailand is recorded and published through: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 of Lands (DOL)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of Thailand (BOT)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khalbzyn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Official Data Exists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(Official Fact)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Government sources provide: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transfer registrations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Mortgage and lending statistics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market indicators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Bank of Thailand publishes: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Housing loan data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market trends and financial indicators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u53osgdo9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Official Data Does NOT Exist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standardized national metric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time-to-sell property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liquidity ratio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89qi9cvkr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Market Structure / Liquidity Context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Market activity is concentrated in: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Bangkok Metropolitan Region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tourist destinations (e.g., Phuket, Pattaya)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Liquidity varies significantly across: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Urban vs secondary markets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Condominium vs landed property segments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3dm93f6b5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Why Liquidity Cannot Be Judged Only from Volume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(Advisory Caution)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 volume alone is not sufficient because: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demand is location-dependent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standardized time-to-sell data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ownership restrictions impact resale market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9azr7jlqe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Advisory Caution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(Advisory Caution)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Liquidity assessment should consider: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Regional demand concentration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type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ownership limitations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srnoq8vvq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Needs Confirmation (Analytical Context)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activity in specific location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for specific property type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conditions at time of entry/exit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k0h9k7hlo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Sources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https://www.dol.go.th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https://www.bot.or.th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56clw2tr4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Verification Date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07</w:t>
      </w:r>
      <w:r w:rsidDel="00000000" w:rsidR="00000000" w:rsidRPr="00000000">
        <w:rPr>
          <w:rtl w:val="0"/>
        </w:rPr>
        <w:t xml:space="preserve">/04/2026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qtbhv249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Escalation Note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–</w:t>
        <w:br w:type="textWrapping"/>
        <w:t xml:space="preserve">Market data availability and limitations are clearly defined through official sources.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ol.go.th" TargetMode="External"/><Relationship Id="rId7" Type="http://schemas.openxmlformats.org/officeDocument/2006/relationships/hyperlink" Target="https://www.bot.or.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