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1F27" w:rsidRDefault="00761F27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공인중개사법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</w:p>
    <w:p w:rsidR="00761F27" w:rsidRDefault="00761F2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10.]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34401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4. 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761F27" w:rsidRDefault="00761F2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총괄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부동산개발산업과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044-201-3412, 3449</w:t>
      </w:r>
    </w:p>
    <w:p w:rsidR="00761F27" w:rsidRDefault="00761F2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시험</w:t>
      </w:r>
      <w:r>
        <w:rPr>
          <w:rFonts w:ascii="HYSMyeongJo-Medium" w:hAnsi="HYSMyeongJo-Medium" w:cs="HYSMyeongJo-Medium"/>
          <w:color w:val="auto"/>
          <w:sz w:val="18"/>
          <w:szCs w:val="18"/>
        </w:rPr>
        <w:t>,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교육</w:t>
      </w:r>
      <w:r>
        <w:rPr>
          <w:rFonts w:ascii="HYSMyeongJo-Medium" w:hAnsi="HYSMyeongJo-Medium" w:cs="HYSMyeongJo-Medium"/>
          <w:color w:val="auto"/>
          <w:sz w:val="18"/>
          <w:szCs w:val="18"/>
        </w:rPr>
        <w:t>,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광고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부동산개발산업과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044-201-3435, 3453</w:t>
      </w:r>
    </w:p>
    <w:p w:rsidR="00761F27" w:rsidRDefault="00761F2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「공인중개사법」에서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정책심의위원회의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「공인중개사법」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11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</w:t>
      </w:r>
      <w:r>
        <w:rPr>
          <w:rFonts w:ascii="HYSMyeongJo-Medium" w:hAnsi="HYSMyeongJo-Medium" w:cs="HYSMyeongJo-Medium"/>
          <w:sz w:val="20"/>
          <w:szCs w:val="20"/>
        </w:rPr>
        <w:t>교통부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일반직공무원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공인회계사의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공인중개사협회에서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「비영리민간단체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비영리민간단체에서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「소비자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부동산ㆍ금융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제척ㆍ기피ㆍ회피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심의ㆍ의결에서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제척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除斥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공동권리자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위원이나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回避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解囑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심의위원회의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開議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긴급하게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듣거나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전문가에게는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수당과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운영세칙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3. 15., 2014. 7. 28.&gt;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「입목에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광업재단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광업재단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3. 15.&gt;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국토교통부장관이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자격시험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시험문제를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9. 10., 2013. 3. 23.,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7. 28.&gt;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일부면제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차시험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차시험으로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차시험은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차시험에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시험시행기관장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차시험과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2008. 9. 10.,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차시험과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단답형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논문형으로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단답형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차시험을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시험과목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차시험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차시험의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시험과목은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시행ㆍ공고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시험은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당해연도의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시험일시ㆍ시험방법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일반일간신문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일간신문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3., 2010. 1. 27., 2020. 11. 24.&gt;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시험장소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시험방법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시험시행일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5. 1., 2020. 11. 24.&gt;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응시원서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응시하고자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응시원서를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2013. 12. 4.&gt;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과오납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過誤納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시험시행기관의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시험시행일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부동산중개업무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풍부한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시험문제의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출제ㆍ선정ㆍ검토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출제위원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시험시행기관장이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시험문제의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출제ㆍ선정ㆍ검토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크게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떨어뜨리는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시험시행기관장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시험시행기관장이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합격자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차시험에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매과목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매과목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40</w:t>
      </w:r>
      <w:r>
        <w:rPr>
          <w:rFonts w:ascii="HYSMyeongJo-Medium" w:eastAsia="HY중고딕" w:hAnsi="HYSMyeongJo-Medium" w:cs="HYSMyeongJo-Medium"/>
          <w:sz w:val="20"/>
          <w:szCs w:val="20"/>
        </w:rPr>
        <w:t>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전과목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</w:t>
      </w:r>
      <w:r>
        <w:rPr>
          <w:rFonts w:ascii="HYSMyeongJo-Medium" w:eastAsia="HY중고딕" w:hAnsi="HYSMyeongJo-Medium" w:cs="HYSMyeongJo-Medium"/>
          <w:sz w:val="20"/>
          <w:szCs w:val="20"/>
        </w:rPr>
        <w:t>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득점한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매과목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매과목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시험시행기관장이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선발예정인원을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매과목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선발예정인원의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총득점의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고득점자순으로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동점자로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선발예정인원을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동점자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형평성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최소선발인원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최소선발인원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차시험에서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매과목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최소선발인원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매과목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최소선발인원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최소선발비율의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총득점의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고득점자순으로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시험수당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출제위원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&lt;2011. 8. 19.&gt;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9. 10., 2009. 7. 1., 2011. 3. 15., 2011. 8. 19., 2014. 10. 14., 2016. 1. 12.&gt;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가설건축물대장은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준공검사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사용승인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소유ㆍ전세ㆍ임대차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「상법」상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「협동조합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사회적협동조합은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합명회사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무한책임사원을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소유ㆍ전세ㆍ임대차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8. 19.&gt;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9. 10., 2011. 8. 19., 2013. 3. 23., 2014. 7. 28.&gt;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ㆍ군ㆍ구를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시ㆍ군ㆍ구별로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시ㆍ군ㆍ구별로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9. 10.&gt;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「전자정부법」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6. 12., 2008. 2. 29., 2008. 9. 10., 2010. 5. 4., 2010. 11. 2., 2011. 3. 15., 2012. 6. 29., 2013. 3. 23.&gt;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6. 29.&gt;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&lt;2006. 6. 12.&gt;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수료확인증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소유ㆍ전세ㆍ임대차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건축물대장에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12. 4.,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4., 2014. 7. 28.&gt;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7. 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도배ㆍ이사업체의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28., 2020. 8. 21.&gt;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연락처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등록번호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21.&gt;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면적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중개대상물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층수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사용승인ㆍ사용검사ㆍ준공검사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욕실의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입주가능일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주차대수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관리비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21.&gt;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21.&gt;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중개대상물이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입지조건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생활여건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빠뜨리거나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은폐ㆍ축소하는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4.]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모니터링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모니터링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전문인력과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갖췄다고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21.]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12. 31.&gt;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1. 3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폐업하려는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3. 3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31.&gt;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18., 2021. 2. 17., 2021. 12. 31.&gt;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18., 2021. 12. 31.&gt;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중개사무소재개신고를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18., 2021. 12. 31.&gt;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18., 2021. 12. 31.&gt;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징집으로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입영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취학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일반중개계약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</w:t>
      </w:r>
      <w:r>
        <w:rPr>
          <w:rFonts w:ascii="HYSMyeongJo-Medium" w:eastAsia="HY중고딕" w:hAnsi="HYSMyeongJo-Medium" w:cs="HYSMyeongJo-Medium"/>
          <w:sz w:val="20"/>
          <w:szCs w:val="20"/>
        </w:rPr>
        <w:t>중개계약의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전속중개계약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전속중개계약의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용도ㆍ구조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벽면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수도ㆍ전기ㆍ가스ㆍ소방ㆍ열공급ㆍ승강기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오수ㆍ폐수ㆍ쓰레기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대중교통수단과의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입지조건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日照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ㆍ소음ㆍ진동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환경조건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소유권ㆍ전세권ㆍ저당권ㆍ지상권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주소ㆍ성명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거래규제에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거래예정금액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공시지가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확인ㆍ설명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확인ㆍ설명해야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28., 2021. 12. 31., 2024. 4. 9.&gt;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종류ㆍ소재지ㆍ지번ㆍ지목ㆍ면적ㆍ용도ㆍ구조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소유권ㆍ전세권ㆍ저당권ㆍ지상권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거래예정금액ㆍ중개보수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관리비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산출내역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토지이용계획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수도ㆍ전기ㆍ가스ㆍ소방ㆍ열공급ㆍ승강기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벽면ㆍ바닥면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일조ㆍ소음ㆍ진동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환경조건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대중교통수단과의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시장ㆍ학교와의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입지조건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「주민등록법」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전입세대확인서의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중개대상물인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민간임대주택인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매도의뢰인ㆍ임대의뢰인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매수의뢰인ㆍ임차의뢰인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거래당사자의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계약일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거래금액ㆍ계약금액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인도일시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권리이전의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중개대상물확인ㆍ설명서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교부일자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약정내용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7. 28.&gt;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7. 28.&gt;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7. 28.&gt;</w:t>
      </w: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9. 10., 2014. 7. 28., 2021. 12. 31.&gt;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: 4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분사무소마다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: 2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보증보험회사ㆍ공제사업자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보증기관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보장금액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31.&gt;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보증보험금의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보증보험금ㆍ공제금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손해배상합의서ㆍ화해조서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보증보험금ㆍ공제금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예치ㆍ관리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7. 29., 2010. 11. 15.&gt;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「보험업법」에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「우체국예금ㆍ보험에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계약금ㆍ중도금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계약금등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전문회사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반환채무이행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중개보수의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지급시기는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따르되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거래대금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실무교육의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교육내용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법률지식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직업윤리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교육시간</w:t>
      </w:r>
      <w:r>
        <w:rPr>
          <w:rFonts w:ascii="HYSMyeongJo-Medium" w:hAnsi="HYSMyeongJo-Medium" w:cs="HYSMyeongJo-Medium"/>
          <w:sz w:val="20"/>
          <w:szCs w:val="20"/>
        </w:rPr>
        <w:t>: 28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32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교육내용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중개보조원의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교육시간</w:t>
      </w:r>
      <w:r>
        <w:rPr>
          <w:rFonts w:ascii="HYSMyeongJo-Medium" w:hAnsi="HYSMyeongJo-Medium" w:cs="HYSMyeongJo-Medium"/>
          <w:sz w:val="20"/>
          <w:szCs w:val="20"/>
        </w:rPr>
        <w:t>: 3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교육내용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법ㆍ제도의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직업윤리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교육시간</w:t>
      </w:r>
      <w:r>
        <w:rPr>
          <w:rFonts w:ascii="HYSMyeongJo-Medium" w:hAnsi="HYSMyeongJo-Medium" w:cs="HYSMyeongJo-Medium"/>
          <w:sz w:val="20"/>
          <w:szCs w:val="20"/>
        </w:rPr>
        <w:t>: 12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일시ㆍ장소ㆍ내용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교육지침에는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교육대상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교육과목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교육시간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수강료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수강신청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出缺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교육평가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6. 3.]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부동산거래사고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교육자료의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강사비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확립하고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부동산거래사고로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교육일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교육일시ㆍ교육장소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7. 28.]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지도ㆍ감독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자격취소처분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자격증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2023. 11. 16.&gt;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공인중개사협회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서명ㆍ날인한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600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과반수의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서울특별시에서는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9. 10.&gt;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품위유지를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부동산중개제도의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연구ㆍ개선에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교육ㆍ연수에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윤리헌장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상호부조를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공제규정에는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공제책임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보증보험료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회계기준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손해배상기금과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회계원칙에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책임준비금의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적립비율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공제사고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운용실적의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일간신문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홈페이지에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9. 10., 2021. 1. 5.&gt;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결산서인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손익계산서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책임준비금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적립액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사업계획ㆍ운영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방침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차입금에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공제약관ㆍ공제규정의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제정ㆍ개정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공제가입금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회장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책임연구원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법률ㆍ회계ㆍ금융ㆍ보험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변호사ㆍ공인회계사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금융감독원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공제조합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한국소비자원의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보궐위원의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互選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소집하며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開議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4.]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재무건전성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재무건전성기준을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지급여력비율은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구상채권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지급여력비율은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지급여력금액을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지급여력기준금액으로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지급여력금액과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지급여력기준금액은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지급여력금액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대손충당금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이익잉여금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선급비용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지급여력기준금액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재무건전성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4.]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실무교육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직무교육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연수교육에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6. 26., 2008. 2. 29., 2008. 9. 10., 2013. 3. 23., 2014. 6. 3., 2014. 7. 28., 2020. 11. 24.&gt;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협회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준정부기관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공기업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준정부기관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6. 26., 2020. 11. 24.&gt;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시험시행기관장은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명칭ㆍ대표자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2008. 9. 10.&gt;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만원으로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발각되기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고발사건에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2. 18.&gt;]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부동산거래질서교란행위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신고센터의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10. 18.&gt;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피신고인의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부동산거래질서교란행위의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발생일시ㆍ장소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5.&gt;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신고내용이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「한국부동산원법」에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한국부동산원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8., 2023. 10. 18.&gt;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한국부동산원은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18.]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2. 18.&gt;]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고유식별정보의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외국인등록번호가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28., 2020. 2. 18., 2023. 10. 18.&gt;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7. 28.&gt;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일반중개계약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</w:p>
    <w:p w:rsidR="00761F27" w:rsidRDefault="00761F2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4.]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>: 2023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761F27" w:rsidRDefault="00761F2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>: 2023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3. 7.]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761F27" w:rsidRDefault="00761F27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761F27" w:rsidRDefault="00761F27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부과ㆍ징수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7638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7. 28.&gt;</w:t>
      </w:r>
    </w:p>
    <w:p w:rsidR="00761F27" w:rsidRDefault="00761F2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9. 10.]</w:t>
      </w:r>
    </w:p>
    <w:p w:rsidR="00761F27" w:rsidRDefault="00761F2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761F27" w:rsidRDefault="00761F2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761F27" w:rsidRDefault="00761F2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761F27" w:rsidRDefault="00761F27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34401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4. 9.&gt;</w:t>
      </w:r>
    </w:p>
    <w:p w:rsidR="00761F27" w:rsidRDefault="00761F2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확인ㆍ설명에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761F27" w:rsidRDefault="00761F27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1F27" w:rsidRDefault="00761F27">
      <w:r>
        <w:separator/>
      </w:r>
    </w:p>
  </w:endnote>
  <w:endnote w:type="continuationSeparator" w:id="0">
    <w:p w:rsidR="00761F27" w:rsidRDefault="0076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61F27" w:rsidRDefault="00761F2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61F27" w:rsidRDefault="00761F2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61F27" w:rsidRDefault="00761F2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761F27" w:rsidRDefault="00761F2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1F27" w:rsidRDefault="00761F27">
      <w:r>
        <w:separator/>
      </w:r>
    </w:p>
  </w:footnote>
  <w:footnote w:type="continuationSeparator" w:id="0">
    <w:p w:rsidR="00761F27" w:rsidRDefault="0076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61F27" w:rsidRDefault="00761F2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공인중개사법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61F27"/>
    <w:rsid w:val="005D79CE"/>
    <w:rsid w:val="007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1AAB605D-A49E-4B7D-A8A5-15892CDC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61F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1F27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761F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1F27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3623</Words>
  <Characters>20652</Characters>
  <Application>Microsoft Office Word</Application>
  <DocSecurity>0</DocSecurity>
  <Lines>172</Lines>
  <Paragraphs>48</Paragraphs>
  <ScaleCrop>false</ScaleCrop>
  <Company/>
  <LinksUpToDate>false</LinksUpToDate>
  <CharactersWithSpaces>24227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