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506" w:rsidRDefault="00197506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공인중개사의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매수신청대리인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규칙</w:t>
      </w:r>
    </w:p>
    <w:p w:rsidR="00197506" w:rsidRDefault="00197506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대법원규칙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3067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2022. 9. 29.,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197506" w:rsidRDefault="0019750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법원행정처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사법지원심의관실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02-3480-1263</w:t>
      </w:r>
    </w:p>
    <w:p w:rsidR="00197506" w:rsidRDefault="00197506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「공인</w:t>
      </w:r>
      <w:r>
        <w:rPr>
          <w:rFonts w:ascii="HYSMyeongJo-Medium" w:eastAsia="HY중고딕" w:hAnsi="HYSMyeongJo-Medium" w:cs="HYSMyeongJo-Medium"/>
          <w:sz w:val="20"/>
          <w:szCs w:val="20"/>
        </w:rPr>
        <w:t>중개사법」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대법원규칙에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매수신청대리권의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입찰표의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차순위매수신고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우선매수신고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구「임대주택법」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13499</w:t>
      </w:r>
      <w:r>
        <w:rPr>
          <w:rFonts w:ascii="HYSMyeongJo-Medium" w:hAnsi="HYSMyeongJo-Medium" w:cs="HYSMyeongJo-Medium"/>
          <w:sz w:val="20"/>
          <w:szCs w:val="20"/>
        </w:rPr>
        <w:t>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우선매수신고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공유자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우선매수신고에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차순위매수신고인으로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차순위매수신고인의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매수신청대리의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정착물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「입목에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입목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광업재단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저당법」에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공장재단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광업재단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매수신청대리인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매수신청대리인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개업공인중개사이거나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부동산경매에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>수하였을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10. 29.,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매수신청대리인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제공요청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공인중개사협회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보유ㆍ관리하고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행정정보가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시장ㆍ군수ㆍ구청장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이용목적을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밝혀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행정정보의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공동이용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시장ㆍ군수ㆍ구청장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등록증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게시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등록증ㆍ매수신청대리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당해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쉬운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실무교육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등록신청일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교육기관에서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실무교육을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교육시간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매수신청대리인이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보증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매수신청의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보장금액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보증보험회사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공탁기관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보장기간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회계기준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법원행정처장은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「금융위원회의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금융감독원의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25., 2022. 9. 29.&gt;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: 4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분사무소마다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: 2</w:t>
      </w:r>
      <w:r>
        <w:rPr>
          <w:rFonts w:ascii="HYSMyeongJo-Medium" w:hAnsi="HYSMyeongJo-Medium" w:cs="HYSMyeongJo-Medium"/>
          <w:sz w:val="20"/>
          <w:szCs w:val="20"/>
        </w:rPr>
        <w:t>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보증기간의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보증설정방법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>(3</w:t>
      </w:r>
      <w:r>
        <w:rPr>
          <w:rFonts w:ascii="HYSMyeongJo-Medium" w:eastAsia="HY중고딕" w:hAnsi="HYSMyeongJo-Medium" w:cs="HYSMyeongJo-Medium"/>
          <w:sz w:val="20"/>
          <w:szCs w:val="20"/>
        </w:rPr>
        <w:t>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폐업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재개하고자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휴업기간을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25.]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매수신청대리행위</w:t>
      </w: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대리행위의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대리행위마다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본인의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인감증명서가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대리인등록증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대리행위를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사건카드의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작성ㆍ보존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사건카드를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사건카드에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일련번호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경매사건번호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보수액과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주소ㆍ성명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서명날인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매수신청대리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확인ㆍ설명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매수인이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성실ㆍ정확하게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근거자료를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사건카드에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영수증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예규에서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</w:t>
      </w:r>
      <w:r>
        <w:rPr>
          <w:rFonts w:ascii="HYSMyeongJo-Medium" w:hAnsi="HYSMyeongJo-Medium" w:cs="HYSMyeongJo-Medium"/>
          <w:sz w:val="20"/>
          <w:szCs w:val="20"/>
        </w:rPr>
        <w:t>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서명날인에는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지급기한일로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25.]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,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떠난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매각절차의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매수신청대리인이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명의대여를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경매ㆍ입찰방해죄에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사건카드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허위기재하</w:t>
      </w:r>
      <w:r>
        <w:rPr>
          <w:rFonts w:ascii="HYSMyeongJo-Medium" w:hAnsi="HYSMyeongJo-Medium" w:cs="HYSMyeongJo-Medium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필수적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</w:p>
    <w:p w:rsidR="00197506" w:rsidRDefault="00197506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협회ㆍ개업공인중개사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지방법원장은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지방법원장은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지방법원장은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해당법규에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휴업ㆍ폐업의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25.]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소속공무원으로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장부ㆍ서류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등록당시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등록당시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지방법원장은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사건카드를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예규에서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매수신청대리인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지방법원장에게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10. 29.,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지방법원장은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휘장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내ㆍ외부에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매수신청대리업무에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25.&gt;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197506" w:rsidRDefault="00197506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민감정보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중앙회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매수신청대리인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「개인정보보호법」제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민감정보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고유식별정보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개인정보를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25.]</w:t>
      </w:r>
    </w:p>
    <w:p w:rsidR="00197506" w:rsidRDefault="0019750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197506" w:rsidRDefault="0019750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197506" w:rsidRDefault="00197506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197506" w:rsidRDefault="00197506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3067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,2022. 9. 29.&gt;</w:t>
      </w:r>
    </w:p>
    <w:p w:rsidR="00197506" w:rsidRDefault="0019750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경과조치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보증보험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197506" w:rsidRDefault="00197506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7506" w:rsidRDefault="00197506">
      <w:r>
        <w:separator/>
      </w:r>
    </w:p>
  </w:endnote>
  <w:endnote w:type="continuationSeparator" w:id="0">
    <w:p w:rsidR="00197506" w:rsidRDefault="0019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197506" w:rsidRDefault="0019750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197506" w:rsidRDefault="00197506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197506" w:rsidRDefault="00197506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197506" w:rsidRDefault="0019750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7506" w:rsidRDefault="00197506">
      <w:r>
        <w:separator/>
      </w:r>
    </w:p>
  </w:footnote>
  <w:footnote w:type="continuationSeparator" w:id="0">
    <w:p w:rsidR="00197506" w:rsidRDefault="00197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7506" w:rsidRDefault="00197506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공인중개사의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매수신청대리인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등록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등에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관한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규칙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97506"/>
    <w:rsid w:val="00197506"/>
    <w:rsid w:val="0020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D5A69AA3-B329-41C3-A5DF-BAF90A60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975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97506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1975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97506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