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7C26" w:rsidRDefault="00007C26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부동산등기법</w:t>
      </w:r>
    </w:p>
    <w:p w:rsidR="00007C26" w:rsidRDefault="00007C26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31.]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20435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9. 20.,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7C26" w:rsidRDefault="00007C2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법무심의관실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02-2110-3164</w:t>
      </w:r>
    </w:p>
    <w:p w:rsidR="00007C26" w:rsidRDefault="00007C2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不動産登記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등기부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입력ㆍ처리된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등기정보자료를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등기부부본자료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登記簿副本資料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보조기억장치에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등기정보자료를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등기필정보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登記畢情報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表示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설정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所有權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地上權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지역권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地役權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傳貰權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저당권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抵當權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권리질권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權利質權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채권담보권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債權擔保權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임차권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賃借權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순위번호에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부기등기의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附記登記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主登記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접수시기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등기신청정보가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저장된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등기관</w:t>
      </w: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支院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등기소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담당한다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상급법원의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등기목적과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상속ㆍ유증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바뀌었을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어려운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법원서기관ㆍ등기사무관ㆍ등기주사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등기주사보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법원사무관ㆍ법원주사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법원주사보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31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채용시험에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등기소의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登記官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업무처리의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배우자등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배우자등의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재정보증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재정보증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財政保證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토지등기부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土地登記簿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건물등기부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建物登記簿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永久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보관ㆍ관리하여야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전쟁ㆍ천재지변이나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전쟁ㆍ천재지변이나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囑託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편성주의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>, 1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甲區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乙區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등기부부본자료의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등기부부본자료를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손상과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복구ㆍ손상방지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방지처분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부속서류가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손상ㆍ멸실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滅失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처분명령에는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열람과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閱覽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부속서류에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閉鎖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영구히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중복등기기록의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등기절차</w:t>
      </w: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7C26" w:rsidRDefault="00007C2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관공서의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登記權利者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登記義務者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所有權保存登記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抹消登記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포괄승계에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등기절차의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更正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受託者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권리이전등기에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2. 3., 2024. 9. 20.&gt;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방문신청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신청인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代理人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법무법인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법무법인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유한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법무사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법무사법인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법무사법인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유한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전자신청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이동통신단말장치에서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애플리케이션</w:t>
      </w:r>
      <w:r>
        <w:rPr>
          <w:rFonts w:ascii="HYSMyeongJo-Medium" w:hAnsi="HYSMyeongJo-Medium" w:cs="HYSMyeongJo-Medium"/>
          <w:sz w:val="20"/>
          <w:szCs w:val="20"/>
        </w:rPr>
        <w:t>(Application)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전자신청이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등기유형에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등기목적과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宗中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문중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門中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社團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財團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포괄승계인에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포괄승계가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포괄승계인이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채권자대위권에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代位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却下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잘못된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補正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잘못된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보정하였을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포괄승계인이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신청정보와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동일인임을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신청정보와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취득세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등록면허세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등록에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등록면허세만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신청정보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토지대장ㆍ임야대장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등기완료의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행정구역의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錯誤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빠진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빠진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채권자대위권에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등기기록에의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많아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취급하기에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합리적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007C26" w:rsidRDefault="00007C2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표시번호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접수연월일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地番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지목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地目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등기원인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표시변경등기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地籍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소관청으로부터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「공간정보의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6. 3.&gt;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지적소관청과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合筆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소유권ㆍ지상권ㆍ전세권ㆍ임차권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承役地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편익제공지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합필하려는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합필하려는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지적소관청에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「공간정보의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토지합병절차를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합필등기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合筆登記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共有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6. 3.&gt;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토지합병절차를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합필등기의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요역지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要役地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편익필요지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6. 3.&gt;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멸실등기의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>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표시번호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접수연월일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건물명칭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건축물대장에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건물명칭이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건물번호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부속건물이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등기원인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도면의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구분소유권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區分所有權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구분건물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區分建物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대지사용권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垈地使用權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대지권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垈地權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표시등기만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소유권ㆍ전세권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합병하려는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합병하려는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멸실등기의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부존재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이해관계인이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異議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건축물대장에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건물멸실의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구분건물의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소유권보존등기를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신축건물의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규약상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규약폐지에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「집합건물의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공용부분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共用部分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공용부분인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공용부분이라는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007C26" w:rsidRDefault="00007C2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순위번호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등기목적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접수연월일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등기원인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권리자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부동산등기용등록번호와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合有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등록번호의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부여절차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부동산등기용등록번호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2014. 3. 18., 2015. 7. 24.&gt;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국가ㆍ지방자치단체ㆍ국제기관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주민등록번호가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재외국민의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「제주특별자치도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국제자유도시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「지방자치법」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외국인의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지방출입국ㆍ외국인관서의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등기필정보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등기필정보를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등기권리자가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승소한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등기필정보가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등기필정보가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등기의무자등임을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변호사나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법무사만을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등기의무자등으로부터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위임받았음을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위임에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公證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부기로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등기명의인표시의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환매특약등기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권리소멸약정등기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분할금지의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환매특약의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환매특약의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매매비용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환매기간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권리소멸약정의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소재불명과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소재불명으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「민사소송법」에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공시최고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公示催告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제권판결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除權判決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居所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回復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대지사용권의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「집합건물의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대지사용권을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소유명의인과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대지사용권에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대지사용권을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구분건물의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등기기록에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대지권등기가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되어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저당권설정등기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지적소관청에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말소회복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가등기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假登記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소유권보존등기의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소유권보존등기를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소유권보존등기의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소유권보존등기는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토지대장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포괄승계인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확정판결에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收用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미등기부동산의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처분제한의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미등기부동산에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처분제한의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>보존등기를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처분제한의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「건축법」상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「건축법」상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7. 24., 2016. 1. 19.&gt;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용익권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用益權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지상권설정의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존속기간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지료와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지급시기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지상권설정의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호까지에서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지역권설정의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요역지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요역지지역권의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요역지의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순위번호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등기목적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승역지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지역권설정의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등기연월일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轉傳貰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전전세금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존속기간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배상금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전세권설정이나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전세금반환채권의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일부양도에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일부이전등기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전세금반환채권의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일부이전등기의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존속기간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轉貸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借賃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차임지급시기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존속기간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처분능력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단기임대차인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임차보증금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임차권설정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임차물전대의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채권액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변제기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辨濟期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발생기ㆍ지급시기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원본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元本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지급장소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채무불이행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債務不履行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근저당권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根抵當權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최고액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존속기간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저당권부채권에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저당권부채권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抵當權附債權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채권액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채권최고액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변제기와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「동산ㆍ채권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채권담보권의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채권액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채권최고액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변제기와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피담보채권이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금액을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공동저당의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공동담보목록을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공동담보목록은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채권일부의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대위변제로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일부이전등기의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대위변제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代位辨濟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공동저당의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매각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매각대금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선순위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</w:t>
      </w:r>
      <w:r>
        <w:rPr>
          <w:rFonts w:ascii="HYSMyeongJo-Medium" w:eastAsia="HY중고딕" w:hAnsi="HYSMyeongJo-Medium" w:cs="HYSMyeongJo-Medium"/>
          <w:sz w:val="20"/>
          <w:szCs w:val="20"/>
        </w:rPr>
        <w:t>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신탁원부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信託原簿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신탁원부의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3. 18., 2024. 9. 20.&gt;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委託者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受益者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수익권의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신탁관리인이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유언대용신탁인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수익자연속신탁인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수익증권발행신탁인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「공익신탁법」에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공익신탁인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유한책임신탁인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신탁종료의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조항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신탁원부는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</w:t>
      </w:r>
      <w:r>
        <w:rPr>
          <w:rFonts w:ascii="HYSMyeongJo-Medium" w:eastAsia="HY중고딕" w:hAnsi="HYSMyeongJo-Medium" w:cs="HYSMyeongJo-Medium"/>
          <w:sz w:val="20"/>
          <w:szCs w:val="20"/>
        </w:rPr>
        <w:t>정등기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보존등기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이전등기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합병ㆍ분할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권리변경등기의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신수탁자는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3. 18.&gt;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「공익신탁법」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7C26" w:rsidRDefault="00007C2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</w:t>
      </w:r>
      <w:r>
        <w:rPr>
          <w:rFonts w:ascii="HYSMyeongJo-Medium" w:hAnsi="HYSMyeongJo-Medium" w:cs="HYSMyeongJo-Medium"/>
          <w:sz w:val="20"/>
          <w:szCs w:val="20"/>
        </w:rPr>
        <w:t>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7C26" w:rsidRDefault="00007C2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신탁변경등기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신탁관리인의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18.&gt;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신탁관리인을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신탁내용의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신탁변경등기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수탁자인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경정등기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신탁변경등기의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5. 28.&gt;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신탁종료로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담보권신탁에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피담보채권이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여럿이고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피담보채권별로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피담보채권이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신탁재산관리인이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「신탁법」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수탁자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신탁재산관리인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28.]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</w:t>
      </w: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請求權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保全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始期附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정지조건부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停止條件附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가등기권리자는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가처분명령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假處分命令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가처분명령은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가등기권리자의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원인사실의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즉시항고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卽時抗告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즉시항고에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「비</w:t>
      </w:r>
      <w:r>
        <w:rPr>
          <w:rFonts w:ascii="HYSMyeongJo-Medium" w:hAnsi="HYSMyeongJo-Medium" w:cs="HYSMyeongJo-Medium"/>
          <w:sz w:val="20"/>
          <w:szCs w:val="20"/>
        </w:rPr>
        <w:t>송사건절차법」을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本登記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의하여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보전되는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가등기명의인은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가등기명의인의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「민사집행법」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말소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설정등기청구권을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처분금지가처분등기가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말소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가처분등기도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가처분등기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가처분채무자를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가처분채권자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관공서가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007C26" w:rsidRDefault="00007C26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관공서가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등기명의인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갈음하여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관공서가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체납처분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滯納處分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押留登記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포괄승계인을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포괄승계로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권리이전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權利移轉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공매처분으로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관공서가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공매처분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公賣處分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공매처분으로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공매처분으로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권리등기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權利登記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체납처분에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공매공고등기의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관공서의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수용으로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포괄승계인을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포괄승계로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처분제한에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토지수용위원회의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裁決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存續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권리이전등기에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</w:t>
      </w: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이의신청과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이의신청의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새로운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집행정지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執行停止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「비송사건절차법」에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부기등기의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송달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「민사</w:t>
      </w:r>
      <w:r>
        <w:rPr>
          <w:rFonts w:ascii="HYSMyeongJo-Medium" w:eastAsia="HY중고딕" w:hAnsi="HYSMyeongJo-Medium" w:cs="HYSMyeongJo-Medium"/>
          <w:sz w:val="20"/>
          <w:szCs w:val="20"/>
        </w:rPr>
        <w:t>소송법」을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「비송사건절차법」을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007C26" w:rsidRDefault="00007C2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전산정보자료의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「전자정부법」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등기정보자료의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등기정보자료의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등기정보자료의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등기정보자료를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등기명의인별로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알아볼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등기정보자료는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포괄승계인만이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등기정보자료의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등기필정보의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안전확보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등기필정보의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누설ㆍ멸실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등기필정보의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필요하고도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부동산등기사무에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7C26" w:rsidRDefault="00007C2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&lt;2017. 10. 13.&gt;</w:t>
      </w: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7C26" w:rsidRDefault="00007C2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대법원규칙에의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7C26" w:rsidRDefault="00007C2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7C26" w:rsidRDefault="00007C2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7C26" w:rsidRDefault="00007C26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20435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9. 20.&gt;</w:t>
      </w:r>
    </w:p>
    <w:p w:rsidR="00007C26" w:rsidRDefault="00007C2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31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상속ㆍ유증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호나목의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시범사업의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전자신청의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>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시범사업을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시범사업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시범사업의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광업재단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「부동산등기법」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「부동산등기법」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비송사건절차법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선박등기법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「부동산등기법」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「부동산등기법」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7C26" w:rsidRDefault="00007C2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7C26" w:rsidRDefault="00007C26">
      <w:r>
        <w:separator/>
      </w:r>
    </w:p>
  </w:endnote>
  <w:endnote w:type="continuationSeparator" w:id="0">
    <w:p w:rsidR="00007C26" w:rsidRDefault="0000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7C26" w:rsidRDefault="00007C2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.2pt;height:17.2pt">
                <v:imagedata r:id="rId1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7C26" w:rsidRDefault="00007C26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7C26" w:rsidRDefault="00007C26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7C26" w:rsidRDefault="00007C2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5.8pt;height:16.1pt">
                <v:imagedata r:id="rId2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7C26" w:rsidRDefault="00007C26">
      <w:r>
        <w:separator/>
      </w:r>
    </w:p>
  </w:footnote>
  <w:footnote w:type="continuationSeparator" w:id="0">
    <w:p w:rsidR="00007C26" w:rsidRDefault="00007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7C26" w:rsidRDefault="00007C26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부동산등기법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07C26"/>
    <w:rsid w:val="00007C26"/>
    <w:rsid w:val="007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D27733B5-89EA-461E-87A0-53221C86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07C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7C26"/>
    <w:rPr>
      <w:rFonts w:ascii="Arial" w:hAnsi="Arial" w:cs="Arial"/>
      <w:color w:val="000000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007C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7C26"/>
    <w:rPr>
      <w:rFonts w:ascii="Arial" w:hAnsi="Arial" w:cs="Arial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4765</Words>
  <Characters>27161</Characters>
  <Application>Microsoft Office Word</Application>
  <DocSecurity>0</DocSecurity>
  <Lines>226</Lines>
  <Paragraphs>63</Paragraphs>
  <ScaleCrop>false</ScaleCrop>
  <Company/>
  <LinksUpToDate>false</LinksUpToDate>
  <CharactersWithSpaces>31863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ㅇㄷㄹ ㄴㅇㄹ</cp:lastModifiedBy>
  <cp:revision>2</cp:revision>
  <dcterms:created xsi:type="dcterms:W3CDTF">2025-09-30T08:26:00Z</dcterms:created>
  <dcterms:modified xsi:type="dcterms:W3CDTF">2025-09-30T08:26:00Z</dcterms:modified>
</cp:coreProperties>
</file>