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i w:val="false"/>
          <w:iCs w:val="false"/>
          <w:color w:val="595959"/>
          <w:sz w:val="20"/>
          <w:szCs w:val="20"/>
        </w:rPr>
        <w:t xml:space="preserve">PRAXIS CONSULTORIA</w:t>
      </w:r>
    </w:p>
    <w:p>
      <w:pPr>
        <w:spacing w:after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Documento para a reunião de diretoria — decisão sobre proposta em aberto, avaliada pelo framework de decisão da Praxis</w:t>
      </w:r>
    </w:p>
    <w:p>
      <w:pPr>
        <w:pBdr>
          <w:bottom w:val="single" w:color="000000" w:sz="4" w:space="8"/>
        </w:pBdr>
        <w:spacing w:after="240"/>
      </w:pPr>
      <w:r>
        <w:rPr>
          <w:b/>
          <w:bCs/>
          <w:sz w:val="30"/>
          <w:szCs w:val="30"/>
        </w:rPr>
        <w:t xml:space="preserve">Ravena Casa &amp; Decoração — decisão sobre exclusividade de categoria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A proposta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Valor: R$ 840 mil por 24 meses — valor informado pela Ravena, ainda não auditado.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Condição: exclusividade de categoria (utilidades domésticas com operação digital) durante toda a vigência de 24 meses.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Hoje: três clientes ativos na mesma categoria, somando R$ 310 mil por ano — valor de carteira interno.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Passo 1 — Regras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Reprovado. A proposta fere a regra 4: "Não aceita exclusividade de categoria. Nem com desconto, nem com contrato longo." A exigência de exclusividade cobre toda a vigência de 24 meses — não é uma condição parcial ou negociável dentro da proposta como está.</w:t>
      </w:r>
    </w:p>
    <w:p>
      <w:pPr>
        <w:spacing w:after="0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Como a opção falha no primeiro filtro, ela não chega a ser comparada por capacidade operacional, efeito na carteira ou margem. A regra decide antes de qualquer conta.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Precedente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Vestal, há 2 anos. A Praxis recusou R$ 180 mil que exigia exclusividade em moda. No ano seguinte, fechou R$ 210 mil com dois clientes do mesmo setor, sem amarra. Recusar exclusividade não custou receita — rendeu mais.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Recomendação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Recusar a exclusividade como está proposta. A Praxis pode seguir com a Ravena se o contrato for reescrito sem essa cláusula.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Gatilho de mudança de rota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a Ravena aceitar remover a exigência de exclusividade — ou reduzi-la a um recorte que não trave a Praxis de atender os três clientes atuais da categoria —, a proposta volta a ser avaliada: capacidade de operar sem contratar às pressas, efeito sobre os três clientes já ativos e margem mínima de 38%.</w:t>
      </w:r>
    </w:p>
    <w:p>
      <w:pPr>
        <w:pStyle w:val="Heading1"/>
        <w:spacing w:after="140" w:before="320"/>
      </w:pPr>
      <w:r>
        <w:rPr>
          <w:b/>
          <w:bCs/>
          <w:sz w:val="24"/>
          <w:szCs w:val="24"/>
        </w:rPr>
        <w:t xml:space="preserve">O que a gente não sabe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 a exclusividade é condição inegociável para a Ravena ou um ponto de partida de negociação.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Margem estimada do contrato de R$ 840 mil — não calculada, porque a decisão já está resolvida pela regra 4 antes de chegar nesse critério.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Prazo remanescente dos três contratos atuais na categoria — relevante só se a exclusividade for renegociada e a comparação de carteira entrar em pauta.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2026-09-19T01:11:20.852Z</dcterms:created>
  <dcterms:modified xsi:type="dcterms:W3CDTF">2026-09-19T01:11:20.861Z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