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ik9qeouuuxc0" w:id="0"/>
      <w:bookmarkEnd w:id="0"/>
      <w:r w:rsidDel="00000000" w:rsidR="00000000" w:rsidRPr="00000000">
        <w:rPr>
          <w:rtl w:val="0"/>
        </w:rPr>
        <w:t xml:space="preserve">Đặng Thu Thảo</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Software Architect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thao.dt@techvision.vn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977 334 455</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linkedin.com/in/thuthao-dang</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Phú Nhuận,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Đặng Thu Thảo là Software Architect với chuyên môn nổi bật trong lĩnh vực thiết kế hệ thống thời gian thực và tích hợp doanh nghiệp (Enterprise Integration). Với hơn 11 năm kinh nghiệm, bà đã tham gia thiết kế và triển khai các giải pháp phần mềm phức tạp cho các ngành tài chính, y tế và logistics – những lĩnh vực đòi hỏi độ tin cậy và khả năng sẵn sàng cao nhất. Bà Thảo được đánh giá cao nhờ khả năng tư duy hệ thống toàn diện, luôn đặt câu hỏi "điều gì sẽ xảy ra khi mọi thứ đi sai" trước khi xây dựng giải pháp. Cách tiếp cận tập trung vào độ bền vững và resilience của hệ thống đã giúp bà dẫn dắt thành công nhiều dự án trong môi trường nghiêm ngặt nhất. Ngoài công việc kỹ thuật, bà Thảo còn tích cực tham gia mentoring cho các kỹ sư nữ trong ngành CNTT, là thành viên sáng lập của cộng đồng WomenInTech Vietnam.</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Software Architect</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11/2021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kiến trúc tích hợp cho dự án BioHealth – hệ thống quản lý thông tin y tế tích hợp với 15 hệ thống HIS, LIS, RIS và PACS tại các bệnh viện khách hàng.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Enterprise Integration Platform sử dụng Apache Camel và MuleSoft, xử lý 500.000+ thông điệp HL7/FHIR mỗi ngày giữa các hệ thống y tế không đồng nhất.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kiến trúc Saga Pattern cho quy trình thanh toán bảo hiểm y tế, đảm bảo tính toàn vẹn giao dịch phân tán trên 5 hệ thống độc lập.</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Event-Driven Architecture cho hệ thống cảnh báo lâm sàng thời gian thực, giúp bác sĩ nhận được thông báo quan trọng trong vòng dưới 3 giây.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việc đánh giá và lựa chọn công nghệ cho 3 dự án lớn mới, tổng hợp các POC kỹ thuật và đề xuất kiến trúc phù hợp với ràng buộc của từng dự án.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Code Review và Architecture Review định kỳ cho toàn đội, nâng cao chất lượng thiết kế tổng thể và giảm technical debt.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Đồng xây dựng TechVision Integration Playbook – tài liệu hướng dẫn chuẩn hoá phương pháp tích hợp hệ thống cho toàn công ty.</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Integration Architect / Senior Developer</w:t>
      </w:r>
      <w:r w:rsidDel="00000000" w:rsidR="00000000" w:rsidRPr="00000000">
        <w:rPr>
          <w:rFonts w:ascii="Arial" w:cs="Arial" w:eastAsia="Arial" w:hAnsi="Arial"/>
          <w:color w:val="595959"/>
          <w:sz w:val="22"/>
          <w:szCs w:val="22"/>
          <w:rtl w:val="0"/>
        </w:rPr>
        <w:t xml:space="preserve">  |  Bosch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05/2018 – Tháng 10/2021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giải pháp tích hợp SAP S/4HANA với hơn 20 hệ thống legacy và bên thứ ba trong tập đoàn Bosch Việt Nam và khu vực Đông Nam Á.</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API Management Layer sử dụng SAP API Business Hub, tạo ra một cổng kết nối thống nhất cho hơn 200 API nội bộ và bên ngoài.</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đội 8 integration developer triển khai ESB (Enterprise Service Bus) phục vụ 30+ hệ thống sản xuất và kho vận.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Giảm chi phí tích hợp toàn tập đoàn xuống 25% bằng cách chuẩn hoá giao thức và tái sử dụng các adapter đã xây dựng sẵn.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điều phối sang văn phòng Bosch Stuttgart (Đức) trong 3 tháng để tham gia thiết kế Global Integration Architecture.</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Senior Backend Engineer</w:t>
      </w:r>
      <w:r w:rsidDel="00000000" w:rsidR="00000000" w:rsidRPr="00000000">
        <w:rPr>
          <w:rFonts w:ascii="Arial" w:cs="Arial" w:eastAsia="Arial" w:hAnsi="Arial"/>
          <w:color w:val="595959"/>
          <w:sz w:val="22"/>
          <w:szCs w:val="22"/>
          <w:rtl w:val="0"/>
        </w:rPr>
        <w:t xml:space="preserve">  |  TPBank</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08/2014 – Tháng 04/2018</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phát triển Core Banking Integration Layer kết nối hệ thống T24 với các kênh digital banking (mobile app, internet banking, ATM).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xử lý giao dịch tài chính thời gian thực với yêu cầu độ trễ dưới 200ms và tỷ lệ sẵn sàng 99.99%.</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triển khai Open Banking API theo tiêu chuẩn PSD2, cho phép kết nối với 30+ fintech partner.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hệ thống reconciliation tự động giữa core banking và 10+ kênh thanh toán bên thứ ba, giảm sai lệch đối soát từ 0.1% xuống 0.001%.</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Software Developer</w:t>
      </w:r>
      <w:r w:rsidDel="00000000" w:rsidR="00000000" w:rsidRPr="00000000">
        <w:rPr>
          <w:rFonts w:ascii="Arial" w:cs="Arial" w:eastAsia="Arial" w:hAnsi="Arial"/>
          <w:color w:val="595959"/>
          <w:sz w:val="22"/>
          <w:szCs w:val="22"/>
          <w:rtl w:val="0"/>
        </w:rPr>
        <w:t xml:space="preserve">  |  FIS Vietnam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Tháng 09/2012 – Tháng 07/2014</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bảo trì các module trong hệ thống quản lý giao dịch chứng khoán cho khách hàng tài chính tại Mỹ và Châu Âu.</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thuật toán matching engine xử lý 100.000 lệnh giao dịch mỗi giây với độ trễ dưới 10 microseconds.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Đóng góp vào việc xây dựng bộ kiểm thử tự động đạt độ phủ 90%, giảm số lỗi production xuống 65%.</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7">
      <w:pPr>
        <w:spacing w:after="20" w:before="140" w:lineRule="auto"/>
        <w:rPr/>
      </w:pPr>
      <w:r w:rsidDel="00000000" w:rsidR="00000000" w:rsidRPr="00000000">
        <w:rPr>
          <w:rFonts w:ascii="Arial" w:cs="Arial" w:eastAsia="Arial" w:hAnsi="Arial"/>
          <w:b w:val="1"/>
          <w:bCs w:val="1"/>
          <w:color w:val="1f4e79"/>
          <w:sz w:val="24"/>
          <w:szCs w:val="24"/>
          <w:rtl w:val="0"/>
        </w:rPr>
        <w:t xml:space="preserve">Thạc sĩ Hệ thống Thông tin</w:t>
      </w:r>
      <w:r w:rsidDel="00000000" w:rsidR="00000000" w:rsidRPr="00000000">
        <w:rPr>
          <w:rFonts w:ascii="Arial" w:cs="Arial" w:eastAsia="Arial" w:hAnsi="Arial"/>
          <w:color w:val="595959"/>
          <w:sz w:val="22"/>
          <w:szCs w:val="22"/>
          <w:rtl w:val="0"/>
        </w:rPr>
        <w:t xml:space="preserve">  |  Đại học Kinh tế TP.HCM</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i w:val="1"/>
          <w:iCs w:val="1"/>
          <w:color w:val="2e75b6"/>
          <w:sz w:val="20"/>
          <w:szCs w:val="20"/>
          <w:rtl w:val="0"/>
        </w:rPr>
        <w:t xml:space="preserve">2015 – 2017</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Tích hợp Hệ thống doanh nghiệp | GPA: 3.82/4.0</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"Mô hình kiến trúc tích hợp linh hoạt cho doanh nghiệp đa hệ thống" – Loại Xuất sắc</w:t>
      </w:r>
      <w:r w:rsidDel="00000000" w:rsidR="00000000" w:rsidRPr="00000000">
        <w:rPr>
          <w:rtl w:val="0"/>
        </w:rPr>
      </w:r>
    </w:p>
    <w:p w:rsidR="00000000" w:rsidDel="00000000" w:rsidP="00000000" w:rsidRDefault="00000000" w:rsidRPr="00000000" w14:paraId="0000002B">
      <w:pPr>
        <w:spacing w:after="20" w:before="140" w:lineRule="auto"/>
        <w:rPr/>
      </w:pPr>
      <w:r w:rsidDel="00000000" w:rsidR="00000000" w:rsidRPr="00000000">
        <w:rPr>
          <w:rFonts w:ascii="Arial" w:cs="Arial" w:eastAsia="Arial" w:hAnsi="Arial"/>
          <w:b w:val="1"/>
          <w:bCs w:val="1"/>
          <w:color w:val="1f4e79"/>
          <w:sz w:val="24"/>
          <w:szCs w:val="24"/>
          <w:rtl w:val="0"/>
        </w:rPr>
        <w:t xml:space="preserve">Kỹ sư Công nghệ Thông tin</w:t>
      </w:r>
      <w:r w:rsidDel="00000000" w:rsidR="00000000" w:rsidRPr="00000000">
        <w:rPr>
          <w:rFonts w:ascii="Arial" w:cs="Arial" w:eastAsia="Arial" w:hAnsi="Arial"/>
          <w:color w:val="595959"/>
          <w:sz w:val="22"/>
          <w:szCs w:val="22"/>
          <w:rtl w:val="0"/>
        </w:rPr>
        <w:t xml:space="preserve">  |  Đại học Bách Khoa Hà Nội</w:t>
      </w: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rFonts w:ascii="Arial" w:cs="Arial" w:eastAsia="Arial" w:hAnsi="Arial"/>
          <w:i w:val="1"/>
          <w:iCs w:val="1"/>
          <w:color w:val="2e75b6"/>
          <w:sz w:val="20"/>
          <w:szCs w:val="20"/>
          <w:rtl w:val="0"/>
        </w:rPr>
        <w:t xml:space="preserve">2007 – 2012</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Phần mềm | GPA: 3.65/4.0 | Tốt nghiệp Loại Giỏi</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Thành viên CLB Nghiên cứu Phần mềm, tổ chức hội thảo kỹ thuật hàng tháng</w:t>
      </w:r>
      <w:r w:rsidDel="00000000" w:rsidR="00000000" w:rsidRPr="00000000">
        <w:rPr>
          <w:rtl w:val="0"/>
        </w:rPr>
      </w:r>
    </w:p>
    <w:p w:rsidR="00000000" w:rsidDel="00000000" w:rsidP="00000000" w:rsidRDefault="00000000" w:rsidRPr="00000000" w14:paraId="0000002F">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807801278"/>
                <w:tag w:val="goog_rdk_0"/>
              </w:sdtPr>
              <w:sdtContent>
                <w:r w:rsidDel="00000000" w:rsidR="00000000" w:rsidRPr="00000000">
                  <w:rPr>
                    <w:rFonts w:ascii="Arial Unicode MS" w:cs="Arial Unicode MS" w:eastAsia="Arial Unicode MS" w:hAnsi="Arial Unicode MS"/>
                    <w:color w:val="595959"/>
                    <w:sz w:val="22"/>
                    <w:szCs w:val="22"/>
                    <w:rtl w:val="0"/>
                  </w:rPr>
                  <w:t xml:space="preserve">✦  Enterprise Integration Patterns (EIP)</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883165017"/>
                <w:tag w:val="goog_rdk_1"/>
              </w:sdtPr>
              <w:sdtContent>
                <w:r w:rsidDel="00000000" w:rsidR="00000000" w:rsidRPr="00000000">
                  <w:rPr>
                    <w:rFonts w:ascii="Arial Unicode MS" w:cs="Arial Unicode MS" w:eastAsia="Arial Unicode MS" w:hAnsi="Arial Unicode MS"/>
                    <w:color w:val="595959"/>
                    <w:sz w:val="22"/>
                    <w:szCs w:val="22"/>
                    <w:rtl w:val="0"/>
                  </w:rPr>
                  <w:t xml:space="preserve">✦  Apache Camel / MuleSoft / WSO2</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96815686"/>
                <w:tag w:val="goog_rdk_2"/>
              </w:sdtPr>
              <w:sdtContent>
                <w:r w:rsidDel="00000000" w:rsidR="00000000" w:rsidRPr="00000000">
                  <w:rPr>
                    <w:rFonts w:ascii="Arial Unicode MS" w:cs="Arial Unicode MS" w:eastAsia="Arial Unicode MS" w:hAnsi="Arial Unicode MS"/>
                    <w:color w:val="595959"/>
                    <w:sz w:val="22"/>
                    <w:szCs w:val="22"/>
                    <w:rtl w:val="0"/>
                  </w:rPr>
                  <w:t xml:space="preserve">✦  Event-Driven Architecture (EDA)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535673988"/>
                <w:tag w:val="goog_rdk_3"/>
              </w:sdtPr>
              <w:sdtContent>
                <w:r w:rsidDel="00000000" w:rsidR="00000000" w:rsidRPr="00000000">
                  <w:rPr>
                    <w:rFonts w:ascii="Arial Unicode MS" w:cs="Arial Unicode MS" w:eastAsia="Arial Unicode MS" w:hAnsi="Arial Unicode MS"/>
                    <w:color w:val="595959"/>
                    <w:sz w:val="22"/>
                    <w:szCs w:val="22"/>
                    <w:rtl w:val="0"/>
                  </w:rPr>
                  <w:t xml:space="preserve">✦  HL7 / FHIR / EDI Standards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1710811430"/>
                <w:tag w:val="goog_rdk_4"/>
              </w:sdtPr>
              <w:sdtContent>
                <w:r w:rsidDel="00000000" w:rsidR="00000000" w:rsidRPr="00000000">
                  <w:rPr>
                    <w:rFonts w:ascii="Arial Unicode MS" w:cs="Arial Unicode MS" w:eastAsia="Arial Unicode MS" w:hAnsi="Arial Unicode MS"/>
                    <w:color w:val="595959"/>
                    <w:sz w:val="22"/>
                    <w:szCs w:val="22"/>
                    <w:rtl w:val="0"/>
                  </w:rPr>
                  <w:t xml:space="preserve">✦  SAP Integration Suite / API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sdt>
              <w:sdtPr>
                <w:id w:val="1999685906"/>
                <w:tag w:val="goog_rdk_5"/>
              </w:sdtPr>
              <w:sdtContent>
                <w:r w:rsidDel="00000000" w:rsidR="00000000" w:rsidRPr="00000000">
                  <w:rPr>
                    <w:rFonts w:ascii="Arial Unicode MS" w:cs="Arial Unicode MS" w:eastAsia="Arial Unicode MS" w:hAnsi="Arial Unicode MS"/>
                    <w:color w:val="595959"/>
                    <w:sz w:val="22"/>
                    <w:szCs w:val="22"/>
                    <w:rtl w:val="0"/>
                  </w:rPr>
                  <w:t xml:space="preserve">✦  Saga Pattern &amp; Distributed Transactions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6">
            <w:pPr>
              <w:rPr/>
            </w:pPr>
            <w:sdt>
              <w:sdtPr>
                <w:id w:val="-1989579630"/>
                <w:tag w:val="goog_rdk_6"/>
              </w:sdtPr>
              <w:sdtContent>
                <w:r w:rsidDel="00000000" w:rsidR="00000000" w:rsidRPr="00000000">
                  <w:rPr>
                    <w:rFonts w:ascii="Arial Unicode MS" w:cs="Arial Unicode MS" w:eastAsia="Arial Unicode MS" w:hAnsi="Arial Unicode MS"/>
                    <w:color w:val="595959"/>
                    <w:sz w:val="22"/>
                    <w:szCs w:val="22"/>
                    <w:rtl w:val="0"/>
                  </w:rPr>
                  <w:t xml:space="preserve">✦  Java / Spring Integration / Kotlin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7">
            <w:pPr>
              <w:rPr/>
            </w:pPr>
            <w:sdt>
              <w:sdtPr>
                <w:id w:val="-1323909758"/>
                <w:tag w:val="goog_rdk_7"/>
              </w:sdtPr>
              <w:sdtContent>
                <w:r w:rsidDel="00000000" w:rsidR="00000000" w:rsidRPr="00000000">
                  <w:rPr>
                    <w:rFonts w:ascii="Arial Unicode MS" w:cs="Arial Unicode MS" w:eastAsia="Arial Unicode MS" w:hAnsi="Arial Unicode MS"/>
                    <w:color w:val="595959"/>
                    <w:sz w:val="22"/>
                    <w:szCs w:val="22"/>
                    <w:rtl w:val="0"/>
                  </w:rPr>
                  <w:t xml:space="preserve">✦  REST / GraphQL / gRPC / SOAP</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8">
            <w:pPr>
              <w:rPr/>
            </w:pPr>
            <w:sdt>
              <w:sdtPr>
                <w:id w:val="7650067"/>
                <w:tag w:val="goog_rdk_8"/>
              </w:sdtPr>
              <w:sdtContent>
                <w:r w:rsidDel="00000000" w:rsidR="00000000" w:rsidRPr="00000000">
                  <w:rPr>
                    <w:rFonts w:ascii="Arial Unicode MS" w:cs="Arial Unicode MS" w:eastAsia="Arial Unicode MS" w:hAnsi="Arial Unicode MS"/>
                    <w:color w:val="595959"/>
                    <w:sz w:val="22"/>
                    <w:szCs w:val="22"/>
                    <w:rtl w:val="0"/>
                  </w:rPr>
                  <w:t xml:space="preserve">✦  Apache Kafka / ActiveMQ / IBM MQ</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9">
            <w:pPr>
              <w:rPr/>
            </w:pPr>
            <w:sdt>
              <w:sdtPr>
                <w:id w:val="-241549182"/>
                <w:tag w:val="goog_rdk_9"/>
              </w:sdtPr>
              <w:sdtContent>
                <w:r w:rsidDel="00000000" w:rsidR="00000000" w:rsidRPr="00000000">
                  <w:rPr>
                    <w:rFonts w:ascii="Arial Unicode MS" w:cs="Arial Unicode MS" w:eastAsia="Arial Unicode MS" w:hAnsi="Arial Unicode MS"/>
                    <w:color w:val="595959"/>
                    <w:sz w:val="22"/>
                    <w:szCs w:val="22"/>
                    <w:rtl w:val="0"/>
                  </w:rPr>
                  <w:t xml:space="preserve">✦  Resilience Engineering &amp; Circuit Breaker</w:t>
                </w:r>
              </w:sdtContent>
            </w:sdt>
            <w:r w:rsidDel="00000000" w:rsidR="00000000" w:rsidRPr="00000000">
              <w:rPr>
                <w:rtl w:val="0"/>
              </w:rPr>
            </w:r>
          </w:p>
        </w:tc>
      </w:tr>
    </w:tbl>
    <w:p w:rsidR="00000000" w:rsidDel="00000000" w:rsidP="00000000" w:rsidRDefault="00000000" w:rsidRPr="00000000" w14:paraId="0000003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HOẠT ĐỘNG</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color w:val="595959"/>
          <w:sz w:val="22"/>
          <w:szCs w:val="22"/>
          <w:rtl w:val="0"/>
        </w:rPr>
        <w:t xml:space="preserve">• MuleSoft Certified Integration Architect – Level 1 (2022)</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 SAP Certified Integration Specialist (2020)</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595959"/>
          <w:sz w:val="22"/>
          <w:szCs w:val="22"/>
          <w:rtl w:val="0"/>
        </w:rPr>
        <w:t xml:space="preserve">• AWS Certified Solutions Architect – Associate (2019)</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color w:val="595959"/>
          <w:sz w:val="22"/>
          <w:szCs w:val="22"/>
          <w:rtl w:val="0"/>
        </w:rPr>
        <w:t xml:space="preserve">• Co-Founder &amp; Organizer – WomenInTech Vietnam (2020 – Hiện tại, 1.200+ thành viên)</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color w:val="595959"/>
          <w:sz w:val="22"/>
          <w:szCs w:val="22"/>
          <w:rtl w:val="0"/>
        </w:rPr>
        <w:t xml:space="preserve">• Diễn giả tại Hội nghị Healthcare IT Vietnam 2022: "Building Resilient Health Information Exchange"</w:t>
      </w:r>
      <w:r w:rsidDel="00000000" w:rsidR="00000000" w:rsidRPr="00000000">
        <w:rPr>
          <w:rtl w:val="0"/>
        </w:rPr>
      </w:r>
    </w:p>
    <w:p w:rsidR="00000000" w:rsidDel="00000000" w:rsidP="00000000" w:rsidRDefault="00000000" w:rsidRPr="00000000" w14:paraId="0000004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Đức: Cơ bản (Goethe A2)</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BltNL+gwqcibvfWVAWdgCW1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pazlxZW91dXV4YzA4AHIhMUQzMTVVVVVnaWJDMjhHQ2M1QmZ0NzdsV21ReFctZC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2026-03-04T15:48:48.181Z</dcterms:created>
  <dc:creator>Un-named</dc:creator>
</cp:coreProperties>
</file>

<file path=docProps/custom.xml><?xml version="1.0" encoding="utf-8"?>
<Properties xmlns="http://schemas.openxmlformats.org/officeDocument/2006/custom-properties" xmlns:vt="http://schemas.openxmlformats.org/officeDocument/2006/docPropsVTypes"/>
</file>