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e1oc2n91v278" w:id="0"/>
      <w:bookmarkEnd w:id="0"/>
      <w:r w:rsidDel="00000000" w:rsidR="00000000" w:rsidRPr="00000000">
        <w:rPr>
          <w:rtl w:val="0"/>
        </w:rPr>
        <w:t xml:space="preserve">Lê Văn Thắng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Business Development Representative (BDR)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thang.lv@techvision.vn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976 441 885</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linkedin.com/in/vanthang-le-bdr</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Gò Vấp,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Lê Văn Thắng là Business Development Representative với 4 năm kinh nghiệm, chuyên về digital sales và social selling trong môi trường B2B SaaS. Thắng là thành viên tech-savvy nhất trong đội BDR: anh thường xuyên là người đầu tiên thử nghiệm và áp dụng các công cụ sales technology mới như AI-assisted outreach, conversation intelligence và buyer intent signals để tăng hiệu quả prospecting. Triết lý bán hàng của Thắng là "Right person, right message, right time" – thay vì gửi hàng loạt, anh đầu tư thời gian nghiên cứu kỹ từng prospect để tạo ra personalised message thực sự có giá trị cho người nhận. Tại TechVision, anh phụ trách phân khúc khách hàng ngành tài chính, ngân hàng và bảo hiểm (BFSI) – lĩnh vực đòi hỏi sự hiểu biết sâu về compliance và quy định pháp lý. Anh còn quản lý kênh digital prospecting và là người xây dựng social media presence cho đội BDR trên LinkedIn, tạo ra nguồn inbound lead ổn định từ content marketing.</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Business Development Representative (Digital Sales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10/2021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phát triển thị trường phân khúc BFSI (Banking, Financial Services, Insurance) cho các sản phẩm TechVision, đặc biệt FinTrack và SecureLink – hai sản phẩm phù hợp nhất với nhu cầu ngành tài chính.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bình quân 105% quota trong 8 quý liên tiếp, chuyên về chất lượng hơn số lượng: mỗi opportunity được qualify kỹ lưỡng với đầy đủ MEDDIC trước khi handoff.</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LinkedIn Content Strategy cho đội BDR: đăng 3 bài viết/tuần về digital transformation trong ngành tài chính, tích lũy 2.500 follower trong 18 tháng và tạo ra 15 inbound leads mỗi tháng từ kênh này.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AI-powered personalization tool (Clay + ChatGPT) cho outbound email, tạo ra email 1-of-1 cá nhân hoá cho từng prospect, nâng open rate từ 28% lên 52% và reply rate từ 6% lên 19%.</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BFSI Compliance Objection Handling Guide – tài liệu giải quyết 20 objection phổ biến nhất của khách hàng ngành tài chính liên quan đến data security, cloud compliance và regulatory requirements.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4 webinar chuyên đề về FinTech transformation cho 50-100 decision maker ngành tài chính mỗi lần, tạo ra pipeline trực tiếp trị giá 12 tỷ đồng từ các sự kiện này.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lựa chọn tham gia chương trình Vietnam Fintech Festival 2022 và 2023 với tư cách đại diện TechVision, ký kết được 3 MoU với các tổ chức tài chính lớn.</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Inside Sales / Business Development</w:t>
      </w:r>
      <w:r w:rsidDel="00000000" w:rsidR="00000000" w:rsidRPr="00000000">
        <w:rPr>
          <w:rFonts w:ascii="Arial" w:cs="Arial" w:eastAsia="Arial" w:hAnsi="Arial"/>
          <w:color w:val="595959"/>
          <w:sz w:val="22"/>
          <w:szCs w:val="22"/>
          <w:rtl w:val="0"/>
        </w:rPr>
        <w:t xml:space="preserve">  |  FiinGroup</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06/2019 – Tháng 09/2021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bán giải pháp dữ liệu tài chính và phân tích tín dụng FiinGroup cho khách hàng ngân hàng, công ty chứng khoán và quỹ đầu tư tại Việt Nam.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kênh bán hàng digital: tối ưu hoá LinkedIn profile và cold outreach strategy, nâng appointment booking rate từ 5% lên 18% trong 12 tháng.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122% revenue target năm 2020 trong bối cảnh COVID-19 bằng cách chuyển toàn bộ hoạt động sang digital sales và virtual demo.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quan hệ với 100+ CFA và CPA tại các tổ chức tài chính, tạo ra mạng lưới referral nội bộ đóng góp 25% deal mới.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Top Sales Q3/2020 nhờ đóng cửa thành công hợp đồng lớn nhất trong lịch sử công ty với một tập đoàn ngân hàng quốc doanh.</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Sales Consultant</w:t>
      </w:r>
      <w:r w:rsidDel="00000000" w:rsidR="00000000" w:rsidRPr="00000000">
        <w:rPr>
          <w:rFonts w:ascii="Arial" w:cs="Arial" w:eastAsia="Arial" w:hAnsi="Arial"/>
          <w:color w:val="595959"/>
          <w:sz w:val="22"/>
          <w:szCs w:val="22"/>
          <w:rtl w:val="0"/>
        </w:rPr>
        <w:t xml:space="preserve">  |  VNDirect Securities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05/2019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 vấn và phát triển tệp khách hàng cá nhân đầu tư chứng khoán, đồng thời phụ trách mảng dịch vụ tài chính cho doanh nghiệp SME.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danh mục 150+ tài khoản khách hàng với tổng tài sản quản lý đạt 50 tỷ đồng.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lũy kiến thức sâu về thị trường tài chính Việt Nam và regulatory landscape – nền tảng then chốt cho việc bán phần mềm cho ngành BFSI sau này.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thành chứng chỉ Đại lý Chứng khoán và Đại lý Quỹ đầu tư, hiểu rõ luật chứng khoán và quy định của Ủy ban Chứng khoán Nhà nước.</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Tài chính – Ngân hàng</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Tài chính Doanh nghiệp | GPA: 3.50/4.0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tại KPMG Vietnam – exposure về audit và tư vấn tài chính cho doanh nghiệp lớn</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759668598"/>
                <w:tag w:val="goog_rdk_0"/>
              </w:sdtPr>
              <w:sdtContent>
                <w:r w:rsidDel="00000000" w:rsidR="00000000" w:rsidRPr="00000000">
                  <w:rPr>
                    <w:rFonts w:ascii="Arial Unicode MS" w:cs="Arial Unicode MS" w:eastAsia="Arial Unicode MS" w:hAnsi="Arial Unicode MS"/>
                    <w:color w:val="595959"/>
                    <w:sz w:val="22"/>
                    <w:szCs w:val="22"/>
                    <w:rtl w:val="0"/>
                  </w:rPr>
                  <w:t xml:space="preserve">✦  Digital Sales &amp; Social Selling (LinkedIn)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077040093"/>
                <w:tag w:val="goog_rdk_1"/>
              </w:sdtPr>
              <w:sdtContent>
                <w:r w:rsidDel="00000000" w:rsidR="00000000" w:rsidRPr="00000000">
                  <w:rPr>
                    <w:rFonts w:ascii="Arial Unicode MS" w:cs="Arial Unicode MS" w:eastAsia="Arial Unicode MS" w:hAnsi="Arial Unicode MS"/>
                    <w:color w:val="595959"/>
                    <w:sz w:val="22"/>
                    <w:szCs w:val="22"/>
                    <w:rtl w:val="0"/>
                  </w:rPr>
                  <w:t xml:space="preserve">✦  AI-Powered Personalization (Clay / Apollo)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800856532"/>
                <w:tag w:val="goog_rdk_2"/>
              </w:sdtPr>
              <w:sdtContent>
                <w:r w:rsidDel="00000000" w:rsidR="00000000" w:rsidRPr="00000000">
                  <w:rPr>
                    <w:rFonts w:ascii="Arial Unicode MS" w:cs="Arial Unicode MS" w:eastAsia="Arial Unicode MS" w:hAnsi="Arial Unicode MS"/>
                    <w:color w:val="595959"/>
                    <w:sz w:val="22"/>
                    <w:szCs w:val="22"/>
                    <w:rtl w:val="0"/>
                  </w:rPr>
                  <w:t xml:space="preserve">✦  BFSI Domain Knowledge &amp; Compliance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513799374"/>
                <w:tag w:val="goog_rdk_3"/>
              </w:sdtPr>
              <w:sdtContent>
                <w:r w:rsidDel="00000000" w:rsidR="00000000" w:rsidRPr="00000000">
                  <w:rPr>
                    <w:rFonts w:ascii="Arial Unicode MS" w:cs="Arial Unicode MS" w:eastAsia="Arial Unicode MS" w:hAnsi="Arial Unicode MS"/>
                    <w:color w:val="595959"/>
                    <w:sz w:val="22"/>
                    <w:szCs w:val="22"/>
                    <w:rtl w:val="0"/>
                  </w:rPr>
                  <w:t xml:space="preserve">✦  Content Marketing for Demand Generation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28079815"/>
                <w:tag w:val="goog_rdk_4"/>
              </w:sdtPr>
              <w:sdtContent>
                <w:r w:rsidDel="00000000" w:rsidR="00000000" w:rsidRPr="00000000">
                  <w:rPr>
                    <w:rFonts w:ascii="Arial Unicode MS" w:cs="Arial Unicode MS" w:eastAsia="Arial Unicode MS" w:hAnsi="Arial Unicode MS"/>
                    <w:color w:val="595959"/>
                    <w:sz w:val="22"/>
                    <w:szCs w:val="22"/>
                    <w:rtl w:val="0"/>
                  </w:rPr>
                  <w:t xml:space="preserve">✦  CRM: Salesforce / HubSpot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782818539"/>
                <w:tag w:val="goog_rdk_5"/>
              </w:sdtPr>
              <w:sdtContent>
                <w:r w:rsidDel="00000000" w:rsidR="00000000" w:rsidRPr="00000000">
                  <w:rPr>
                    <w:rFonts w:ascii="Arial Unicode MS" w:cs="Arial Unicode MS" w:eastAsia="Arial Unicode MS" w:hAnsi="Arial Unicode MS"/>
                    <w:color w:val="595959"/>
                    <w:sz w:val="22"/>
                    <w:szCs w:val="22"/>
                    <w:rtl w:val="0"/>
                  </w:rPr>
                  <w:t xml:space="preserve">✦  MEDDIC Qualification Framework</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848178940"/>
                <w:tag w:val="goog_rdk_6"/>
              </w:sdtPr>
              <w:sdtContent>
                <w:r w:rsidDel="00000000" w:rsidR="00000000" w:rsidRPr="00000000">
                  <w:rPr>
                    <w:rFonts w:ascii="Arial Unicode MS" w:cs="Arial Unicode MS" w:eastAsia="Arial Unicode MS" w:hAnsi="Arial Unicode MS"/>
                    <w:color w:val="595959"/>
                    <w:sz w:val="22"/>
                    <w:szCs w:val="22"/>
                    <w:rtl w:val="0"/>
                  </w:rPr>
                  <w:t xml:space="preserve">✦  Webinar &amp; Virtual Event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612098628"/>
                <w:tag w:val="goog_rdk_7"/>
              </w:sdtPr>
              <w:sdtContent>
                <w:r w:rsidDel="00000000" w:rsidR="00000000" w:rsidRPr="00000000">
                  <w:rPr>
                    <w:rFonts w:ascii="Arial Unicode MS" w:cs="Arial Unicode MS" w:eastAsia="Arial Unicode MS" w:hAnsi="Arial Unicode MS"/>
                    <w:color w:val="595959"/>
                    <w:sz w:val="22"/>
                    <w:szCs w:val="22"/>
                    <w:rtl w:val="0"/>
                  </w:rPr>
                  <w:t xml:space="preserve">✦  Buyer Intent Data &amp; Signal Monitoring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2060937369"/>
                <w:tag w:val="goog_rdk_8"/>
              </w:sdtPr>
              <w:sdtContent>
                <w:r w:rsidDel="00000000" w:rsidR="00000000" w:rsidRPr="00000000">
                  <w:rPr>
                    <w:rFonts w:ascii="Arial Unicode MS" w:cs="Arial Unicode MS" w:eastAsia="Arial Unicode MS" w:hAnsi="Arial Unicode MS"/>
                    <w:color w:val="595959"/>
                    <w:sz w:val="22"/>
                    <w:szCs w:val="22"/>
                    <w:rtl w:val="0"/>
                  </w:rPr>
                  <w:t xml:space="preserve">✦  Financial Products &amp; Regulatory Knowledge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9284659"/>
                <w:tag w:val="goog_rdk_9"/>
              </w:sdtPr>
              <w:sdtContent>
                <w:r w:rsidDel="00000000" w:rsidR="00000000" w:rsidRPr="00000000">
                  <w:rPr>
                    <w:rFonts w:ascii="Arial Unicode MS" w:cs="Arial Unicode MS" w:eastAsia="Arial Unicode MS" w:hAnsi="Arial Unicode MS"/>
                    <w:color w:val="595959"/>
                    <w:sz w:val="22"/>
                    <w:szCs w:val="22"/>
                    <w:rtl w:val="0"/>
                  </w:rPr>
                  <w:t xml:space="preserve">✦  Pipeline Analytics &amp; Forecasting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Inbound Sales Certification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Chứng chỉ Đại lý Chứng khoán – UBCKNN (2018)</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Chứng chỉ Đại lý Quỹ Đầu tư Chứng khoán (2018)</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LinkedIn Top Voice – chủ đề FinTech Vietnam (2023): bài viết đạt 15.000+ lượt xem</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Hoàn thành: Modern Sales Prospecting – Coursera / Kellogg School of Management (2022)</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Trung: Giao tiếp kinh doanh (HSK 4)</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yr8tvdHu+VpMLC99BFZW/WAI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lMW9jMm45MXYyNzg4AHIhMWdrRll6TDl5RnUzYmxaVDRMM0J0U2U5V21kNUZ2Q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2026-03-05T02:42:49.710Z</dcterms:created>
  <dc:creator>Un-named</dc:creator>
</cp:coreProperties>
</file>

<file path=docProps/custom.xml><?xml version="1.0" encoding="utf-8"?>
<Properties xmlns="http://schemas.openxmlformats.org/officeDocument/2006/custom-properties" xmlns:vt="http://schemas.openxmlformats.org/officeDocument/2006/docPropsVTypes"/>
</file>