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60" w:lineRule="auto"/>
        <w:jc w:val="center"/>
        <w:rPr/>
      </w:pPr>
      <w:bookmarkStart w:colFirst="0" w:colLast="0" w:name="_heading=h.b6dnjmv7z9jx" w:id="0"/>
      <w:bookmarkEnd w:id="0"/>
      <w:r w:rsidDel="00000000" w:rsidR="00000000" w:rsidRPr="00000000">
        <w:rPr>
          <w:b w:val="1"/>
          <w:bCs w:val="1"/>
          <w:color w:val="1f4e79"/>
          <w:rtl w:val="0"/>
        </w:rPr>
        <w:t xml:space="preserve">Nguyễn Thị Kim Anh</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Content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kimanh.nt@techvision.vn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922 775 448</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Portfolio: </w:t>
      </w:r>
      <w:r w:rsidDel="00000000" w:rsidR="00000000" w:rsidRPr="00000000">
        <w:rPr>
          <w:rFonts w:ascii="Arial" w:cs="Arial" w:eastAsia="Arial" w:hAnsi="Arial"/>
          <w:color w:val="595959"/>
          <w:sz w:val="22"/>
          <w:szCs w:val="22"/>
          <w:rtl w:val="0"/>
        </w:rPr>
        <w:t xml:space="preserve">kimanhwrites.com</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linkedin.com/in/kimanhng-content</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595959"/>
          <w:sz w:val="22"/>
          <w:szCs w:val="22"/>
          <w:rtl w:val="0"/>
        </w:rPr>
        <w:t xml:space="preserve">Nguyễn Thị Kim Anh là Content Marketing Specialist với 6 năm kinh nghiệm, chuyên tạo ra nội dung B2B chuyên sâu cho ngành công nghệ phần mềm. Cô có khả năng hiếm có là biến những khái niệm kỹ thuật phức tạp thành nội dung hấp dẫn, dễ đọc và có giá trị thực sự cho người đọc là decision maker doanh nghiệp – điều mà không phải content writer nào cũng làm được. Kim Anh viết với tư duy của một nhà báo: luôn đặt câu hỏi "tại sao người đọc quan tâm đến điều này?" trước khi viết bất kỳ chữ nào. Phong cách viết của cô được đánh giá cao nhờ sự kết hợp giữa insight thực tiễn từ phỏng vấn chuyên gia, dữ liệu nghiên cứu có căn cứ và storytelling cuốn hút. Tại TechVision, cô chịu trách nhiệm toàn bộ thought leadership content và SEO content strategy, đóng góp quan trọng vào việc xây dựng uy tín thương hiệu TechVision trong cộng đồng doanh nghiệp Việt Nam. Blog của cô trên TechVision đã trở thành một trong những nguồn tài nguyên được chia sẻ nhiều nhất về chuyển đổi số doanh nghiệp tại Việt Nam.</w:t>
      </w:r>
      <w:r w:rsidDel="00000000" w:rsidR="00000000" w:rsidRPr="00000000">
        <w:rPr>
          <w:rtl w:val="0"/>
        </w:rPr>
      </w:r>
    </w:p>
    <w:p w:rsidR="00000000" w:rsidDel="00000000" w:rsidP="00000000" w:rsidRDefault="00000000" w:rsidRPr="00000000" w14:paraId="0000000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rFonts w:ascii="Arial" w:cs="Arial" w:eastAsia="Arial" w:hAnsi="Arial"/>
          <w:b w:val="1"/>
          <w:bCs w:val="1"/>
          <w:color w:val="1f4e79"/>
          <w:sz w:val="24"/>
          <w:szCs w:val="24"/>
          <w:rtl w:val="0"/>
        </w:rPr>
        <w:t xml:space="preserve">Content Marketing Specialist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i w:val="1"/>
          <w:iCs w:val="1"/>
          <w:color w:val="2e75b6"/>
          <w:sz w:val="20"/>
          <w:szCs w:val="20"/>
          <w:rtl w:val="0"/>
        </w:rPr>
        <w:t xml:space="preserve">Tháng 07/2022 – Hiện tại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thực thi toàn bộ Content Strategy cho TechVision bao gồm blog, white paper, case study, video script và social media – tăng organic traffic từ website lên 320% trong 18 tháng.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60+ bài viết dài chuyên sâu (2.000-5.000 chữ) mỗi năm về các chủ đề chuyển đổi số, SaaS và công nghệ doanh nghiệp, trong đó 15 bài đạt vị trí top 3 Google cho từ khoá mục tiêu.</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TechVision Thought Leadership Program: phỏng vấn và ghostwrite cho 5 C-level executive của công ty, tạo ra 30+ bài LinkedIn article với tổng lượt đọc 200.000+ trong năm 2023.</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Content Calendar 12 tháng phối hợp chặt chẽ với lịch product launch, sự kiện ngành và chu kỳ mua hàng của khách hàng B2B, đảm bảo nội dung luôn đúng thời điểm và ngữ cảnh.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10 Case Study chuyên sâu theo chuẩn quốc tế: phỏng vấn khách hàng, trình bày ROI cụ thể bằng số liệu, được Sales Team sử dụng trực tiếp để đóng 15 deal Enterprise.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TechVision Newsletter hàng tuần với 5.000 subscriber, open rate 38% – cao gấp đôi benchmark ngành B2B SaaS.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Content Brief và biên tập nội dung từ 2 content writer freelance, đảm bảo nhất quán về tone of voice và chất lượng trên tất cả kênh truyền thông.</w:t>
      </w:r>
    </w:p>
    <w:p w:rsidR="00000000" w:rsidDel="00000000" w:rsidP="00000000" w:rsidRDefault="00000000" w:rsidRPr="00000000" w14:paraId="00000015">
      <w:pPr>
        <w:spacing w:after="20" w:before="140" w:lineRule="auto"/>
        <w:rPr/>
      </w:pPr>
      <w:r w:rsidDel="00000000" w:rsidR="00000000" w:rsidRPr="00000000">
        <w:rPr>
          <w:rFonts w:ascii="Arial" w:cs="Arial" w:eastAsia="Arial" w:hAnsi="Arial"/>
          <w:b w:val="1"/>
          <w:bCs w:val="1"/>
          <w:color w:val="1f4e79"/>
          <w:sz w:val="24"/>
          <w:szCs w:val="24"/>
          <w:rtl w:val="0"/>
        </w:rPr>
        <w:t xml:space="preserve">Content Marketing Specialist</w:t>
      </w:r>
      <w:r w:rsidDel="00000000" w:rsidR="00000000" w:rsidRPr="00000000">
        <w:rPr>
          <w:rFonts w:ascii="Arial" w:cs="Arial" w:eastAsia="Arial" w:hAnsi="Arial"/>
          <w:color w:val="595959"/>
          <w:sz w:val="22"/>
          <w:szCs w:val="22"/>
          <w:rtl w:val="0"/>
        </w:rPr>
        <w:t xml:space="preserve">  |  Sapo Technology</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i w:val="1"/>
          <w:iCs w:val="1"/>
          <w:color w:val="2e75b6"/>
          <w:sz w:val="20"/>
          <w:szCs w:val="20"/>
          <w:rtl w:val="0"/>
        </w:rPr>
        <w:t xml:space="preserve">Tháng 05/2020 – Tháng 06/2022</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content marketing cho nền tảng quản lý bán lẻ Sapo, tập trung vào content phục vụ SME merchant và nội dung SEO mang lại traffic tự nhiên.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Sapo Academy – hub kiến thức về kinh doanh bán lẻ với 300+ bài viết và video tutorial, thu hút 80.000 lượt đọc mỗi tháng và trở thành kênh lead generation quan trọng.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và sản xuất chuỗi ebook "Hướng dẫn bán hàng đa kênh" – 5 tập, mỗi tập được download 3.000+ lần và dùng làm lead magnet trong email marketing.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đội SEO thực hiện content audit toàn bộ website (500+ trang), tối ưu hoá 100 trang ưu tiên cao giúp tăng organic traffic 90% trong 12 tháng.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30+ phỏng vấn khách hàng để tạo user-generated insight và customer story content, xây dựng nên bộ sưu tập câu chuyện thành công đáng tin cậy nhất ngành.</w:t>
      </w:r>
    </w:p>
    <w:p w:rsidR="00000000" w:rsidDel="00000000" w:rsidP="00000000" w:rsidRDefault="00000000" w:rsidRPr="00000000" w14:paraId="0000001C">
      <w:pPr>
        <w:spacing w:after="20" w:before="140" w:lineRule="auto"/>
        <w:rPr/>
      </w:pPr>
      <w:r w:rsidDel="00000000" w:rsidR="00000000" w:rsidRPr="00000000">
        <w:rPr>
          <w:rFonts w:ascii="Arial" w:cs="Arial" w:eastAsia="Arial" w:hAnsi="Arial"/>
          <w:b w:val="1"/>
          <w:bCs w:val="1"/>
          <w:color w:val="1f4e79"/>
          <w:sz w:val="24"/>
          <w:szCs w:val="24"/>
          <w:rtl w:val="0"/>
        </w:rPr>
        <w:t xml:space="preserve">Copywriter &amp; Content Creator</w:t>
      </w:r>
      <w:r w:rsidDel="00000000" w:rsidR="00000000" w:rsidRPr="00000000">
        <w:rPr>
          <w:rFonts w:ascii="Arial" w:cs="Arial" w:eastAsia="Arial" w:hAnsi="Arial"/>
          <w:color w:val="595959"/>
          <w:sz w:val="22"/>
          <w:szCs w:val="22"/>
          <w:rtl w:val="0"/>
        </w:rPr>
        <w:t xml:space="preserve">  |  Ogilvy Vietnam</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04/2020</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nội dung sáng tạo cho 20+ thương hiệu lớn trong các ngành FMCG, tài chính và công nghệ tiêu dùng.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copy cho các chiến dịch integrated marketing đa kênh (TVC, print, digital, social), trong đó 3 chiến dịch giành giải Effie Vietnam.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đổi chuyên môn từ B2C advertising sang B2B content marketing sau khi nhận ra niềm đam mê với nội dung có chiều sâu và giá trị dài hạn.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nền tảng storytelling và creative writing vững chắc – kỹ năng cốt lõi giúp nội dung B2B của cô khác biệt so với đa số competitor.</w:t>
      </w:r>
    </w:p>
    <w:p w:rsidR="00000000" w:rsidDel="00000000" w:rsidP="00000000" w:rsidRDefault="00000000" w:rsidRPr="00000000" w14:paraId="0000002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3">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Báo chí &amp; Truyền thông</w:t>
      </w:r>
      <w:r w:rsidDel="00000000" w:rsidR="00000000" w:rsidRPr="00000000">
        <w:rPr>
          <w:rFonts w:ascii="Arial" w:cs="Arial" w:eastAsia="Arial" w:hAnsi="Arial"/>
          <w:color w:val="595959"/>
          <w:sz w:val="22"/>
          <w:szCs w:val="22"/>
          <w:rtl w:val="0"/>
        </w:rPr>
        <w:t xml:space="preserve">  |  Đại học Khoa học Xã hội &amp; Nhân văn – ĐHQG TP.HCM</w:t>
      </w: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Báo chí Đa phương tiện | GPA: 3.72/4.0 | Tốt nghiệp Loại Giỏi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tập tại báo Tuổi Trẻ và VnExpress; giữ vị trí Tổng Biên tập tạp chí sinh viên USSH Magazine 2 năm</w:t>
      </w:r>
    </w:p>
    <w:p w:rsidR="00000000" w:rsidDel="00000000" w:rsidP="00000000" w:rsidRDefault="00000000" w:rsidRPr="00000000" w14:paraId="0000002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550261961"/>
                <w:tag w:val="goog_rdk_0"/>
              </w:sdtPr>
              <w:sdtContent>
                <w:r w:rsidDel="00000000" w:rsidR="00000000" w:rsidRPr="00000000">
                  <w:rPr>
                    <w:rFonts w:ascii="Arial Unicode MS" w:cs="Arial Unicode MS" w:eastAsia="Arial Unicode MS" w:hAnsi="Arial Unicode MS"/>
                    <w:color w:val="595959"/>
                    <w:sz w:val="22"/>
                    <w:szCs w:val="22"/>
                    <w:rtl w:val="0"/>
                  </w:rPr>
                  <w:t xml:space="preserve">✦  B2B Content Strategy &amp; Editorial Planning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922845363"/>
                <w:tag w:val="goog_rdk_1"/>
              </w:sdtPr>
              <w:sdtContent>
                <w:r w:rsidDel="00000000" w:rsidR="00000000" w:rsidRPr="00000000">
                  <w:rPr>
                    <w:rFonts w:ascii="Arial Unicode MS" w:cs="Arial Unicode MS" w:eastAsia="Arial Unicode MS" w:hAnsi="Arial Unicode MS"/>
                    <w:color w:val="595959"/>
                    <w:sz w:val="22"/>
                    <w:szCs w:val="22"/>
                    <w:rtl w:val="0"/>
                  </w:rPr>
                  <w:t xml:space="preserve">✦  Long-Form Writing &amp; Thought Leadership</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580890406"/>
                <w:tag w:val="goog_rdk_2"/>
              </w:sdtPr>
              <w:sdtContent>
                <w:r w:rsidDel="00000000" w:rsidR="00000000" w:rsidRPr="00000000">
                  <w:rPr>
                    <w:rFonts w:ascii="Arial Unicode MS" w:cs="Arial Unicode MS" w:eastAsia="Arial Unicode MS" w:hAnsi="Arial Unicode MS"/>
                    <w:color w:val="595959"/>
                    <w:sz w:val="22"/>
                    <w:szCs w:val="22"/>
                    <w:rtl w:val="0"/>
                  </w:rPr>
                  <w:t xml:space="preserve">✦  SEO Content &amp; Keyword Research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389560793"/>
                <w:tag w:val="goog_rdk_3"/>
              </w:sdtPr>
              <w:sdtContent>
                <w:r w:rsidDel="00000000" w:rsidR="00000000" w:rsidRPr="00000000">
                  <w:rPr>
                    <w:rFonts w:ascii="Arial Unicode MS" w:cs="Arial Unicode MS" w:eastAsia="Arial Unicode MS" w:hAnsi="Arial Unicode MS"/>
                    <w:color w:val="595959"/>
                    <w:sz w:val="22"/>
                    <w:szCs w:val="22"/>
                    <w:rtl w:val="0"/>
                  </w:rPr>
                  <w:t xml:space="preserve">✦  Case Study &amp; White Paper Production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513085154"/>
                <w:tag w:val="goog_rdk_4"/>
              </w:sdtPr>
              <w:sdtContent>
                <w:r w:rsidDel="00000000" w:rsidR="00000000" w:rsidRPr="00000000">
                  <w:rPr>
                    <w:rFonts w:ascii="Arial Unicode MS" w:cs="Arial Unicode MS" w:eastAsia="Arial Unicode MS" w:hAnsi="Arial Unicode MS"/>
                    <w:color w:val="595959"/>
                    <w:sz w:val="22"/>
                    <w:szCs w:val="22"/>
                    <w:rtl w:val="0"/>
                  </w:rPr>
                  <w:t xml:space="preserve">✦  Ghostwriting &amp; Executive Branding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752822738"/>
                <w:tag w:val="goog_rdk_5"/>
              </w:sdtPr>
              <w:sdtContent>
                <w:r w:rsidDel="00000000" w:rsidR="00000000" w:rsidRPr="00000000">
                  <w:rPr>
                    <w:rFonts w:ascii="Arial Unicode MS" w:cs="Arial Unicode MS" w:eastAsia="Arial Unicode MS" w:hAnsi="Arial Unicode MS"/>
                    <w:color w:val="595959"/>
                    <w:sz w:val="22"/>
                    <w:szCs w:val="22"/>
                    <w:rtl w:val="0"/>
                  </w:rPr>
                  <w:t xml:space="preserve">✦  Email Newsletter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62787442"/>
                <w:tag w:val="goog_rdk_6"/>
              </w:sdtPr>
              <w:sdtContent>
                <w:r w:rsidDel="00000000" w:rsidR="00000000" w:rsidRPr="00000000">
                  <w:rPr>
                    <w:rFonts w:ascii="Arial Unicode MS" w:cs="Arial Unicode MS" w:eastAsia="Arial Unicode MS" w:hAnsi="Arial Unicode MS"/>
                    <w:color w:val="595959"/>
                    <w:sz w:val="22"/>
                    <w:szCs w:val="22"/>
                    <w:rtl w:val="0"/>
                  </w:rPr>
                  <w:t xml:space="preserve">✦  Content Analytics: GA4 / HubSpot / Semrush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377750621"/>
                <w:tag w:val="goog_rdk_7"/>
              </w:sdtPr>
              <w:sdtContent>
                <w:r w:rsidDel="00000000" w:rsidR="00000000" w:rsidRPr="00000000">
                  <w:rPr>
                    <w:rFonts w:ascii="Arial Unicode MS" w:cs="Arial Unicode MS" w:eastAsia="Arial Unicode MS" w:hAnsi="Arial Unicode MS"/>
                    <w:color w:val="595959"/>
                    <w:sz w:val="22"/>
                    <w:szCs w:val="22"/>
                    <w:rtl w:val="0"/>
                  </w:rPr>
                  <w:t xml:space="preserve">✦  Figma / Canva (content design)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777440252"/>
                <w:tag w:val="goog_rdk_8"/>
              </w:sdtPr>
              <w:sdtContent>
                <w:r w:rsidDel="00000000" w:rsidR="00000000" w:rsidRPr="00000000">
                  <w:rPr>
                    <w:rFonts w:ascii="Arial Unicode MS" w:cs="Arial Unicode MS" w:eastAsia="Arial Unicode MS" w:hAnsi="Arial Unicode MS"/>
                    <w:color w:val="595959"/>
                    <w:sz w:val="22"/>
                    <w:szCs w:val="22"/>
                    <w:rtl w:val="0"/>
                  </w:rPr>
                  <w:t xml:space="preserve">✦  Interview &amp; Research Methodology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445008824"/>
                <w:tag w:val="goog_rdk_9"/>
              </w:sdtPr>
              <w:sdtContent>
                <w:r w:rsidDel="00000000" w:rsidR="00000000" w:rsidRPr="00000000">
                  <w:rPr>
                    <w:rFonts w:ascii="Arial Unicode MS" w:cs="Arial Unicode MS" w:eastAsia="Arial Unicode MS" w:hAnsi="Arial Unicode MS"/>
                    <w:color w:val="595959"/>
                    <w:sz w:val="22"/>
                    <w:szCs w:val="22"/>
                    <w:rtl w:val="0"/>
                  </w:rPr>
                  <w:t xml:space="preserve">✦  Content Localization (Việt–Anh)</w:t>
                </w:r>
              </w:sdtContent>
            </w:sdt>
            <w:r w:rsidDel="00000000" w:rsidR="00000000" w:rsidRPr="00000000">
              <w:rPr>
                <w:rtl w:val="0"/>
              </w:rPr>
            </w:r>
          </w:p>
        </w:tc>
      </w:tr>
    </w:tbl>
    <w:p w:rsidR="00000000" w:rsidDel="00000000" w:rsidP="00000000" w:rsidRDefault="00000000" w:rsidRPr="00000000" w14:paraId="00000032">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HubSpot Content Marketing Certification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Semrush Content Marketing Toolkit Certification (2023)</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Google Analytics 4 Certification (2022)</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3 bài viết lọt vào "Best of Content Marketing" – Content Marketing Vietnam Awards 2023</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Cộng tác viên định kỳ cho Forbes Vietnam, The Saigon Times về chủ đề chuyển đổi số doanh nghiệp</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Side project: newsletter "Góc Nhìn Số" – 3.200 subscriber, open rate 42%, chủ đề digital transformation Việt Nam</w:t>
      </w:r>
      <w:r w:rsidDel="00000000" w:rsidR="00000000" w:rsidRPr="00000000">
        <w:rPr>
          <w:rtl w:val="0"/>
        </w:rPr>
      </w:r>
    </w:p>
    <w:p w:rsidR="00000000" w:rsidDel="00000000" w:rsidP="00000000" w:rsidRDefault="00000000" w:rsidRPr="00000000" w14:paraId="0000003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Tiếng Pháp: Trung cấp (DELF B1)</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YHI0kqM6wE6zg0LZD2y/Zfot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iNmRuam12N3o5ang4AHIhMUNhdV9NaVNSWnNpYXB6LThlRU01QXZIUW9IYnlYMH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2026-03-05T02:42:49.710Z</dcterms:created>
  <dc:creator>Un-named</dc:creator>
</cp:coreProperties>
</file>

<file path=docProps/custom.xml><?xml version="1.0" encoding="utf-8"?>
<Properties xmlns="http://schemas.openxmlformats.org/officeDocument/2006/custom-properties" xmlns:vt="http://schemas.openxmlformats.org/officeDocument/2006/docPropsVTypes"/>
</file>