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2z2bsdgw8jje" w:id="0"/>
      <w:bookmarkEnd w:id="0"/>
      <w:r w:rsidDel="00000000" w:rsidR="00000000" w:rsidRPr="00000000">
        <w:rPr>
          <w:rtl w:val="0"/>
        </w:rPr>
        <w:t xml:space="preserve">Lê Văn Tám</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Deputy Head of Finance</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tam.lv@techvision.vn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908 775 112</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linkedin.com/in/vantam-le-finance</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Lê Văn Tám là Deputy Head of Finance với 12 năm kinh nghiệm trong lĩnh vực tài chính doanh nghiệp, chuyên về Financial Planning &amp; Analysis (FP&amp;A), quản lý ngân sách và business partnering. Khác với nhiều Finance professional thiên về kế toán và compliance, ông Tám định vị bản thân như một "Finance Business Partner" – người dùng tài chính để giúp các bộ phận kinh doanh ra quyết định tốt hơn, không phải người chỉ nhìn lại quá khứ qua báo cáo. Ông có quyền phê duyệt ngân sách (Budget Approval authority) và đóng vai trò kiểm soát viên tài chính trong Hội đồng Quê định TSC – dự án có quy mô đầu tư lớn nhất trong lịch sử công ty. Điểm nổi bật của ông Tám là khả năng xây dựng financial model phức tạp kết hợp với kỹ năng trình bày insight tài chính theo ngôn ngữ mà lãnh đạo phi tài chính có thể hiểu và hành động ngay. Ông cũng được biết đến là người kết nối chặt chẽ khối Tài chính với các bộ phận kinh doanh, xoá bỏ khoảng cách truyền thống giữa "những người biết số" và "những người kiếm số".</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Deputy Head of Finance (Phó Phòng Tài chính &amp; Budget Approval Authority)</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03/2021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FP&amp;A toàn công ty: lập và quản lý ngân sách hàng năm 80+ tỷ đồng, dự báo tài chính hàng quý và phân tích variance giữa actual vs. budget để đề xuất điều chỉnh kịp thời.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Chịu trách nhiệm Budget Approval cho các khoản chi vượt ngưỡng theo uỷ quyền từ CEO và Hội đồng Quản trị, đặc biệt là vai trò kiểm soát tài chính cho dự án TSC – dự án đầu tư lớn nhất công ty với tổng ngân sách 25 tỷ đồng.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3-Year Financial Model cho TechVision phục vụ vòng gọi vốn Series A: mô hình tích hợp P&amp;L, Balance Sheet và Cash Flow với 50+ assumptions và 10 scenario analysis – được nhà đầu tư đánh giá là một trong những financial model bài bản nhất họ đã xem.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Zero-Based Budgeting cho 3 bộ phận thí điểm, kết quả giảm 15% chi phí vận hành mà không ảnh hưởng đến hiệu suất – đang nhân rộng sang toàn công 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SaaS Unit Economics Dashboard: CAC, LTV, Payback Period, Net Revenue Retention cho từng sản phẩm và kênh bán hàng, cung cấp cho CEO và đội lãnh đạo cơ sở để ra quyết định đầu tư vào đâu.</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Board Meeting hàng quý với tư cách Finance Representative, trình bày financial performance và forward-looking outlook cho Hội đồng Quản trị và nhà đầu tư.</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Finance Business Partnering model: phân công Finance Analyst phụ trách từng bộ phận kinh doanh, cung cấp ad-hoc financial analysis hỗ trợ ra quyết định nhanh.</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Finance Manager / Senior FP&amp;A Analyst</w:t>
      </w:r>
      <w:r w:rsidDel="00000000" w:rsidR="00000000" w:rsidRPr="00000000">
        <w:rPr>
          <w:rFonts w:ascii="Arial" w:cs="Arial" w:eastAsia="Arial" w:hAnsi="Arial"/>
          <w:color w:val="595959"/>
          <w:sz w:val="22"/>
          <w:szCs w:val="22"/>
          <w:rtl w:val="0"/>
        </w:rPr>
        <w:t xml:space="preserve">  |  Momo (M_Service JSC)</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06/2017 – Tháng 02/2021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FP&amp;A cho toàn bộ mảng kinh doanh MoMo trong giai đoạn tăng trưởng vũ bão từ 5 triệu lên 20 triệu người dùng.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Financial Model cho từng dịch vụ mới (MoMo Transfer, MoMo Pay, MoMo Invest) bao gồm unit economics, break-even analysis và ROI projection – phục vụ quyết định đầu tư của Ban Điều hành.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quy trình Annual Planning với sự tham gia của 8 business unit, chuẩn hoá quy trình từ 3 tháng xuống còn 6 tuần thông qua template chuẩn và timeline rõ ràng.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và báo cáo monthly financial performance cho CFO và CEO với độ trễ chỉ 3 ngày sau khi đóng tháng, nhờ tự động hoá data pipeline bằng Python và Google Data Studio.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financial due diligence cho 2 vòng gọi vốn của MoMo, chuẩn bị tài liệu tài chính và giải đáp câu hỏi cho nhà đầu tư quốc tế.</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Financial Analyst</w:t>
      </w:r>
      <w:r w:rsidDel="00000000" w:rsidR="00000000" w:rsidRPr="00000000">
        <w:rPr>
          <w:rFonts w:ascii="Arial" w:cs="Arial" w:eastAsia="Arial" w:hAnsi="Arial"/>
          <w:color w:val="595959"/>
          <w:sz w:val="22"/>
          <w:szCs w:val="22"/>
          <w:rtl w:val="0"/>
        </w:rPr>
        <w:t xml:space="preserve">  |  KPMG Vietnam (Advisory Services)</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09/2012 – Tháng 05/2017</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các dự án tư vấn tài chính và định giá doanh nghiệp cho khách hàng trong ngành công nghệ, ngân hàng và bất động sản.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15+ dự án M&amp;A advisory và financial due diligence với tổng giá trị giao dịch hơn 500 triệu USD.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DCF, LBO và Comparable Company Analysis models cho các giao dịch M&amp;A, học được kỹ năng financial modeling chuyên sâu từ môi trường Big 4.</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đề bạt lên Senior Associate sau 3 năm – nhanh hơn 1 năm so với lộ trình thông thường nhờ hiệu suất làm việc xuất sắc.</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Thạc sĩ Tài chính (MSc Finance)</w:t>
      </w:r>
      <w:r w:rsidDel="00000000" w:rsidR="00000000" w:rsidRPr="00000000">
        <w:rPr>
          <w:rFonts w:ascii="Arial" w:cs="Arial" w:eastAsia="Arial" w:hAnsi="Arial"/>
          <w:color w:val="595959"/>
          <w:sz w:val="22"/>
          <w:szCs w:val="22"/>
          <w:rtl w:val="0"/>
        </w:rPr>
        <w:t xml:space="preserve">  |  RMIT University Vietnam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2014 – 2016</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Corporate Finance &amp; Investment | GPA: Distinction | Học bổng Merit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"Valuation of Vietnamese SaaS Companies: A Framework Approach" – Được đề xuất xuất bản tại Journal of Vietnamese Finance</w:t>
      </w:r>
    </w:p>
    <w:p w:rsidR="00000000" w:rsidDel="00000000" w:rsidP="00000000" w:rsidRDefault="00000000" w:rsidRPr="00000000" w14:paraId="00000026">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Tài chính – Kế toán</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Fonts w:ascii="Arial" w:cs="Arial" w:eastAsia="Arial" w:hAnsi="Arial"/>
          <w:i w:val="1"/>
          <w:iCs w:val="1"/>
          <w:color w:val="2e75b6"/>
          <w:sz w:val="20"/>
          <w:szCs w:val="20"/>
          <w:rtl w:val="0"/>
        </w:rPr>
        <w:t xml:space="preserve">2008 – 2012</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Tài chính Doanh nghiệp | GPA: 3.72/4.0 | Tốt nghiệp Loại Giỏi</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bổng KPMG Vietnam Scholarship năm 3 và năm 4 – được tuyển thẳng vào KPMG khi tốt nghiệp</w:t>
      </w:r>
    </w:p>
    <w:p w:rsidR="00000000" w:rsidDel="00000000" w:rsidP="00000000" w:rsidRDefault="00000000" w:rsidRPr="00000000" w14:paraId="0000002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224717659"/>
                <w:tag w:val="goog_rdk_0"/>
              </w:sdtPr>
              <w:sdtContent>
                <w:r w:rsidDel="00000000" w:rsidR="00000000" w:rsidRPr="00000000">
                  <w:rPr>
                    <w:rFonts w:ascii="Arial Unicode MS" w:cs="Arial Unicode MS" w:eastAsia="Arial Unicode MS" w:hAnsi="Arial Unicode MS"/>
                    <w:color w:val="595959"/>
                    <w:sz w:val="22"/>
                    <w:szCs w:val="22"/>
                    <w:rtl w:val="0"/>
                  </w:rPr>
                  <w:t xml:space="preserve">✦  Financial Planning &amp; Analysis (FP&amp;A)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54721885"/>
                <w:tag w:val="goog_rdk_1"/>
              </w:sdtPr>
              <w:sdtContent>
                <w:r w:rsidDel="00000000" w:rsidR="00000000" w:rsidRPr="00000000">
                  <w:rPr>
                    <w:rFonts w:ascii="Arial Unicode MS" w:cs="Arial Unicode MS" w:eastAsia="Arial Unicode MS" w:hAnsi="Arial Unicode MS"/>
                    <w:color w:val="595959"/>
                    <w:sz w:val="22"/>
                    <w:szCs w:val="22"/>
                    <w:rtl w:val="0"/>
                  </w:rPr>
                  <w:t xml:space="preserve">✦  SaaS Unit Economics &amp; Metrics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230222281"/>
                <w:tag w:val="goog_rdk_2"/>
              </w:sdtPr>
              <w:sdtContent>
                <w:r w:rsidDel="00000000" w:rsidR="00000000" w:rsidRPr="00000000">
                  <w:rPr>
                    <w:rFonts w:ascii="Arial Unicode MS" w:cs="Arial Unicode MS" w:eastAsia="Arial Unicode MS" w:hAnsi="Arial Unicode MS"/>
                    <w:color w:val="595959"/>
                    <w:sz w:val="22"/>
                    <w:szCs w:val="22"/>
                    <w:rtl w:val="0"/>
                  </w:rPr>
                  <w:t xml:space="preserve">✦  3-Statement Financial Modeling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563803722"/>
                <w:tag w:val="goog_rdk_3"/>
              </w:sdtPr>
              <w:sdtContent>
                <w:r w:rsidDel="00000000" w:rsidR="00000000" w:rsidRPr="00000000">
                  <w:rPr>
                    <w:rFonts w:ascii="Arial Unicode MS" w:cs="Arial Unicode MS" w:eastAsia="Arial Unicode MS" w:hAnsi="Arial Unicode MS"/>
                    <w:color w:val="595959"/>
                    <w:sz w:val="22"/>
                    <w:szCs w:val="22"/>
                    <w:rtl w:val="0"/>
                  </w:rPr>
                  <w:t xml:space="preserve">✦  M&amp;A Due Diligence &amp; Valuation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589514155"/>
                <w:tag w:val="goog_rdk_4"/>
              </w:sdtPr>
              <w:sdtContent>
                <w:r w:rsidDel="00000000" w:rsidR="00000000" w:rsidRPr="00000000">
                  <w:rPr>
                    <w:rFonts w:ascii="Arial Unicode MS" w:cs="Arial Unicode MS" w:eastAsia="Arial Unicode MS" w:hAnsi="Arial Unicode MS"/>
                    <w:color w:val="595959"/>
                    <w:sz w:val="22"/>
                    <w:szCs w:val="22"/>
                    <w:rtl w:val="0"/>
                  </w:rPr>
                  <w:t xml:space="preserve">✦  Zero-Based Budgeting &amp; Scenario Planning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852026963"/>
                <w:tag w:val="goog_rdk_5"/>
              </w:sdtPr>
              <w:sdtContent>
                <w:r w:rsidDel="00000000" w:rsidR="00000000" w:rsidRPr="00000000">
                  <w:rPr>
                    <w:rFonts w:ascii="Arial Unicode MS" w:cs="Arial Unicode MS" w:eastAsia="Arial Unicode MS" w:hAnsi="Arial Unicode MS"/>
                    <w:color w:val="595959"/>
                    <w:sz w:val="22"/>
                    <w:szCs w:val="22"/>
                    <w:rtl w:val="0"/>
                  </w:rPr>
                  <w:t xml:space="preserve">✦  Budget Management &amp; Approval</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1316228248"/>
                <w:tag w:val="goog_rdk_6"/>
              </w:sdtPr>
              <w:sdtContent>
                <w:r w:rsidDel="00000000" w:rsidR="00000000" w:rsidRPr="00000000">
                  <w:rPr>
                    <w:rFonts w:ascii="Arial Unicode MS" w:cs="Arial Unicode MS" w:eastAsia="Arial Unicode MS" w:hAnsi="Arial Unicode MS"/>
                    <w:color w:val="595959"/>
                    <w:sz w:val="22"/>
                    <w:szCs w:val="22"/>
                    <w:rtl w:val="0"/>
                  </w:rPr>
                  <w:t xml:space="preserve">✦  Business Partnering &amp; Decision Support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1346574923"/>
                <w:tag w:val="goog_rdk_7"/>
              </w:sdtPr>
              <w:sdtContent>
                <w:r w:rsidDel="00000000" w:rsidR="00000000" w:rsidRPr="00000000">
                  <w:rPr>
                    <w:rFonts w:ascii="Arial Unicode MS" w:cs="Arial Unicode MS" w:eastAsia="Arial Unicode MS" w:hAnsi="Arial Unicode MS"/>
                    <w:color w:val="595959"/>
                    <w:sz w:val="22"/>
                    <w:szCs w:val="22"/>
                    <w:rtl w:val="0"/>
                  </w:rPr>
                  <w:t xml:space="preserve">✦  Python / SQL (Financial Data Analysis)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1354984266"/>
                <w:tag w:val="goog_rdk_8"/>
              </w:sdtPr>
              <w:sdtContent>
                <w:r w:rsidDel="00000000" w:rsidR="00000000" w:rsidRPr="00000000">
                  <w:rPr>
                    <w:rFonts w:ascii="Arial Unicode MS" w:cs="Arial Unicode MS" w:eastAsia="Arial Unicode MS" w:hAnsi="Arial Unicode MS"/>
                    <w:color w:val="595959"/>
                    <w:sz w:val="22"/>
                    <w:szCs w:val="22"/>
                    <w:rtl w:val="0"/>
                  </w:rPr>
                  <w:t xml:space="preserve">✦  Power BI / Looker Studio / Excel Advanced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2027262683"/>
                <w:tag w:val="goog_rdk_9"/>
              </w:sdtPr>
              <w:sdtContent>
                <w:r w:rsidDel="00000000" w:rsidR="00000000" w:rsidRPr="00000000">
                  <w:rPr>
                    <w:rFonts w:ascii="Arial Unicode MS" w:cs="Arial Unicode MS" w:eastAsia="Arial Unicode MS" w:hAnsi="Arial Unicode MS"/>
                    <w:color w:val="595959"/>
                    <w:sz w:val="22"/>
                    <w:szCs w:val="22"/>
                    <w:rtl w:val="0"/>
                  </w:rPr>
                  <w:t xml:space="preserve">✦  Board Presentation &amp; Investor Relations</w:t>
                </w:r>
              </w:sdtContent>
            </w:sdt>
            <w:r w:rsidDel="00000000" w:rsidR="00000000" w:rsidRPr="00000000">
              <w:rPr>
                <w:rtl w:val="0"/>
              </w:rPr>
            </w:r>
          </w:p>
        </w:tc>
      </w:tr>
    </w:tbl>
    <w:p w:rsidR="00000000" w:rsidDel="00000000" w:rsidP="00000000" w:rsidRDefault="00000000" w:rsidRPr="00000000" w14:paraId="0000003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CFA Level III Passed – CFA Institute (2019)</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ACCA Fully Qualified Member (2017)</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Chứng chỉ Phân tích Tài chính – Đại học Yale trên Coursera (2021)</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 Financial Model của TechVision được nhà đầu tư Series A đánh giá: "Top 5% best-prepared financial models we've seen from SEA startups"</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Diễn giả tại Vietnam CFO Summit 2023: "FP&amp;A trong kỷ nguyên SaaS – từ backward-looking sang forward-looking"</w:t>
      </w:r>
      <w:r w:rsidDel="00000000" w:rsidR="00000000" w:rsidRPr="00000000">
        <w:rPr>
          <w:rtl w:val="0"/>
        </w:rPr>
      </w:r>
    </w:p>
    <w:p w:rsidR="00000000" w:rsidDel="00000000" w:rsidP="00000000" w:rsidRDefault="00000000" w:rsidRPr="00000000" w14:paraId="0000003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8.0 – sử dụng hàng ngày)  |  Tiếng Nhật: Cơ bản (JLPT N4)</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qVx/oYSbalxk+g45Xj2KnV/i/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yejJic2RndzhqamU4AHIhMXNTdXR0WHFRUmJOQ2l1ZldBRm9ud1VfeVNac2x1UV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2026-03-05T03:05:37.698Z</dcterms:created>
  <dc:creator>Un-named</dc:creator>
</cp:coreProperties>
</file>

<file path=docProps/custom.xml><?xml version="1.0" encoding="utf-8"?>
<Properties xmlns="http://schemas.openxmlformats.org/officeDocument/2006/custom-properties" xmlns:vt="http://schemas.openxmlformats.org/officeDocument/2006/docPropsVTypes"/>
</file>