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dixdwr72o5uj" w:id="0"/>
      <w:bookmarkEnd w:id="0"/>
      <w:r w:rsidDel="00000000" w:rsidR="00000000" w:rsidRPr="00000000">
        <w:rPr>
          <w:rtl w:val="0"/>
        </w:rPr>
        <w:t xml:space="preserve">Nguyễn Minh Truyền</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Head of Human Resources</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truyen.nm@techvision.vn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913 556 774</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linkedin.com/in/minhtruyen-nguyen-hr</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Phú Nhuận,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Nguyễn Minh Truyền là Head of Human Resources với 13 năm kinh nghiệm trong lĩnh vực quản trị nhân sự, chuyên sâu về xây dựng văn hoá doanh nghiệp, phát triển nhân tài và thiết kế hệ thống HR cho công ty công nghệ tăng trưởng nhanh. Ông gia nhập TechVision với sứ mệnh xây dựng từ đầu một bộ máy HR chuyên nghiệp và một môi trường làm việc khiến người tài muốn ở lại và người ngoài muốn gia nhập – trong bối cảnh cạnh tranh nhân tài công nghệ ngày càng khốc liệt. Triết lý HR của ông là "People First, Performance Always" – tạo ra môi trường nơi nhân viên cảm thấy được tôn trọng, có cơ hội phát triển và được giao phó trách nhiệm thực sự, từ đó hiệu suất sẽ tự nhiên theo sau. Dưới sự dẫn dắt của ông, tỷ lệ giữ chân nhân viên của TechVision đạt 88% – cao hơn đáng kể so với benchmark ngành IT tại Việt Nam (72%). Ông Truyền cũng được biết đến là người xây dựng TechVision Engineering Culture – bộ giá trị và nguyên tắc làm việc được kỹ sư trong công ty tự hào chia sẻ trên mạng xã hội.</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Head of Human Resources</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02/2020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từ đầu và lãnh đạo đội HR 10 người bao gồm Talent Acquisition, HR Business Partner và Office Management, phục vụ 120+ nhân sự tại 2 văn phòng TP.HCM và Hà Nội.</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toàn bộ HR Framework cho TechVision: job architecture, grade structure, compensation &amp; benefits philosophy, performance management và career path framework – tạo nền tảng HR bền vững cho giai đoạn công ty tăng trưởng từ 30 lên 120 nhân sự.</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triển khai TechVision Engineering Culture Manifesto – bộ 8 giá trị kỹ thuật và nguyên tắc làm việc được toàn đội Engineering đồng thuận, giúp định hướng hành vi và quyết định hàng ngày – được chia sẻ 500+ lần trên LinkedIn trong năm đầu công bố.</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Compensation Benchmarking process so sánh lương TechVision với thị trường (Mercer, VietnamWorks Salary Report) hàng năm, đảm bảo mức lương luôn ở Top 25th Percentile thị trường – yếu tố then chốt giữ chân kỹ sư giỏi.</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Learning &amp; Development Program toàn diện: Tech Talk hàng tuần, External Training Budget 10 triệu đồng/người/năm, Leadership Pipeline Program cho 15 high-potential và English Communication Course – tổng đầu tư 1,5 tỷ đồng/năm với ROI đo được qua promotion rate và retention.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triển khai Performance Management System theo OKR framework kết hợp Continuous Feedback, thay thế performance review năm một lần truyền thống – tăng tỷ lệ nhân viên đánh giá "hiểu rõ kỳ vọng công việc" từ 55% lên 89% trong năm đầu.</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Duy trì Employee Net Promoter Score (eNPS) ở mức +42 qua khảo sát 2 lần/năm – top quartile trong ngành công nghệ Việt Nam, và tỷ lệ giữ chân nhân sự 88% cao hơn 16 điểm so với benchmark ngành IT.</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HR Manager</w:t>
      </w:r>
      <w:r w:rsidDel="00000000" w:rsidR="00000000" w:rsidRPr="00000000">
        <w:rPr>
          <w:rFonts w:ascii="Arial" w:cs="Arial" w:eastAsia="Arial" w:hAnsi="Arial"/>
          <w:color w:val="595959"/>
          <w:sz w:val="22"/>
          <w:szCs w:val="22"/>
          <w:rtl w:val="0"/>
        </w:rPr>
        <w:t xml:space="preserve">  |  Tiki Corporation</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04/2016 – Tháng 01/2020</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HR cho Engineering và Product Division của Tiki trong giai đoạn tăng trưởng nhanh từ 100 lên 500 kỹ sư.</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Technical Career Ladder 8 bậc từ Junior Engineer đến Principal Engineer, tạo ra lộ trình thăng tiến rõ ràng và giảm turnover của senior engineer 30%.</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Structured Interview Program chuẩn hoá quy trình tuyển dụng kỹ thuật, giảm time-to-hire từ 65 ngày xuống 35 ngày trong khi nâng chất lượng hire đo qua 90-day performance.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Tiki Engineering Blog và Meetup Series nhằm tăng employer branding trong cộng đồng developer – tăng lượng inbound application chất lượng cao 200% trong 18 tháng.</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culture transformation từ startup thuần tuý sang "structured startup" khi Tiki nhận đầu tư Series C, cân bằng giữa tốc độ startup và quy trình chuyên nghiệp.</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HR Business Partner &amp; L&amp;D Specialist</w:t>
      </w:r>
      <w:r w:rsidDel="00000000" w:rsidR="00000000" w:rsidRPr="00000000">
        <w:rPr>
          <w:rFonts w:ascii="Arial" w:cs="Arial" w:eastAsia="Arial" w:hAnsi="Arial"/>
          <w:color w:val="595959"/>
          <w:sz w:val="22"/>
          <w:szCs w:val="22"/>
          <w:rtl w:val="0"/>
        </w:rPr>
        <w:t xml:space="preserve">  |  Gameloft Vietnam</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07/2012 – Tháng 03/2016</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HRBP cho đội phát triển game 300 người, đối tác chiến lược với Game Producer và Studio Director trong các quyết định tổ chức và nhân sự.</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thực thi Leadership Development Program cho 30 Team Lead và Producer, kết hợp training, coaching và stretch assignment trong 12 tháng.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Onboarding Program cho developer mới, giảm thời gian đạt full productivity từ 90 ngày xuống 45 ngày – đo lường bằng code contribution metrics.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tổ chức Gameloft Vietnam Annual Company Trip và Team Building, quản lý ngân sách 500 triệu đồng cho 300 nhân sự.</w:t>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Thạc sĩ Quản trị Nhân sự (MHRM)</w:t>
      </w:r>
      <w:r w:rsidDel="00000000" w:rsidR="00000000" w:rsidRPr="00000000">
        <w:rPr>
          <w:rFonts w:ascii="Arial" w:cs="Arial" w:eastAsia="Arial" w:hAnsi="Arial"/>
          <w:color w:val="595959"/>
          <w:sz w:val="22"/>
          <w:szCs w:val="22"/>
          <w:rtl w:val="0"/>
        </w:rPr>
        <w:t xml:space="preserve">  |  Đại học RMIT Vietnam</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2013 – 2015</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Human Resource Management | GPA: Distinction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Luận văn: "Chiến lược giữ chân kỹ sư phần mềm tại Việt Nam trong bối cảnh cạnh tranh toàn cầu" – Được giảng viên đánh giá là nghiên cứu ứng dụng có giá trị thực tiễn cao</w:t>
      </w:r>
    </w:p>
    <w:p w:rsidR="00000000" w:rsidDel="00000000" w:rsidP="00000000" w:rsidRDefault="00000000" w:rsidRPr="00000000" w14:paraId="00000026">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Quản trị Kinh doanh</w:t>
      </w:r>
      <w:r w:rsidDel="00000000" w:rsidR="00000000" w:rsidRPr="00000000">
        <w:rPr>
          <w:rFonts w:ascii="Arial" w:cs="Arial" w:eastAsia="Arial" w:hAnsi="Arial"/>
          <w:color w:val="595959"/>
          <w:sz w:val="22"/>
          <w:szCs w:val="22"/>
          <w:rtl w:val="0"/>
        </w:rPr>
        <w:t xml:space="preserve">  |  Đại học Kinh tế TP.HCM (UEH)</w:t>
      </w:r>
      <w:r w:rsidDel="00000000" w:rsidR="00000000" w:rsidRPr="00000000">
        <w:rPr>
          <w:rtl w:val="0"/>
        </w:rPr>
      </w:r>
    </w:p>
    <w:p w:rsidR="00000000" w:rsidDel="00000000" w:rsidP="00000000" w:rsidRDefault="00000000" w:rsidRPr="00000000" w14:paraId="00000027">
      <w:pPr>
        <w:spacing w:after="60" w:before="0" w:lineRule="auto"/>
        <w:rPr/>
      </w:pPr>
      <w:r w:rsidDel="00000000" w:rsidR="00000000" w:rsidRPr="00000000">
        <w:rPr>
          <w:rFonts w:ascii="Arial" w:cs="Arial" w:eastAsia="Arial" w:hAnsi="Arial"/>
          <w:i w:val="1"/>
          <w:iCs w:val="1"/>
          <w:color w:val="2e75b6"/>
          <w:sz w:val="20"/>
          <w:szCs w:val="20"/>
          <w:rtl w:val="0"/>
        </w:rPr>
        <w:t xml:space="preserve">2008 – 2012</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Quản trị Nguồn nhân lực | GPA: 3.68/4.0 | Tốt nghiệp Loại Giỏi</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Chủ tịch Câu lạc bộ HR sinh viên UEH – tổ chức 15 workshop và networking event kết nối sinh viên với HR professional</w:t>
      </w:r>
    </w:p>
    <w:p w:rsidR="00000000" w:rsidDel="00000000" w:rsidP="00000000" w:rsidRDefault="00000000" w:rsidRPr="00000000" w14:paraId="0000002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1429855877"/>
                <w:tag w:val="goog_rdk_0"/>
              </w:sdtPr>
              <w:sdtContent>
                <w:r w:rsidDel="00000000" w:rsidR="00000000" w:rsidRPr="00000000">
                  <w:rPr>
                    <w:rFonts w:ascii="Arial Unicode MS" w:cs="Arial Unicode MS" w:eastAsia="Arial Unicode MS" w:hAnsi="Arial Unicode MS"/>
                    <w:color w:val="595959"/>
                    <w:sz w:val="22"/>
                    <w:szCs w:val="22"/>
                    <w:rtl w:val="0"/>
                  </w:rPr>
                  <w:t xml:space="preserve">✦  HR Strategy &amp; Organizational Design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786072147"/>
                <w:tag w:val="goog_rdk_1"/>
              </w:sdtPr>
              <w:sdtContent>
                <w:r w:rsidDel="00000000" w:rsidR="00000000" w:rsidRPr="00000000">
                  <w:rPr>
                    <w:rFonts w:ascii="Arial Unicode MS" w:cs="Arial Unicode MS" w:eastAsia="Arial Unicode MS" w:hAnsi="Arial Unicode MS"/>
                    <w:color w:val="595959"/>
                    <w:sz w:val="22"/>
                    <w:szCs w:val="22"/>
                    <w:rtl w:val="0"/>
                  </w:rPr>
                  <w:t xml:space="preserve">✦  Compensation &amp; Benefits (C&amp;B) Design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1822641701"/>
                <w:tag w:val="goog_rdk_2"/>
              </w:sdtPr>
              <w:sdtContent>
                <w:r w:rsidDel="00000000" w:rsidR="00000000" w:rsidRPr="00000000">
                  <w:rPr>
                    <w:rFonts w:ascii="Arial Unicode MS" w:cs="Arial Unicode MS" w:eastAsia="Arial Unicode MS" w:hAnsi="Arial Unicode MS"/>
                    <w:color w:val="595959"/>
                    <w:sz w:val="22"/>
                    <w:szCs w:val="22"/>
                    <w:rtl w:val="0"/>
                  </w:rPr>
                  <w:t xml:space="preserve">✦  Talent Acquisition Strategy &amp; Employer Brand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2087727162"/>
                <w:tag w:val="goog_rdk_3"/>
              </w:sdtPr>
              <w:sdtContent>
                <w:r w:rsidDel="00000000" w:rsidR="00000000" w:rsidRPr="00000000">
                  <w:rPr>
                    <w:rFonts w:ascii="Arial Unicode MS" w:cs="Arial Unicode MS" w:eastAsia="Arial Unicode MS" w:hAnsi="Arial Unicode MS"/>
                    <w:color w:val="595959"/>
                    <w:sz w:val="22"/>
                    <w:szCs w:val="22"/>
                    <w:rtl w:val="0"/>
                  </w:rPr>
                  <w:t xml:space="preserve">✦  Performance Management (OKR / 360 Feedback)</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1843078870"/>
                <w:tag w:val="goog_rdk_4"/>
              </w:sdtPr>
              <w:sdtContent>
                <w:r w:rsidDel="00000000" w:rsidR="00000000" w:rsidRPr="00000000">
                  <w:rPr>
                    <w:rFonts w:ascii="Arial Unicode MS" w:cs="Arial Unicode MS" w:eastAsia="Arial Unicode MS" w:hAnsi="Arial Unicode MS"/>
                    <w:color w:val="595959"/>
                    <w:sz w:val="22"/>
                    <w:szCs w:val="22"/>
                    <w:rtl w:val="0"/>
                  </w:rPr>
                  <w:t xml:space="preserve">✦  Learning &amp; Development Program Design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1142901452"/>
                <w:tag w:val="goog_rdk_5"/>
              </w:sdtPr>
              <w:sdtContent>
                <w:r w:rsidDel="00000000" w:rsidR="00000000" w:rsidRPr="00000000">
                  <w:rPr>
                    <w:rFonts w:ascii="Arial Unicode MS" w:cs="Arial Unicode MS" w:eastAsia="Arial Unicode MS" w:hAnsi="Arial Unicode MS"/>
                    <w:color w:val="595959"/>
                    <w:sz w:val="22"/>
                    <w:szCs w:val="22"/>
                    <w:rtl w:val="0"/>
                  </w:rPr>
                  <w:t xml:space="preserve">✦  HR Business Partnering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1">
            <w:pPr>
              <w:rPr/>
            </w:pPr>
            <w:sdt>
              <w:sdtPr>
                <w:id w:val="-609092181"/>
                <w:tag w:val="goog_rdk_6"/>
              </w:sdtPr>
              <w:sdtContent>
                <w:r w:rsidDel="00000000" w:rsidR="00000000" w:rsidRPr="00000000">
                  <w:rPr>
                    <w:rFonts w:ascii="Arial Unicode MS" w:cs="Arial Unicode MS" w:eastAsia="Arial Unicode MS" w:hAnsi="Arial Unicode MS"/>
                    <w:color w:val="595959"/>
                    <w:sz w:val="22"/>
                    <w:szCs w:val="22"/>
                    <w:rtl w:val="0"/>
                  </w:rPr>
                  <w:t xml:space="preserve">✦  Culture Building &amp; Employee Engagement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2">
            <w:pPr>
              <w:rPr/>
            </w:pPr>
            <w:sdt>
              <w:sdtPr>
                <w:id w:val="1862702445"/>
                <w:tag w:val="goog_rdk_7"/>
              </w:sdtPr>
              <w:sdtContent>
                <w:r w:rsidDel="00000000" w:rsidR="00000000" w:rsidRPr="00000000">
                  <w:rPr>
                    <w:rFonts w:ascii="Arial Unicode MS" w:cs="Arial Unicode MS" w:eastAsia="Arial Unicode MS" w:hAnsi="Arial Unicode MS"/>
                    <w:color w:val="595959"/>
                    <w:sz w:val="22"/>
                    <w:szCs w:val="22"/>
                    <w:rtl w:val="0"/>
                  </w:rPr>
                  <w:t xml:space="preserve">✦  HR Analytics &amp; People Data</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3">
            <w:pPr>
              <w:rPr/>
            </w:pPr>
            <w:sdt>
              <w:sdtPr>
                <w:id w:val="-775527125"/>
                <w:tag w:val="goog_rdk_8"/>
              </w:sdtPr>
              <w:sdtContent>
                <w:r w:rsidDel="00000000" w:rsidR="00000000" w:rsidRPr="00000000">
                  <w:rPr>
                    <w:rFonts w:ascii="Arial Unicode MS" w:cs="Arial Unicode MS" w:eastAsia="Arial Unicode MS" w:hAnsi="Arial Unicode MS"/>
                    <w:color w:val="595959"/>
                    <w:sz w:val="22"/>
                    <w:szCs w:val="22"/>
                    <w:rtl w:val="0"/>
                  </w:rPr>
                  <w:t xml:space="preserve">✦  HRIS: Workday / BambooHR / GreatDay</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4">
            <w:pPr>
              <w:rPr/>
            </w:pPr>
            <w:sdt>
              <w:sdtPr>
                <w:id w:val="-1704780573"/>
                <w:tag w:val="goog_rdk_9"/>
              </w:sdtPr>
              <w:sdtContent>
                <w:r w:rsidDel="00000000" w:rsidR="00000000" w:rsidRPr="00000000">
                  <w:rPr>
                    <w:rFonts w:ascii="Arial Unicode MS" w:cs="Arial Unicode MS" w:eastAsia="Arial Unicode MS" w:hAnsi="Arial Unicode MS"/>
                    <w:color w:val="595959"/>
                    <w:sz w:val="22"/>
                    <w:szCs w:val="22"/>
                    <w:rtl w:val="0"/>
                  </w:rPr>
                  <w:t xml:space="preserve">✦  Coaching &amp; Leadership Development</w:t>
                </w:r>
              </w:sdtContent>
            </w:sdt>
            <w:r w:rsidDel="00000000" w:rsidR="00000000" w:rsidRPr="00000000">
              <w:rPr>
                <w:rtl w:val="0"/>
              </w:rPr>
            </w:r>
          </w:p>
        </w:tc>
      </w:tr>
    </w:tbl>
    <w:p w:rsidR="00000000" w:rsidDel="00000000" w:rsidP="00000000" w:rsidRDefault="00000000" w:rsidRPr="00000000" w14:paraId="00000035">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GIẢI THƯỞNG</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SHRM-SCP – Senior Certified Professional (Society for Human Resource Management, 2020)</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595959"/>
          <w:sz w:val="22"/>
          <w:szCs w:val="22"/>
          <w:rtl w:val="0"/>
        </w:rPr>
        <w:t xml:space="preserve">• ICF Associate Certified Coach – ACC (International Coaching Federation, 2019)</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 Certified Compensation Professional – CCP (WorldatWork, 2018)</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Fonts w:ascii="Arial" w:cs="Arial" w:eastAsia="Arial" w:hAnsi="Arial"/>
          <w:color w:val="595959"/>
          <w:sz w:val="22"/>
          <w:szCs w:val="22"/>
          <w:rtl w:val="0"/>
        </w:rPr>
        <w:t xml:space="preserve">• Top 50 HR Leaders Vietnam – Vietnam HR Awards 2022</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Arial" w:cs="Arial" w:eastAsia="Arial" w:hAnsi="Arial"/>
          <w:color w:val="595959"/>
          <w:sz w:val="22"/>
          <w:szCs w:val="22"/>
          <w:rtl w:val="0"/>
        </w:rPr>
        <w:t xml:space="preserve">• Speaker tại HR Tech Vietnam 2023: "Building Engineering Culture that Attracts and Retains Top Talent"</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Fonts w:ascii="Arial" w:cs="Arial" w:eastAsia="Arial" w:hAnsi="Arial"/>
          <w:color w:val="595959"/>
          <w:sz w:val="22"/>
          <w:szCs w:val="22"/>
          <w:rtl w:val="0"/>
        </w:rPr>
        <w:t xml:space="preserve">• Thành viên Ban Cố vấn – Vietnam Human Resources Management Association (VNHR) từ 2021</w:t>
      </w:r>
      <w:r w:rsidDel="00000000" w:rsidR="00000000" w:rsidRPr="00000000">
        <w:rPr>
          <w:rtl w:val="0"/>
        </w:rPr>
      </w:r>
    </w:p>
    <w:p w:rsidR="00000000" w:rsidDel="00000000" w:rsidP="00000000" w:rsidRDefault="00000000" w:rsidRPr="00000000" w14:paraId="0000003C">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8.0)  |  Tiếng Pháp: Trung cấp (DELF B1)</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b9bZwUd6+Xgc1tFn2BWnd8SzV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kaXhkd3I3Mm81dWo4AHIhMUdIMEkydno1MWQ3Mkp3QTZ5ZVAweENtaTZWV2VpbU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2026-03-05T03:10:20.859Z</dcterms:created>
  <dc:creator>Un-named</dc:creator>
</cp:coreProperties>
</file>

<file path=docProps/custom.xml><?xml version="1.0" encoding="utf-8"?>
<Properties xmlns="http://schemas.openxmlformats.org/officeDocument/2006/custom-properties" xmlns:vt="http://schemas.openxmlformats.org/officeDocument/2006/docPropsVTypes"/>
</file>