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76C07" w14:textId="77777777" w:rsidR="00F419AF" w:rsidRPr="00F419AF" w:rsidRDefault="00F419AF" w:rsidP="00F419AF">
      <w:pPr>
        <w:pStyle w:val="Title"/>
        <w:rPr>
          <w:sz w:val="44"/>
          <w:szCs w:val="44"/>
        </w:rPr>
      </w:pPr>
      <w:r w:rsidRPr="00F419AF">
        <w:rPr>
          <w:sz w:val="44"/>
          <w:szCs w:val="44"/>
        </w:rPr>
        <w:t>Unlocking Control: GRC Server and Vault as a Strategic Business Asset</w:t>
      </w:r>
    </w:p>
    <w:p w14:paraId="71982BF8" w14:textId="0AF3B59D" w:rsidR="00F419AF" w:rsidRPr="00F419AF" w:rsidRDefault="00F419AF" w:rsidP="00F419AF">
      <w:r w:rsidRPr="00F419AF">
        <w:rPr>
          <w:i/>
          <w:iCs/>
        </w:rPr>
        <w:t xml:space="preserve">By </w:t>
      </w:r>
      <w:r>
        <w:rPr>
          <w:i/>
          <w:iCs/>
        </w:rPr>
        <w:t>Jakes van der Mescht</w:t>
      </w:r>
      <w:r w:rsidRPr="00F419AF">
        <w:rPr>
          <w:i/>
          <w:iCs/>
        </w:rPr>
        <w:t>, Chief Innovation Officer</w:t>
      </w:r>
      <w:r>
        <w:rPr>
          <w:i/>
          <w:iCs/>
        </w:rPr>
        <w:t>, ICCS</w:t>
      </w:r>
    </w:p>
    <w:p w14:paraId="75DBCAB7" w14:textId="58A12DBD" w:rsidR="00F419AF" w:rsidRPr="00F419AF" w:rsidRDefault="00F419AF" w:rsidP="00F419AF">
      <w:r w:rsidRPr="00F419AF">
        <w:t xml:space="preserve">In an age where digital infrastructure is as integral to operations as people and processes, governance, risk, and compliance (GRC) can no longer be viewed as administrative overhead. It must evolve into a strategic, integrated capability that empowers organizations to operate with confidence in complexity. At </w:t>
      </w:r>
      <w:r w:rsidR="0061324E">
        <w:t xml:space="preserve">ICCS </w:t>
      </w:r>
      <w:r w:rsidRPr="00F419AF">
        <w:t xml:space="preserve">we’ve taken this challenge seriously — developing the </w:t>
      </w:r>
      <w:r w:rsidRPr="00C31EE6">
        <w:rPr>
          <w:highlight w:val="yellow"/>
        </w:rPr>
        <w:t>GRC Server and Vault</w:t>
      </w:r>
      <w:r w:rsidRPr="00F419AF">
        <w:t xml:space="preserve"> not just as a </w:t>
      </w:r>
      <w:r w:rsidR="00C5312B">
        <w:t xml:space="preserve">software </w:t>
      </w:r>
      <w:r w:rsidRPr="00F419AF">
        <w:t>solution, but as an intelligent framework shaped by deep understanding.</w:t>
      </w:r>
    </w:p>
    <w:p w14:paraId="0BFCD7FA" w14:textId="77777777" w:rsidR="00F419AF" w:rsidRPr="00F419AF" w:rsidRDefault="00F419AF" w:rsidP="00F419AF">
      <w:pPr>
        <w:pStyle w:val="Heading2"/>
      </w:pPr>
      <w:r w:rsidRPr="00F419AF">
        <w:t>Insight Begins With Understanding</w:t>
      </w:r>
    </w:p>
    <w:p w14:paraId="7DF65148" w14:textId="77777777" w:rsidR="00F419AF" w:rsidRPr="00F419AF" w:rsidRDefault="00F419AF" w:rsidP="00F419AF">
      <w:r w:rsidRPr="00F419AF">
        <w:t xml:space="preserve">We have developed the GRC Service with </w:t>
      </w:r>
      <w:r w:rsidRPr="00F419AF">
        <w:rPr>
          <w:i/>
          <w:iCs/>
        </w:rPr>
        <w:t>understanding</w:t>
      </w:r>
      <w:r w:rsidRPr="00F419AF">
        <w:t xml:space="preserve"> as our starting point. This is not just philosophical positioning — it’s a commitment to translating real-world needs into engineered outcomes. Our team began with a clear mandate: to merge decades of auditing experience with active business knowledge and specialized technological skills on a scientific level.</w:t>
      </w:r>
    </w:p>
    <w:p w14:paraId="6D993196" w14:textId="77777777" w:rsidR="00F419AF" w:rsidRPr="00F419AF" w:rsidRDefault="00F419AF" w:rsidP="00F419AF">
      <w:r w:rsidRPr="00F419AF">
        <w:t>The result is a system that doesn’t just meet regulatory standards but anticipates them. It’s engineered for tamper-proof integrity, real-time oversight, and seamless alignment with the operational cadence of modern enterprises.</w:t>
      </w:r>
    </w:p>
    <w:p w14:paraId="29104034" w14:textId="77777777" w:rsidR="00F419AF" w:rsidRPr="00F419AF" w:rsidRDefault="00F419AF" w:rsidP="00F419AF">
      <w:pPr>
        <w:pStyle w:val="Heading2"/>
      </w:pPr>
      <w:r w:rsidRPr="00F419AF">
        <w:t>From Compliance to Competitive Advantage</w:t>
      </w:r>
    </w:p>
    <w:p w14:paraId="6F7BD657" w14:textId="77777777" w:rsidR="00F419AF" w:rsidRPr="00F419AF" w:rsidRDefault="00F419AF" w:rsidP="00F419AF">
      <w:r w:rsidRPr="00F419AF">
        <w:t>GRC Server and Vault isn’t a checkbox tool. It’s a dynamic asset that transforms compliance into a source of competitive advantage. Here's how:</w:t>
      </w:r>
    </w:p>
    <w:p w14:paraId="7CDAC46F" w14:textId="77777777" w:rsidR="00F419AF" w:rsidRPr="00F419AF" w:rsidRDefault="00F419AF" w:rsidP="00F419AF">
      <w:pPr>
        <w:numPr>
          <w:ilvl w:val="0"/>
          <w:numId w:val="1"/>
        </w:numPr>
      </w:pPr>
      <w:r w:rsidRPr="00F419AF">
        <w:rPr>
          <w:rStyle w:val="Heading3Char"/>
        </w:rPr>
        <w:t>Integrated Risk Management</w:t>
      </w:r>
      <w:r w:rsidRPr="00F419AF">
        <w:rPr>
          <w:b/>
          <w:bCs/>
        </w:rPr>
        <w:t>:</w:t>
      </w:r>
      <w:r w:rsidRPr="00F419AF">
        <w:t xml:space="preserve"> Real-time visibility into operational, IT, and third-party risks — with automated workflows that adapt to change faster than static risk registers ever could.</w:t>
      </w:r>
    </w:p>
    <w:p w14:paraId="6FAEC7D7" w14:textId="77777777" w:rsidR="00F419AF" w:rsidRPr="00F419AF" w:rsidRDefault="00F419AF" w:rsidP="00F419AF">
      <w:pPr>
        <w:numPr>
          <w:ilvl w:val="0"/>
          <w:numId w:val="1"/>
        </w:numPr>
      </w:pPr>
      <w:r w:rsidRPr="00F419AF">
        <w:rPr>
          <w:rStyle w:val="Heading3Char"/>
        </w:rPr>
        <w:t>Immutable Audit Trails</w:t>
      </w:r>
      <w:r w:rsidRPr="00F419AF">
        <w:rPr>
          <w:b/>
          <w:bCs/>
        </w:rPr>
        <w:t>:</w:t>
      </w:r>
      <w:r w:rsidRPr="00F419AF">
        <w:t xml:space="preserve"> Every action, access, and exception is recorded in a cryptographically secured vault, eliminating ambiguity and enabling complete forensic transparency.</w:t>
      </w:r>
    </w:p>
    <w:p w14:paraId="1F356424" w14:textId="77777777" w:rsidR="00F419AF" w:rsidRPr="00F419AF" w:rsidRDefault="00F419AF" w:rsidP="00F419AF">
      <w:pPr>
        <w:numPr>
          <w:ilvl w:val="0"/>
          <w:numId w:val="1"/>
        </w:numPr>
      </w:pPr>
      <w:r w:rsidRPr="00F419AF">
        <w:rPr>
          <w:rStyle w:val="Heading3Char"/>
        </w:rPr>
        <w:t>Policy Automation</w:t>
      </w:r>
      <w:r w:rsidRPr="00F419AF">
        <w:rPr>
          <w:b/>
          <w:bCs/>
        </w:rPr>
        <w:t>:</w:t>
      </w:r>
      <w:r w:rsidRPr="00F419AF">
        <w:t xml:space="preserve"> From access controls to data handling, policies are embedded in the system architecture, ensuring continuous compliance with minimal manual intervention.</w:t>
      </w:r>
    </w:p>
    <w:p w14:paraId="5E4F753E" w14:textId="77777777" w:rsidR="00F419AF" w:rsidRPr="00F419AF" w:rsidRDefault="00F419AF" w:rsidP="00F419AF">
      <w:pPr>
        <w:numPr>
          <w:ilvl w:val="0"/>
          <w:numId w:val="1"/>
        </w:numPr>
      </w:pPr>
      <w:r w:rsidRPr="00F419AF">
        <w:rPr>
          <w:rStyle w:val="Heading3Char"/>
        </w:rPr>
        <w:lastRenderedPageBreak/>
        <w:t>Scalable Architecture</w:t>
      </w:r>
      <w:r w:rsidRPr="00F419AF">
        <w:rPr>
          <w:b/>
          <w:bCs/>
        </w:rPr>
        <w:t>:</w:t>
      </w:r>
      <w:r w:rsidRPr="00F419AF">
        <w:t xml:space="preserve"> Whether you're managing five departments or fifty, the system grows with you, maintaining consistency while accommodating organizational complexity.</w:t>
      </w:r>
    </w:p>
    <w:p w14:paraId="2951C642" w14:textId="77777777" w:rsidR="00F419AF" w:rsidRDefault="00F419AF" w:rsidP="00F419AF">
      <w:pPr>
        <w:numPr>
          <w:ilvl w:val="0"/>
          <w:numId w:val="1"/>
        </w:numPr>
      </w:pPr>
      <w:r w:rsidRPr="00F419AF">
        <w:rPr>
          <w:rStyle w:val="Heading3Char"/>
        </w:rPr>
        <w:t>Continuous Monitoring</w:t>
      </w:r>
      <w:r w:rsidRPr="00F419AF">
        <w:rPr>
          <w:b/>
          <w:bCs/>
        </w:rPr>
        <w:t>:</w:t>
      </w:r>
      <w:r w:rsidRPr="00F419AF">
        <w:t xml:space="preserve"> Unlike traditional audit cycles, our platform provides live dashboards and alerts, ensuring that risks are surfaced before they become exposures.</w:t>
      </w:r>
    </w:p>
    <w:p w14:paraId="1BE58704" w14:textId="7CFFFA30" w:rsidR="00AF1981" w:rsidRPr="00F419AF" w:rsidRDefault="008D0039" w:rsidP="00F419AF">
      <w:pPr>
        <w:numPr>
          <w:ilvl w:val="0"/>
          <w:numId w:val="1"/>
        </w:numPr>
      </w:pPr>
      <w:r>
        <w:rPr>
          <w:rStyle w:val="Heading3Char"/>
        </w:rPr>
        <w:t>Autonomous Agentic workflow:</w:t>
      </w:r>
      <w:r>
        <w:t xml:space="preserve"> </w:t>
      </w:r>
      <w:proofErr w:type="spellStart"/>
      <w:r w:rsidR="0070028C" w:rsidRPr="00662DDD">
        <w:rPr>
          <w:highlight w:val="yellow"/>
        </w:rPr>
        <w:t>grAIc</w:t>
      </w:r>
      <w:proofErr w:type="spellEnd"/>
      <w:r w:rsidR="0070028C">
        <w:t xml:space="preserve"> </w:t>
      </w:r>
      <w:r>
        <w:t xml:space="preserve">allows </w:t>
      </w:r>
      <w:r w:rsidR="0070028C">
        <w:t>organizations</w:t>
      </w:r>
      <w:r>
        <w:t xml:space="preserve"> to harness AI to autonomously drive tasks and processes</w:t>
      </w:r>
      <w:r w:rsidR="002E2CD1">
        <w:t xml:space="preserve">. AI and Agentic AI </w:t>
      </w:r>
      <w:r w:rsidR="0070515B">
        <w:t>have</w:t>
      </w:r>
      <w:r w:rsidR="002E2CD1">
        <w:t xml:space="preserve"> taken the world by </w:t>
      </w:r>
      <w:r w:rsidR="0070028C">
        <w:t>storm but</w:t>
      </w:r>
      <w:r w:rsidR="002E2CD1">
        <w:t xml:space="preserve"> needs </w:t>
      </w:r>
      <w:r w:rsidR="00A04CC6">
        <w:t xml:space="preserve">careful use in order to avoid becoming </w:t>
      </w:r>
      <w:r w:rsidR="00DF4A18">
        <w:t xml:space="preserve"> </w:t>
      </w:r>
      <w:r w:rsidR="002E2CD1">
        <w:t>a never</w:t>
      </w:r>
      <w:r w:rsidR="00DF4A18">
        <w:t>-</w:t>
      </w:r>
      <w:proofErr w:type="spellStart"/>
      <w:r w:rsidR="002E2CD1">
        <w:t>reali</w:t>
      </w:r>
      <w:r w:rsidR="00DF4A18">
        <w:t>sed</w:t>
      </w:r>
      <w:proofErr w:type="spellEnd"/>
      <w:r w:rsidR="00DF4A18">
        <w:t>-</w:t>
      </w:r>
      <w:r w:rsidR="002E2CD1">
        <w:t xml:space="preserve"> </w:t>
      </w:r>
      <w:r w:rsidR="0070515B">
        <w:t>ROI. Rather an immediate impact on costs and time.</w:t>
      </w:r>
    </w:p>
    <w:p w14:paraId="412F99AF" w14:textId="77777777" w:rsidR="00F419AF" w:rsidRPr="00F419AF" w:rsidRDefault="00F419AF" w:rsidP="00F419AF">
      <w:pPr>
        <w:pStyle w:val="Heading2"/>
      </w:pPr>
      <w:r w:rsidRPr="00F419AF">
        <w:t>Designed for the World as It Is — and Will Be</w:t>
      </w:r>
    </w:p>
    <w:p w14:paraId="5A27A1E5" w14:textId="77777777" w:rsidR="00F419AF" w:rsidRPr="00F419AF" w:rsidRDefault="00F419AF" w:rsidP="00F419AF">
      <w:r w:rsidRPr="00F419AF">
        <w:t>What sets our GRC framework apart is not only its robustness but its adaptability. Built to interface with cloud-native environments, hybrid infrastructures, and legacy systems, the platform is both future-ready and backward-compatible. We understand that real transformation doesn’t mean throwing everything out — it means creating intelligent, integrated layers that support progressive modernization.</w:t>
      </w:r>
    </w:p>
    <w:p w14:paraId="3D7AA76E" w14:textId="77777777" w:rsidR="00F419AF" w:rsidRPr="00F419AF" w:rsidRDefault="00F419AF" w:rsidP="00F419AF">
      <w:r w:rsidRPr="00F419AF">
        <w:t>We’ve also made deliberate choices about interoperability — enabling seamless integration with enterprise IAM systems, document management platforms, and SIEM solutions to maintain a unified control plane.</w:t>
      </w:r>
    </w:p>
    <w:p w14:paraId="25760D9D" w14:textId="77777777" w:rsidR="00F419AF" w:rsidRPr="00F419AF" w:rsidRDefault="00F419AF" w:rsidP="00F419AF">
      <w:pPr>
        <w:pStyle w:val="Heading2"/>
      </w:pPr>
      <w:r w:rsidRPr="00F419AF">
        <w:t>Why This Matters</w:t>
      </w:r>
    </w:p>
    <w:p w14:paraId="3CF51408" w14:textId="77777777" w:rsidR="00F419AF" w:rsidRPr="00F419AF" w:rsidRDefault="00F419AF" w:rsidP="00F419AF">
      <w:r w:rsidRPr="00F419AF">
        <w:t xml:space="preserve">In my role as Chief Innovation Officer, I am often asked, “What technology should we invest in next?” My answer increasingly centers not around the next tool — but around </w:t>
      </w:r>
      <w:r w:rsidRPr="00F419AF">
        <w:rPr>
          <w:i/>
          <w:iCs/>
        </w:rPr>
        <w:t>visibility</w:t>
      </w:r>
      <w:r w:rsidRPr="00F419AF">
        <w:t xml:space="preserve">, </w:t>
      </w:r>
      <w:r w:rsidRPr="00F419AF">
        <w:rPr>
          <w:i/>
          <w:iCs/>
        </w:rPr>
        <w:t>verifiability</w:t>
      </w:r>
      <w:r w:rsidRPr="00F419AF">
        <w:t xml:space="preserve">, and </w:t>
      </w:r>
      <w:r w:rsidRPr="00F419AF">
        <w:rPr>
          <w:i/>
          <w:iCs/>
        </w:rPr>
        <w:t>control</w:t>
      </w:r>
      <w:r w:rsidRPr="00F419AF">
        <w:t>. The GRC Server and Vault bring all three into focus. In a time when data breaches, regulatory complexity, and operational disruption are daily risks, businesses need more than dashboards — they need digital certainty.</w:t>
      </w:r>
    </w:p>
    <w:p w14:paraId="210E4223" w14:textId="77777777" w:rsidR="00F419AF" w:rsidRPr="00F419AF" w:rsidRDefault="00F419AF" w:rsidP="00F419AF">
      <w:pPr>
        <w:pStyle w:val="Heading2"/>
      </w:pPr>
      <w:r w:rsidRPr="00F419AF">
        <w:t>Conclusion</w:t>
      </w:r>
    </w:p>
    <w:p w14:paraId="3B0BFA47" w14:textId="77777777" w:rsidR="00F419AF" w:rsidRPr="00F419AF" w:rsidRDefault="00F419AF" w:rsidP="00F419AF">
      <w:r w:rsidRPr="00F419AF">
        <w:t>Our approach to GRC is not just a product — it’s a philosophy. It’s about operational intelligence grounded in auditing science, driven by real-world experience, and delivered through technology that is both rigorous and resilient. With GRC Server and Vault, we give businesses the power to see clearly, act decisively, and demonstrate integrity in everything they do.</w:t>
      </w:r>
    </w:p>
    <w:p w14:paraId="558D4D29" w14:textId="77777777" w:rsidR="00F419AF" w:rsidRPr="00F419AF" w:rsidRDefault="00F419AF" w:rsidP="00F419AF">
      <w:r w:rsidRPr="00F419AF">
        <w:lastRenderedPageBreak/>
        <w:t>The future of compliance isn’t passive. It’s proactive, intelligent, and embedded. That’s the future we’ve built — and it starts with understanding.</w:t>
      </w:r>
    </w:p>
    <w:p w14:paraId="58F483B8" w14:textId="62757C87" w:rsidR="00590F73" w:rsidRDefault="00D929BF">
      <w:r w:rsidRPr="00D929BF">
        <w:rPr>
          <w:highlight w:val="yellow"/>
        </w:rPr>
        <w:t>Consult with us</w:t>
      </w:r>
    </w:p>
    <w:sectPr w:rsidR="0059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27D87"/>
    <w:multiLevelType w:val="multilevel"/>
    <w:tmpl w:val="D6E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3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AF"/>
    <w:rsid w:val="002E2CD1"/>
    <w:rsid w:val="0046694E"/>
    <w:rsid w:val="00590F73"/>
    <w:rsid w:val="0061324E"/>
    <w:rsid w:val="00662DDD"/>
    <w:rsid w:val="0070028C"/>
    <w:rsid w:val="0070515B"/>
    <w:rsid w:val="007E70C6"/>
    <w:rsid w:val="008D0039"/>
    <w:rsid w:val="00A04CC6"/>
    <w:rsid w:val="00AF1981"/>
    <w:rsid w:val="00C31EE6"/>
    <w:rsid w:val="00C5312B"/>
    <w:rsid w:val="00D929BF"/>
    <w:rsid w:val="00DF4A18"/>
    <w:rsid w:val="00E4248F"/>
    <w:rsid w:val="00E42F2F"/>
    <w:rsid w:val="00EC34E8"/>
    <w:rsid w:val="00F4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06D9"/>
  <w15:chartTrackingRefBased/>
  <w15:docId w15:val="{51702417-D42B-4713-9EED-B3EF7FD2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AF"/>
    <w:rPr>
      <w:rFonts w:eastAsiaTheme="majorEastAsia" w:cstheme="majorBidi"/>
      <w:color w:val="272727" w:themeColor="text1" w:themeTint="D8"/>
    </w:rPr>
  </w:style>
  <w:style w:type="paragraph" w:styleId="Title">
    <w:name w:val="Title"/>
    <w:basedOn w:val="Normal"/>
    <w:next w:val="Normal"/>
    <w:link w:val="TitleChar"/>
    <w:uiPriority w:val="10"/>
    <w:qFormat/>
    <w:rsid w:val="00F41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AF"/>
    <w:pPr>
      <w:spacing w:before="160"/>
      <w:jc w:val="center"/>
    </w:pPr>
    <w:rPr>
      <w:i/>
      <w:iCs/>
      <w:color w:val="404040" w:themeColor="text1" w:themeTint="BF"/>
    </w:rPr>
  </w:style>
  <w:style w:type="character" w:customStyle="1" w:styleId="QuoteChar">
    <w:name w:val="Quote Char"/>
    <w:basedOn w:val="DefaultParagraphFont"/>
    <w:link w:val="Quote"/>
    <w:uiPriority w:val="29"/>
    <w:rsid w:val="00F419AF"/>
    <w:rPr>
      <w:i/>
      <w:iCs/>
      <w:color w:val="404040" w:themeColor="text1" w:themeTint="BF"/>
    </w:rPr>
  </w:style>
  <w:style w:type="paragraph" w:styleId="ListParagraph">
    <w:name w:val="List Paragraph"/>
    <w:basedOn w:val="Normal"/>
    <w:uiPriority w:val="34"/>
    <w:qFormat/>
    <w:rsid w:val="00F419AF"/>
    <w:pPr>
      <w:ind w:left="720"/>
      <w:contextualSpacing/>
    </w:pPr>
  </w:style>
  <w:style w:type="character" w:styleId="IntenseEmphasis">
    <w:name w:val="Intense Emphasis"/>
    <w:basedOn w:val="DefaultParagraphFont"/>
    <w:uiPriority w:val="21"/>
    <w:qFormat/>
    <w:rsid w:val="00F419AF"/>
    <w:rPr>
      <w:i/>
      <w:iCs/>
      <w:color w:val="0F4761" w:themeColor="accent1" w:themeShade="BF"/>
    </w:rPr>
  </w:style>
  <w:style w:type="paragraph" w:styleId="IntenseQuote">
    <w:name w:val="Intense Quote"/>
    <w:basedOn w:val="Normal"/>
    <w:next w:val="Normal"/>
    <w:link w:val="IntenseQuoteChar"/>
    <w:uiPriority w:val="30"/>
    <w:qFormat/>
    <w:rsid w:val="00F41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9AF"/>
    <w:rPr>
      <w:i/>
      <w:iCs/>
      <w:color w:val="0F4761" w:themeColor="accent1" w:themeShade="BF"/>
    </w:rPr>
  </w:style>
  <w:style w:type="character" w:styleId="IntenseReference">
    <w:name w:val="Intense Reference"/>
    <w:basedOn w:val="DefaultParagraphFont"/>
    <w:uiPriority w:val="32"/>
    <w:qFormat/>
    <w:rsid w:val="00F41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7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7</cp:revision>
  <dcterms:created xsi:type="dcterms:W3CDTF">2025-06-04T14:36:00Z</dcterms:created>
  <dcterms:modified xsi:type="dcterms:W3CDTF">2025-06-05T06:34:00Z</dcterms:modified>
</cp:coreProperties>
</file>