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2"/>
      </w:pPr>
      <w:r>
        <w:t xml:space="preserve">Requisition Material - Technical Reference</w:t>
      </w:r>
    </w:p>
    <w:p>
      <w:pPr>
        <w:spacing w:after="240"/>
      </w:pPr>
      <w:r>
        <w:rPr>
          <w:i/>
          <w:iCs/>
          <w:color w:val="5F6B62"/>
        </w:rPr>
        <w:t xml:space="preserve">Updated 7/24/2026</w:t>
      </w:r>
    </w:p>
    <w:p>
      <w:pPr>
        <w:pStyle w:val="Heading1"/>
      </w:pPr>
      <w:r>
        <w:t xml:space="preserve">1. Architecture</w:t>
      </w:r>
    </w:p>
    <w:p>
      <w:pPr>
        <w:spacing w:after="120"/>
      </w:pPr>
      <w:r>
        <w:t xml:space="preserve">Requisition Material is a web screen on the IBM i, built on the LCCOnline framework like the other LCC tools (same pattern as the Sellbrite Bulk Loader). The entry point is </w:t>
      </w:r>
      <w:r>
        <w:t xml:space="preserve">Requisitions_ctl.php</w:t>
      </w:r>
      <w:r>
        <w:t xml:space="preserve">. It runs the framework session scripts (StartBlockScriptA/B), checks authority (</w:t>
      </w:r>
      <w:r>
        <w:t xml:space="preserve">chkAutUsr</w:t>
      </w:r>
      <w:r>
        <w:t xml:space="preserve">, LCCONLINE level 50), preloads the dropdown lists, and renders the page. After the page loads, every action goes through </w:t>
      </w:r>
      <w:r>
        <w:t xml:space="preserve">Requisitions_ajax.php</w:t>
      </w:r>
      <w:r>
        <w:t xml:space="preserve"> as an AJAX request that returns JSON. There are no page reloads.</w:t>
      </w:r>
    </w:p>
    <w:p>
      <w:pPr>
        <w:spacing w:after="120"/>
      </w:pPr>
      <w:r>
        <w:t xml:space="preserve">?mode=entry</w:t>
      </w:r>
      <w:r>
        <w:t xml:space="preserve"> renders the same page in entry-only mode: the add form IS the page, the grid and reports never render, and a fresh blank form follows every submit. That link is the workfloor shortcut; the plain URL is the full station.</w:t>
      </w:r>
    </w:p>
    <w:p>
      <w:pPr>
        <w:pStyle w:val="Heading2"/>
      </w:pPr>
      <w:r>
        <w:t xml:space="preserve">File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tblHeader/>
        </w:trPr>
        <w:tc>
          <w:tcPr>
            <w:tcW w:type="dxa" w:w="3100"/>
            <w:shd w:fill="EAF6EE" w:val="clear"/>
            <w:tcMar>
              <w:top w:type="dxa" w:w="60"/>
              <w:left w:type="dxa" w:w="100"/>
              <w:bottom w:type="dxa" w:w="60"/>
              <w:right w:type="dxa" w:w="100"/>
            </w:tcMar>
          </w:tcPr>
          <w:p>
            <w:pPr>
              <w:spacing w:after="0"/>
            </w:pPr>
            <w:r>
              <w:rPr>
                <w:b/>
                <w:bCs/>
                <w:color w:val="1C4532"/>
              </w:rPr>
              <w:t xml:space="preserve">File</w:t>
            </w:r>
          </w:p>
        </w:tc>
        <w:tc>
          <w:tcPr>
            <w:tcW w:type="dxa" w:w="6260"/>
            <w:shd w:fill="EAF6EE" w:val="clear"/>
            <w:tcMar>
              <w:top w:type="dxa" w:w="60"/>
              <w:left w:type="dxa" w:w="100"/>
              <w:bottom w:type="dxa" w:w="60"/>
              <w:right w:type="dxa" w:w="100"/>
            </w:tcMar>
          </w:tcPr>
          <w:p>
            <w:pPr>
              <w:spacing w:after="0"/>
            </w:pPr>
            <w:r>
              <w:rPr>
                <w:b/>
                <w:bCs/>
                <w:color w:val="1C4532"/>
              </w:rPr>
              <w:t xml:space="preserve">Role</w:t>
            </w:r>
          </w:p>
        </w:tc>
      </w:tr>
      <w:tr>
        <w:tc>
          <w:tcPr>
            <w:tcW w:type="dxa" w:w="3100"/>
            <w:tcMar>
              <w:top w:type="dxa" w:w="60"/>
              <w:left w:type="dxa" w:w="100"/>
              <w:bottom w:type="dxa" w:w="60"/>
              <w:right w:type="dxa" w:w="100"/>
            </w:tcMar>
          </w:tcPr>
          <w:p>
            <w:pPr>
              <w:spacing w:after="0"/>
            </w:pPr>
            <w:r>
              <w:t xml:space="preserve">Requisitions_ctl.php</w:t>
            </w:r>
          </w:p>
        </w:tc>
        <w:tc>
          <w:tcPr>
            <w:tcW w:type="dxa" w:w="6260"/>
            <w:tcMar>
              <w:top w:type="dxa" w:w="60"/>
              <w:left w:type="dxa" w:w="100"/>
              <w:bottom w:type="dxa" w:w="60"/>
              <w:right w:type="dxa" w:w="100"/>
            </w:tcMar>
          </w:tcPr>
          <w:p>
            <w:pPr>
              <w:spacing w:after="0"/>
            </w:pPr>
            <w:r>
              <w:t xml:space="preserve">Controller. Session sign-on, authority check, dropdown preload, renders the display.</w:t>
            </w:r>
          </w:p>
        </w:tc>
      </w:tr>
      <w:tr>
        <w:tc>
          <w:tcPr>
            <w:tcW w:type="dxa" w:w="3100"/>
            <w:tcMar>
              <w:top w:type="dxa" w:w="60"/>
              <w:left w:type="dxa" w:w="100"/>
              <w:bottom w:type="dxa" w:w="60"/>
              <w:right w:type="dxa" w:w="100"/>
            </w:tcMar>
          </w:tcPr>
          <w:p>
            <w:pPr>
              <w:spacing w:after="0"/>
            </w:pPr>
            <w:r>
              <w:t xml:space="preserve">Requisitions_dsp.php</w:t>
            </w:r>
          </w:p>
        </w:tc>
        <w:tc>
          <w:tcPr>
            <w:tcW w:type="dxa" w:w="6260"/>
            <w:tcMar>
              <w:top w:type="dxa" w:w="60"/>
              <w:left w:type="dxa" w:w="100"/>
              <w:bottom w:type="dxa" w:w="60"/>
              <w:right w:type="dxa" w:w="100"/>
            </w:tcMar>
          </w:tcPr>
          <w:p>
            <w:pPr>
              <w:spacing w:after="0"/>
            </w:pPr>
            <w:r>
              <w:t xml:space="preserve">Display. CSS, all HTML (grid + modals) and all JavaScript, inline in the one file.</w:t>
            </w:r>
          </w:p>
        </w:tc>
      </w:tr>
      <w:tr>
        <w:tc>
          <w:tcPr>
            <w:tcW w:type="dxa" w:w="3100"/>
            <w:tcMar>
              <w:top w:type="dxa" w:w="60"/>
              <w:left w:type="dxa" w:w="100"/>
              <w:bottom w:type="dxa" w:w="60"/>
              <w:right w:type="dxa" w:w="100"/>
            </w:tcMar>
          </w:tcPr>
          <w:p>
            <w:pPr>
              <w:spacing w:after="0"/>
            </w:pPr>
            <w:r>
              <w:t xml:space="preserve">Requisitions_ajax.php</w:t>
            </w:r>
          </w:p>
        </w:tc>
        <w:tc>
          <w:tcPr>
            <w:tcW w:type="dxa" w:w="6260"/>
            <w:tcMar>
              <w:top w:type="dxa" w:w="60"/>
              <w:left w:type="dxa" w:w="100"/>
              <w:bottom w:type="dxa" w:w="60"/>
              <w:right w:type="dxa" w:w="100"/>
            </w:tcMar>
          </w:tcPr>
          <w:p>
            <w:pPr>
              <w:spacing w:after="0"/>
            </w:pPr>
            <w:r>
              <w:t xml:space="preserve">AJAX router. JSON for everything; validates, back-outs, writes the activity log.</w:t>
            </w:r>
          </w:p>
        </w:tc>
      </w:tr>
      <w:tr>
        <w:tc>
          <w:tcPr>
            <w:tcW w:type="dxa" w:w="3100"/>
            <w:tcMar>
              <w:top w:type="dxa" w:w="60"/>
              <w:left w:type="dxa" w:w="100"/>
              <w:bottom w:type="dxa" w:w="60"/>
              <w:right w:type="dxa" w:w="100"/>
            </w:tcMar>
          </w:tcPr>
          <w:p>
            <w:pPr>
              <w:spacing w:after="0"/>
            </w:pPr>
            <w:r>
              <w:t xml:space="preserve">Requisitions_model.php</w:t>
            </w:r>
          </w:p>
        </w:tc>
        <w:tc>
          <w:tcPr>
            <w:tcW w:type="dxa" w:w="6260"/>
            <w:tcMar>
              <w:top w:type="dxa" w:w="60"/>
              <w:left w:type="dxa" w:w="100"/>
              <w:bottom w:type="dxa" w:w="60"/>
              <w:right w:type="dxa" w:w="100"/>
            </w:tcMar>
          </w:tcPr>
          <w:p>
            <w:pPr>
              <w:spacing w:after="0"/>
            </w:pPr>
            <w:r>
              <w:t xml:space="preserve">Db2 access. rqs* functions, CALL REQSTNnnnS only - no inline SQL anywhere.</w:t>
            </w:r>
          </w:p>
        </w:tc>
      </w:tr>
      <w:tr>
        <w:tc>
          <w:tcPr>
            <w:tcW w:type="dxa" w:w="3100"/>
            <w:tcMar>
              <w:top w:type="dxa" w:w="60"/>
              <w:left w:type="dxa" w:w="100"/>
              <w:bottom w:type="dxa" w:w="60"/>
              <w:right w:type="dxa" w:w="100"/>
            </w:tcMar>
          </w:tcPr>
          <w:p>
            <w:pPr>
              <w:spacing w:after="0"/>
            </w:pPr>
            <w:r>
              <w:t xml:space="preserve">Requisitions_seed.php</w:t>
            </w:r>
          </w:p>
        </w:tc>
        <w:tc>
          <w:tcPr>
            <w:tcW w:type="dxa" w:w="6260"/>
            <w:tcMar>
              <w:top w:type="dxa" w:w="60"/>
              <w:left w:type="dxa" w:w="100"/>
              <w:bottom w:type="dxa" w:w="60"/>
              <w:right w:type="dxa" w:w="100"/>
            </w:tcMar>
          </w:tcPr>
          <w:p>
            <w:pPr>
              <w:spacing w:after="0"/>
            </w:pPr>
            <w:r>
              <w:t xml:space="preserve">Dev-only browser loader for the CSV history files. Not an RFP object; remove from the server after the load.</w:t>
            </w:r>
          </w:p>
        </w:tc>
      </w:tr>
    </w:tbl>
    <w:p>
      <w:pPr>
        <w:spacing w:after="120"/>
      </w:pPr>
    </w:p>
    <w:p>
      <w:pPr>
        <w:pStyle w:val="Heading1"/>
      </w:pPr>
      <w:r>
        <w:t xml:space="preserve">2. Databases (library currently LSCDEVLIBP)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EAF6EE" w:val="clear"/>
            <w:tcMar>
              <w:top w:type="dxa" w:w="60"/>
              <w:left w:type="dxa" w:w="100"/>
              <w:bottom w:type="dxa" w:w="60"/>
              <w:right w:type="dxa" w:w="100"/>
            </w:tcMar>
          </w:tcPr>
          <w:p>
            <w:pPr>
              <w:spacing w:after="0"/>
            </w:pPr>
            <w:r>
              <w:rPr>
                <w:b/>
                <w:bCs/>
                <w:color w:val="1C4532"/>
              </w:rPr>
              <w:t xml:space="preserve">Table</w:t>
            </w:r>
          </w:p>
        </w:tc>
        <w:tc>
          <w:tcPr>
            <w:tcW w:type="dxa" w:w="7160"/>
            <w:shd w:fill="EAF6EE" w:val="clear"/>
            <w:tcMar>
              <w:top w:type="dxa" w:w="60"/>
              <w:left w:type="dxa" w:w="100"/>
              <w:bottom w:type="dxa" w:w="60"/>
              <w:right w:type="dxa" w:w="100"/>
            </w:tcMar>
          </w:tcPr>
          <w:p>
            <w:pPr>
              <w:spacing w:after="0"/>
            </w:pPr>
            <w:r>
              <w:rPr>
                <w:b/>
                <w:bCs/>
                <w:color w:val="1C4532"/>
              </w:rPr>
              <w:t xml:space="preserve">Contents</w:t>
            </w:r>
          </w:p>
        </w:tc>
      </w:tr>
      <w:tr>
        <w:tc>
          <w:tcPr>
            <w:tcW w:type="dxa" w:w="2200"/>
            <w:tcMar>
              <w:top w:type="dxa" w:w="60"/>
              <w:left w:type="dxa" w:w="100"/>
              <w:bottom w:type="dxa" w:w="60"/>
              <w:right w:type="dxa" w:w="100"/>
            </w:tcMar>
          </w:tcPr>
          <w:p>
            <w:pPr>
              <w:spacing w:after="0"/>
            </w:pPr>
            <w:r>
              <w:t xml:space="preserve">RQSREQHDRT</w:t>
            </w:r>
          </w:p>
        </w:tc>
        <w:tc>
          <w:tcPr>
            <w:tcW w:type="dxa" w:w="7160"/>
            <w:tcMar>
              <w:top w:type="dxa" w:w="60"/>
              <w:left w:type="dxa" w:w="100"/>
              <w:bottom w:type="dxa" w:w="60"/>
              <w:right w:type="dxa" w:w="100"/>
            </w:tcMar>
          </w:tcPr>
          <w:p>
            <w:pPr>
              <w:spacing w:after="0"/>
            </w:pPr>
            <w:r>
              <w:t xml:space="preserve">One row per requisition. RHREQ# is a GENERATED identity (restarted at 17179 after the history load). Name, DEC(8,0)/DEC(6,0) date+time, area code/type, rush flag, authorized flag + by, badge, comments.</w:t>
            </w:r>
          </w:p>
        </w:tc>
      </w:tr>
      <w:tr>
        <w:tc>
          <w:tcPr>
            <w:tcW w:type="dxa" w:w="2200"/>
            <w:tcMar>
              <w:top w:type="dxa" w:w="60"/>
              <w:left w:type="dxa" w:w="100"/>
              <w:bottom w:type="dxa" w:w="60"/>
              <w:right w:type="dxa" w:w="100"/>
            </w:tcMar>
          </w:tcPr>
          <w:p>
            <w:pPr>
              <w:spacing w:after="0"/>
            </w:pPr>
            <w:r>
              <w:t xml:space="preserve">RQSREQDTLT</w:t>
            </w:r>
          </w:p>
        </w:tc>
        <w:tc>
          <w:tcPr>
            <w:tcW w:type="dxa" w:w="7160"/>
            <w:tcMar>
              <w:top w:type="dxa" w:w="60"/>
              <w:left w:type="dxa" w:w="100"/>
              <w:bottom w:type="dxa" w:w="60"/>
              <w:right w:type="dxa" w:w="100"/>
            </w:tcMar>
          </w:tcPr>
          <w:p>
            <w:pPr>
              <w:spacing w:after="0"/>
            </w:pPr>
            <w:r>
              <w:t xml:space="preserve">One row per line. PK (RDREQ#, RDLIN#). Item, loc, coin date, description, qty, cost/retail DEC(13,4), add cost, badge, SKU-to, RDRTNF returned flag + RDRTDT date returned.</w:t>
            </w:r>
          </w:p>
        </w:tc>
      </w:tr>
      <w:tr>
        <w:tc>
          <w:tcPr>
            <w:tcW w:type="dxa" w:w="2200"/>
            <w:tcMar>
              <w:top w:type="dxa" w:w="60"/>
              <w:left w:type="dxa" w:w="100"/>
              <w:bottom w:type="dxa" w:w="60"/>
              <w:right w:type="dxa" w:w="100"/>
            </w:tcMar>
          </w:tcPr>
          <w:p>
            <w:pPr>
              <w:spacing w:after="0"/>
            </w:pPr>
            <w:r>
              <w:t xml:space="preserve">RQSCODEFLT</w:t>
            </w:r>
          </w:p>
        </w:tc>
        <w:tc>
          <w:tcPr>
            <w:tcW w:type="dxa" w:w="7160"/>
            <w:tcMar>
              <w:top w:type="dxa" w:w="60"/>
              <w:left w:type="dxa" w:w="100"/>
              <w:bottom w:type="dxa" w:w="60"/>
              <w:right w:type="dxa" w:w="100"/>
            </w:tcMar>
          </w:tcPr>
          <w:p>
            <w:pPr>
              <w:spacing w:after="0"/>
            </w:pPr>
            <w:r>
              <w:t xml:space="preserve">The code file: the four seeded dropdown lists in one table, keyed by CDTYPE + CDCODE - AREACODE (3), AREATYPE (16), NAMES (65), AUTHBY (6). The BADGE list is not stored here: it reads live from LSCPRDLIB/XEMPLOYP. "Authorization = None" is a REAL AUTHBY row (13k+ historical headers store that literal), sorts first, and is the natural default - nothing synthetic in the code.</w:t>
            </w:r>
          </w:p>
        </w:tc>
      </w:tr>
    </w:tbl>
    <w:p>
      <w:pPr>
        <w:spacing w:after="120"/>
      </w:pPr>
    </w:p>
    <w:p>
      <w:pPr>
        <w:spacing w:after="120"/>
      </w:pPr>
      <w:r>
        <w:t xml:space="preserve">All three are journaled to LSCSAVLIB/LSCJRN. Dates follow the shop convention: DEC(8,0) yyyymmdd + DEC(6,0) hhmmss, not date types.</w:t>
      </w:r>
    </w:p>
    <w:p>
      <w:pPr>
        <w:spacing w:after="120"/>
      </w:pPr>
      <w:r>
        <w:t xml:space="preserve">Legacy data notes: Access booleans (-1/0) became Y/N; the </w:t>
      </w:r>
      <w:r>
        <w:t xml:space="preserve">authorized</w:t>
      </w:r>
      <w:r>
        <w:t xml:space="preserve"> flag is derived from the authorized-by text; historical badges are a mix of real numbers and the old PHP’s </w:t>
      </w:r>
      <w:r>
        <w:t xml:space="preserve">substr(name, 0, 4)</w:t>
      </w:r>
      <w:r>
        <w:t xml:space="preserve"> habit.</w:t>
      </w:r>
    </w:p>
    <w:p>
      <w:pPr>
        <w:pStyle w:val="Heading1"/>
      </w:pPr>
      <w:r>
        <w:t xml:space="preserve">3. Stored procedures</w:t>
      </w:r>
    </w:p>
    <w:p>
      <w:pPr>
        <w:spacing w:after="120"/>
      </w:pPr>
      <w:r>
        <w:t xml:space="preserve">All are </w:t>
      </w:r>
      <w:r>
        <w:t xml:space="preserve">CREATE OR REPLACE</w:t>
      </w:r>
      <w:r>
        <w:t xml:space="preserve">, </w:t>
      </w:r>
      <w:r>
        <w:t xml:space="preserve">SET OPTION DBGVIEW = *SOURCE, DYNUSRPRF = *OWNER</w:t>
      </w:r>
      <w:r>
        <w:t xml:space="preserve">, built with RUNSQLSTM from QSQLSRC members.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rPr>
          <w:tblHeader/>
        </w:trPr>
        <w:tc>
          <w:tcPr>
            <w:tcW w:type="dxa" w:w="1800"/>
            <w:shd w:fill="EAF6EE" w:val="clear"/>
            <w:tcMar>
              <w:top w:type="dxa" w:w="60"/>
              <w:left w:type="dxa" w:w="100"/>
              <w:bottom w:type="dxa" w:w="60"/>
              <w:right w:type="dxa" w:w="100"/>
            </w:tcMar>
          </w:tcPr>
          <w:p>
            <w:pPr>
              <w:spacing w:after="0"/>
            </w:pPr>
            <w:r>
              <w:rPr>
                <w:b/>
                <w:bCs/>
                <w:color w:val="1C4532"/>
              </w:rPr>
              <w:t xml:space="preserve">Proc</w:t>
            </w:r>
          </w:p>
        </w:tc>
        <w:tc>
          <w:tcPr>
            <w:tcW w:type="dxa" w:w="2400"/>
            <w:shd w:fill="EAF6EE" w:val="clear"/>
            <w:tcMar>
              <w:top w:type="dxa" w:w="60"/>
              <w:left w:type="dxa" w:w="100"/>
              <w:bottom w:type="dxa" w:w="60"/>
              <w:right w:type="dxa" w:w="100"/>
            </w:tcMar>
          </w:tcPr>
          <w:p>
            <w:pPr>
              <w:spacing w:after="0"/>
            </w:pPr>
            <w:r>
              <w:rPr>
                <w:b/>
                <w:bCs/>
                <w:color w:val="1C4532"/>
              </w:rPr>
              <w:t xml:space="preserve">Role</w:t>
            </w:r>
          </w:p>
        </w:tc>
        <w:tc>
          <w:tcPr>
            <w:tcW w:type="dxa" w:w="5160"/>
            <w:shd w:fill="EAF6EE" w:val="clear"/>
            <w:tcMar>
              <w:top w:type="dxa" w:w="60"/>
              <w:left w:type="dxa" w:w="100"/>
              <w:bottom w:type="dxa" w:w="60"/>
              <w:right w:type="dxa" w:w="100"/>
            </w:tcMar>
          </w:tcPr>
          <w:p>
            <w:pPr>
              <w:spacing w:after="0"/>
            </w:pPr>
            <w:r>
              <w:rPr>
                <w:b/>
                <w:bCs/>
                <w:color w:val="1C4532"/>
              </w:rPr>
              <w:t xml:space="preserve">Notes</w:t>
            </w:r>
          </w:p>
        </w:tc>
      </w:tr>
      <w:tr>
        <w:tc>
          <w:tcPr>
            <w:tcW w:type="dxa" w:w="1800"/>
            <w:tcMar>
              <w:top w:type="dxa" w:w="60"/>
              <w:left w:type="dxa" w:w="100"/>
              <w:bottom w:type="dxa" w:w="60"/>
              <w:right w:type="dxa" w:w="100"/>
            </w:tcMar>
          </w:tcPr>
          <w:p>
            <w:pPr>
              <w:spacing w:after="0"/>
            </w:pPr>
            <w:r>
              <w:t xml:space="preserve">REQSTN001S</w:t>
            </w:r>
          </w:p>
        </w:tc>
        <w:tc>
          <w:tcPr>
            <w:tcW w:type="dxa" w:w="2400"/>
            <w:tcMar>
              <w:top w:type="dxa" w:w="60"/>
              <w:left w:type="dxa" w:w="100"/>
              <w:bottom w:type="dxa" w:w="60"/>
              <w:right w:type="dxa" w:w="100"/>
            </w:tcMar>
          </w:tcPr>
          <w:p>
            <w:pPr>
              <w:spacing w:after="0"/>
            </w:pPr>
            <w:r>
              <w:t xml:space="preserve">Insert header</w:t>
            </w:r>
          </w:p>
        </w:tc>
        <w:tc>
          <w:tcPr>
            <w:tcW w:type="dxa" w:w="5160"/>
            <w:tcMar>
              <w:top w:type="dxa" w:w="60"/>
              <w:left w:type="dxa" w:w="100"/>
              <w:bottom w:type="dxa" w:w="60"/>
              <w:right w:type="dxa" w:w="100"/>
            </w:tcMar>
          </w:tcPr>
          <w:p>
            <w:pPr>
              <w:spacing w:after="0"/>
            </w:pPr>
            <w:r>
              <w:t xml:space="preserve">OUT new req# via IDENTITY_VAL_LOCAL(). Kills the legacy max(req_num)+1 race.</w:t>
            </w:r>
          </w:p>
        </w:tc>
      </w:tr>
      <w:tr>
        <w:tc>
          <w:tcPr>
            <w:tcW w:type="dxa" w:w="1800"/>
            <w:tcMar>
              <w:top w:type="dxa" w:w="60"/>
              <w:left w:type="dxa" w:w="100"/>
              <w:bottom w:type="dxa" w:w="60"/>
              <w:right w:type="dxa" w:w="100"/>
            </w:tcMar>
          </w:tcPr>
          <w:p>
            <w:pPr>
              <w:spacing w:after="0"/>
            </w:pPr>
            <w:r>
              <w:t xml:space="preserve">REQSTN002S</w:t>
            </w:r>
          </w:p>
        </w:tc>
        <w:tc>
          <w:tcPr>
            <w:tcW w:type="dxa" w:w="2400"/>
            <w:tcMar>
              <w:top w:type="dxa" w:w="60"/>
              <w:left w:type="dxa" w:w="100"/>
              <w:bottom w:type="dxa" w:w="60"/>
              <w:right w:type="dxa" w:w="100"/>
            </w:tcMar>
          </w:tcPr>
          <w:p>
            <w:pPr>
              <w:spacing w:after="0"/>
            </w:pPr>
            <w:r>
              <w:t xml:space="preserve">Insert one line</w:t>
            </w:r>
          </w:p>
        </w:tc>
        <w:tc>
          <w:tcPr>
            <w:tcW w:type="dxa" w:w="5160"/>
            <w:tcMar>
              <w:top w:type="dxa" w:w="60"/>
              <w:left w:type="dxa" w:w="100"/>
              <w:bottom w:type="dxa" w:w="60"/>
              <w:right w:type="dxa" w:w="100"/>
            </w:tcMar>
          </w:tcPr>
          <w:p>
            <w:pPr>
              <w:spacing w:after="0"/>
            </w:pPr>
            <w:r>
              <w:t xml:space="preserve">12 IN parameters.</w:t>
            </w:r>
          </w:p>
        </w:tc>
      </w:tr>
      <w:tr>
        <w:tc>
          <w:tcPr>
            <w:tcW w:type="dxa" w:w="1800"/>
            <w:tcMar>
              <w:top w:type="dxa" w:w="60"/>
              <w:left w:type="dxa" w:w="100"/>
              <w:bottom w:type="dxa" w:w="60"/>
              <w:right w:type="dxa" w:w="100"/>
            </w:tcMar>
          </w:tcPr>
          <w:p>
            <w:pPr>
              <w:spacing w:after="0"/>
            </w:pPr>
            <w:r>
              <w:t xml:space="preserve">REQSTN003S</w:t>
            </w:r>
          </w:p>
        </w:tc>
        <w:tc>
          <w:tcPr>
            <w:tcW w:type="dxa" w:w="2400"/>
            <w:tcMar>
              <w:top w:type="dxa" w:w="60"/>
              <w:left w:type="dxa" w:w="100"/>
              <w:bottom w:type="dxa" w:w="60"/>
              <w:right w:type="dxa" w:w="100"/>
            </w:tcMar>
          </w:tcPr>
          <w:p>
            <w:pPr>
              <w:spacing w:after="0"/>
            </w:pPr>
            <w:r>
              <w:t xml:space="preserve">Grid lines</w:t>
            </w:r>
          </w:p>
        </w:tc>
        <w:tc>
          <w:tcPr>
            <w:tcW w:type="dxa" w:w="5160"/>
            <w:tcMar>
              <w:top w:type="dxa" w:w="60"/>
              <w:left w:type="dxa" w:w="100"/>
              <w:bottom w:type="dxa" w:w="60"/>
              <w:right w:type="dxa" w:w="100"/>
            </w:tcMar>
          </w:tcPr>
          <w:p>
            <w:pPr>
              <w:spacing w:after="0"/>
            </w:pPr>
            <w:r>
              <w:t xml:space="preserve">IN INSHOW CHAR(1): O open (RDRTNF=’N’, the default), R returned (RDRTNF=’Y’), A all. IN INSRCH VARCHAR(50) filters req#/name/item/badge (blank = all). Header JOIN detail, returned ordered by return date; ROW_NUMBER caps Returned/All to the 500 most recent so the 50k history never renders at once.</w:t>
            </w:r>
          </w:p>
        </w:tc>
      </w:tr>
      <w:tr>
        <w:tc>
          <w:tcPr>
            <w:tcW w:type="dxa" w:w="1800"/>
            <w:tcMar>
              <w:top w:type="dxa" w:w="60"/>
              <w:left w:type="dxa" w:w="100"/>
              <w:bottom w:type="dxa" w:w="60"/>
              <w:right w:type="dxa" w:w="100"/>
            </w:tcMar>
          </w:tcPr>
          <w:p>
            <w:pPr>
              <w:spacing w:after="0"/>
            </w:pPr>
            <w:r>
              <w:t xml:space="preserve">REQSTN004S</w:t>
            </w:r>
          </w:p>
        </w:tc>
        <w:tc>
          <w:tcPr>
            <w:tcW w:type="dxa" w:w="2400"/>
            <w:tcMar>
              <w:top w:type="dxa" w:w="60"/>
              <w:left w:type="dxa" w:w="100"/>
              <w:bottom w:type="dxa" w:w="60"/>
              <w:right w:type="dxa" w:w="100"/>
            </w:tcMar>
          </w:tcPr>
          <w:p>
            <w:pPr>
              <w:spacing w:after="0"/>
            </w:pPr>
            <w:r>
              <w:t xml:space="preserve">One requisition</w:t>
            </w:r>
          </w:p>
        </w:tc>
        <w:tc>
          <w:tcPr>
            <w:tcW w:type="dxa" w:w="5160"/>
            <w:tcMar>
              <w:top w:type="dxa" w:w="60"/>
              <w:left w:type="dxa" w:w="100"/>
              <w:bottom w:type="dxa" w:w="60"/>
              <w:right w:type="dxa" w:w="100"/>
            </w:tcMar>
          </w:tcPr>
          <w:p>
            <w:pPr>
              <w:spacing w:after="0"/>
            </w:pPr>
            <w:r>
              <w:t xml:space="preserve">Header LEFT JOIN all lines, ordered by line.</w:t>
            </w:r>
          </w:p>
        </w:tc>
      </w:tr>
      <w:tr>
        <w:tc>
          <w:tcPr>
            <w:tcW w:type="dxa" w:w="1800"/>
            <w:tcMar>
              <w:top w:type="dxa" w:w="60"/>
              <w:left w:type="dxa" w:w="100"/>
              <w:bottom w:type="dxa" w:w="60"/>
              <w:right w:type="dxa" w:w="100"/>
            </w:tcMar>
          </w:tcPr>
          <w:p>
            <w:pPr>
              <w:spacing w:after="0"/>
            </w:pPr>
            <w:r>
              <w:t xml:space="preserve">REQSTN005S</w:t>
            </w:r>
          </w:p>
        </w:tc>
        <w:tc>
          <w:tcPr>
            <w:tcW w:type="dxa" w:w="2400"/>
            <w:tcMar>
              <w:top w:type="dxa" w:w="60"/>
              <w:left w:type="dxa" w:w="100"/>
              <w:bottom w:type="dxa" w:w="60"/>
              <w:right w:type="dxa" w:w="100"/>
            </w:tcMar>
          </w:tcPr>
          <w:p>
            <w:pPr>
              <w:spacing w:after="0"/>
            </w:pPr>
            <w:r>
              <w:t xml:space="preserve">Update header</w:t>
            </w:r>
          </w:p>
        </w:tc>
        <w:tc>
          <w:tcPr>
            <w:tcW w:type="dxa" w:w="5160"/>
            <w:tcMar>
              <w:top w:type="dxa" w:w="60"/>
              <w:left w:type="dxa" w:w="100"/>
              <w:bottom w:type="dxa" w:w="60"/>
              <w:right w:type="dxa" w:w="100"/>
            </w:tcMar>
          </w:tcPr>
          <w:p>
            <w:pPr>
              <w:spacing w:after="0"/>
            </w:pPr>
            <w:r>
              <w:t xml:space="preserve">Authorized-by, comments, badge - NULL leaves a column unchanged (COALESCE), so the view window and the grid’s badge box share one proc. RHAUTF derives from the authorized-by value.</w:t>
            </w:r>
          </w:p>
        </w:tc>
      </w:tr>
      <w:tr>
        <w:tc>
          <w:tcPr>
            <w:tcW w:type="dxa" w:w="1800"/>
            <w:tcMar>
              <w:top w:type="dxa" w:w="60"/>
              <w:left w:type="dxa" w:w="100"/>
              <w:bottom w:type="dxa" w:w="60"/>
              <w:right w:type="dxa" w:w="100"/>
            </w:tcMar>
          </w:tcPr>
          <w:p>
            <w:pPr>
              <w:spacing w:after="0"/>
            </w:pPr>
            <w:r>
              <w:t xml:space="preserve">REQSTN006S</w:t>
            </w:r>
          </w:p>
        </w:tc>
        <w:tc>
          <w:tcPr>
            <w:tcW w:type="dxa" w:w="2400"/>
            <w:tcMar>
              <w:top w:type="dxa" w:w="60"/>
              <w:left w:type="dxa" w:w="100"/>
              <w:bottom w:type="dxa" w:w="60"/>
              <w:right w:type="dxa" w:w="100"/>
            </w:tcMar>
          </w:tcPr>
          <w:p>
            <w:pPr>
              <w:spacing w:after="0"/>
            </w:pPr>
            <w:r>
              <w:t xml:space="preserve">Mark/unmark returned</w:t>
            </w:r>
          </w:p>
        </w:tc>
        <w:tc>
          <w:tcPr>
            <w:tcW w:type="dxa" w:w="5160"/>
            <w:tcMar>
              <w:top w:type="dxa" w:w="60"/>
              <w:left w:type="dxa" w:w="100"/>
              <w:bottom w:type="dxa" w:w="60"/>
              <w:right w:type="dxa" w:w="100"/>
            </w:tcMar>
          </w:tcPr>
          <w:p>
            <w:pPr>
              <w:spacing w:after="0"/>
            </w:pPr>
            <w:r>
              <w:t xml:space="preserve">Idempotent (flag guard). INRTDT = caller-entered return date; 0 stamps today.</w:t>
            </w:r>
          </w:p>
        </w:tc>
      </w:tr>
      <w:tr>
        <w:tc>
          <w:tcPr>
            <w:tcW w:type="dxa" w:w="1800"/>
            <w:tcMar>
              <w:top w:type="dxa" w:w="60"/>
              <w:left w:type="dxa" w:w="100"/>
              <w:bottom w:type="dxa" w:w="60"/>
              <w:right w:type="dxa" w:w="100"/>
            </w:tcMar>
          </w:tcPr>
          <w:p>
            <w:pPr>
              <w:spacing w:after="0"/>
            </w:pPr>
            <w:r>
              <w:t xml:space="preserve">REQSTN007S</w:t>
            </w:r>
          </w:p>
        </w:tc>
        <w:tc>
          <w:tcPr>
            <w:tcW w:type="dxa" w:w="2400"/>
            <w:tcMar>
              <w:top w:type="dxa" w:w="60"/>
              <w:left w:type="dxa" w:w="100"/>
              <w:bottom w:type="dxa" w:w="60"/>
              <w:right w:type="dxa" w:w="100"/>
            </w:tcMar>
          </w:tcPr>
          <w:p>
            <w:pPr>
              <w:spacing w:after="0"/>
            </w:pPr>
            <w:r>
              <w:t xml:space="preserve">The one lookup proc</w:t>
            </w:r>
          </w:p>
        </w:tc>
        <w:tc>
          <w:tcPr>
            <w:tcW w:type="dxa" w:w="5160"/>
            <w:tcMar>
              <w:top w:type="dxa" w:w="60"/>
              <w:left w:type="dxa" w:w="100"/>
              <w:bottom w:type="dxa" w:w="60"/>
              <w:right w:type="dxa" w:w="100"/>
            </w:tcMar>
          </w:tcPr>
          <w:p>
            <w:pPr>
              <w:spacing w:after="0"/>
            </w:pPr>
            <w:r>
              <w:t xml:space="preserve">INTYPE picks the cursor: any code list from RQSCODEFLT; BADGE = live active employees (LEESTAT A) from LSCPRDLIB/XEMPLOYP; ITEM = autofill from the LSCPRDLIB/ITMMSTP item master (description, coin year) + last-used cost/retail from history, with history fallback for legacy items; ITEMSRCH = the item list from LSCPRDLIB/ITMMSTP (first 200 per prefix), history-enriched.</w:t>
            </w:r>
          </w:p>
        </w:tc>
      </w:tr>
      <w:tr>
        <w:tc>
          <w:tcPr>
            <w:tcW w:type="dxa" w:w="1800"/>
            <w:tcMar>
              <w:top w:type="dxa" w:w="60"/>
              <w:left w:type="dxa" w:w="100"/>
              <w:bottom w:type="dxa" w:w="60"/>
              <w:right w:type="dxa" w:w="100"/>
            </w:tcMar>
          </w:tcPr>
          <w:p>
            <w:pPr>
              <w:spacing w:after="0"/>
            </w:pPr>
            <w:r>
              <w:t xml:space="preserve">REQSTN008S</w:t>
            </w:r>
          </w:p>
        </w:tc>
        <w:tc>
          <w:tcPr>
            <w:tcW w:type="dxa" w:w="2400"/>
            <w:tcMar>
              <w:top w:type="dxa" w:w="60"/>
              <w:left w:type="dxa" w:w="100"/>
              <w:bottom w:type="dxa" w:w="60"/>
              <w:right w:type="dxa" w:w="100"/>
            </w:tcMar>
          </w:tcPr>
          <w:p>
            <w:pPr>
              <w:spacing w:after="0"/>
            </w:pPr>
            <w:r>
              <w:t xml:space="preserve">Monthly report rows</w:t>
            </w:r>
          </w:p>
        </w:tc>
        <w:tc>
          <w:tcPr>
            <w:tcW w:type="dxa" w:w="5160"/>
            <w:tcMar>
              <w:top w:type="dxa" w:w="60"/>
              <w:left w:type="dxa" w:w="100"/>
              <w:bottom w:type="dxa" w:w="60"/>
              <w:right w:type="dxa" w:w="100"/>
            </w:tcMar>
          </w:tcPr>
          <w:p>
            <w:pPr>
              <w:spacing w:after="0"/>
            </w:pPr>
            <w:r>
              <w:t xml:space="preserve">IN yyyymm; returns header + lines with RDEXTC/RDEXTR computed, ordered name/date/req/line.</w:t>
            </w:r>
          </w:p>
        </w:tc>
      </w:tr>
      <w:tr>
        <w:tc>
          <w:tcPr>
            <w:tcW w:type="dxa" w:w="1800"/>
            <w:tcMar>
              <w:top w:type="dxa" w:w="60"/>
              <w:left w:type="dxa" w:w="100"/>
              <w:bottom w:type="dxa" w:w="60"/>
              <w:right w:type="dxa" w:w="100"/>
            </w:tcMar>
          </w:tcPr>
          <w:p>
            <w:pPr>
              <w:spacing w:after="0"/>
            </w:pPr>
            <w:r>
              <w:t xml:space="preserve">REQSTN009S</w:t>
            </w:r>
          </w:p>
        </w:tc>
        <w:tc>
          <w:tcPr>
            <w:tcW w:type="dxa" w:w="2400"/>
            <w:tcMar>
              <w:top w:type="dxa" w:w="60"/>
              <w:left w:type="dxa" w:w="100"/>
              <w:bottom w:type="dxa" w:w="60"/>
              <w:right w:type="dxa" w:w="100"/>
            </w:tcMar>
          </w:tcPr>
          <w:p>
            <w:pPr>
              <w:spacing w:after="0"/>
            </w:pPr>
            <w:r>
              <w:t xml:space="preserve">Delete a requisition</w:t>
            </w:r>
          </w:p>
        </w:tc>
        <w:tc>
          <w:tcPr>
            <w:tcW w:type="dxa" w:w="5160"/>
            <w:tcMar>
              <w:top w:type="dxa" w:w="60"/>
              <w:left w:type="dxa" w:w="100"/>
              <w:bottom w:type="dxa" w:w="60"/>
              <w:right w:type="dxa" w:w="100"/>
            </w:tcMar>
          </w:tcPr>
          <w:p>
            <w:pPr>
              <w:spacing w:after="0"/>
            </w:pPr>
            <w:r>
              <w:t xml:space="preserve">Detail then header. The web insert’s back-out - a failed submit never leaves half a requisition.</w:t>
            </w:r>
          </w:p>
        </w:tc>
      </w:tr>
    </w:tbl>
    <w:p>
      <w:pPr>
        <w:spacing w:after="120"/>
      </w:pPr>
    </w:p>
    <w:p>
      <w:pPr>
        <w:spacing w:after="120"/>
      </w:pPr>
      <w:r>
        <w:rPr>
          <w:b/>
          <w:bCs/>
        </w:rPr>
        <w:t xml:space="preserve">The OR REPLACE gotcha:</w:t>
      </w:r>
      <w:r>
        <w:t xml:space="preserve"> </w:t>
      </w:r>
      <w:r>
        <w:t xml:space="preserve">CREATE OR REPLACE PROCEDURE</w:t>
      </w:r>
      <w:r>
        <w:t xml:space="preserve"> </w:t>
      </w:r>
      <w:r>
        <w:rPr>
          <w:u w:val="single"/>
        </w:rPr>
        <w:t xml:space="preserve">does NOT replace across different parameter counts</w:t>
      </w:r>
      <w:r>
        <w:t xml:space="preserve"> - changing a proc’s signature creates a second overload and the old one lingers until dropped (</w:t>
      </w:r>
      <w:r>
        <w:t xml:space="preserve">DROP PROCEDURE name(type, ...)</w:t>
      </w:r>
      <w:r>
        <w:t xml:space="preserve">). The RFP checklist tracks the drops done during development.</w:t>
      </w:r>
    </w:p>
    <w:p>
      <w:pPr>
        <w:pStyle w:val="Heading1"/>
      </w:pPr>
      <w:r>
        <w:t xml:space="preserve">4. Views</w:t>
      </w:r>
    </w:p>
    <w:p>
      <w:pPr>
        <w:spacing w:after="120"/>
      </w:pPr>
      <w:r>
        <w:rPr>
          <w:b/>
          <w:bCs/>
        </w:rPr>
        <w:t xml:space="preserve">Station grid</w:t>
      </w:r>
      <w:r>
        <w:t xml:space="preserve"> - two-line records like Access frmMain: fields on line 1 (Req#, Date, Requestor, Item#, Loc, Qty, Badge#, Authorized, Rush), description + the Return Item checkbox/date on line 2. Fixed pixel columns with the leftover width on Requestor; below 780px the wrap scrolls sideways instead of crushing. Stripe, hover and the ▶ selection act on the whole record (the two rows are paired by a record id). The Badge # box is a live input: a new requisition stores badge 0, and editing commits only a real number (typed name text reverts); the save updates memory and the requisition’s other lines in place, so the grid does not reload and keeps its scroll spot. The Show dropdown (Open / Returned / All) re-queries 003S with the INSHOW code; returned lines render their return date read-only in place of the Return Item box. Returned/All are capped server-side to the 500 most recent, and the Filter box drives an INSRCH server search over the whole history for those modes (debounced) while Open filters its loaded rows in the browser. Every column header sorts client-side (click to toggle asc/desc, arrow shown). The sticky header uses separate-border cells plus an inset box-shadow on the bottom edge so its black box and column lines stay put while scrolling, which browsers otherwise drop on a sticky cell. Auto-refresh every 60s, plus on tab-visibility; a JSON compare skips re-renders when nothing changed.</w:t>
      </w:r>
    </w:p>
    <w:p>
      <w:pPr>
        <w:spacing w:after="120"/>
      </w:pPr>
      <w:r>
        <w:rPr>
          <w:b/>
          <w:bCs/>
        </w:rPr>
        <w:t xml:space="preserve">Entry form</w:t>
      </w:r>
      <w:r>
        <w:t xml:space="preserve"> (modal on the station, full page in </w:t>
      </w:r>
      <w:r>
        <w:t xml:space="preserve">?mode=entry</w:t>
      </w:r>
      <w:r>
        <w:t xml:space="preserve">) - legacy getEntry.php layout: header fields, then the spreadsheet-style line sheet (the cell is the box; the focused cell gets a slim blue inner outline). Item # has autofill + a type-ahead dropdown (opens on focus, filters as you type, Tab or Enter picks). Arrow keys move around the sheet like a spreadsheet (up/down rows, left/right between cells once the caret reaches the edge). Enter hops fields; Enter on the last box grows the sheet.</w:t>
      </w:r>
    </w:p>
    <w:p>
      <w:pPr>
        <w:spacing w:after="120"/>
      </w:pPr>
      <w:r>
        <w:rPr>
          <w:b/>
          <w:bCs/>
        </w:rPr>
        <w:t xml:space="preserve">View window</w:t>
      </w:r>
      <w:r>
        <w:t xml:space="preserve"> - legacy request.php layout; Update posts authorized-by + comments; per-line Returned checkboxes post immediately and un-return here too; a Date Ret. column shows when each returned line came back; Print.</w:t>
      </w:r>
    </w:p>
    <w:p>
      <w:pPr>
        <w:spacing w:after="120"/>
      </w:pPr>
      <w:r>
        <w:rPr>
          <w:b/>
          <w:bCs/>
        </w:rPr>
        <w:t xml:space="preserve">Report modals/windows</w:t>
      </w:r>
      <w:r>
        <w:t xml:space="preserve"> - Monthly Update (month/year dropdowns - not </w:t>
      </w:r>
      <w:r>
        <w:t xml:space="preserve">input type=month</w:t>
      </w:r>
      <w:r>
        <w:t xml:space="preserve">, which Firefox renders as a dead text box), Preview Report. Print windows print THEMSELVES on load and close on afterprint - if the station called print(), the station’s own thread sat blocked in the dialog and the whole app froze.</w:t>
      </w:r>
    </w:p>
    <w:p>
      <w:pPr>
        <w:pStyle w:val="Heading1"/>
      </w:pPr>
      <w:r>
        <w:t xml:space="preserve">5. Workflows</w:t>
      </w:r>
    </w:p>
    <w:p>
      <w:pPr>
        <w:spacing w:after="120"/>
      </w:pPr>
      <w:r>
        <w:rPr>
          <w:b/>
          <w:bCs/>
        </w:rPr>
        <w:t xml:space="preserve">Insert</w:t>
      </w:r>
      <w:r>
        <w:t xml:space="preserve"> - the browser serializes the form to one JSON payload; </w:t>
      </w:r>
      <w:r>
        <w:t xml:space="preserve">action=insert</w:t>
      </w:r>
      <w:r>
        <w:t xml:space="preserve"> calls 001S for the header, then 002S per line; any line failure calls 009S to back the whole requisition out and returns "Line N failed ... nothing was saved." The header and lines store badge 0 (no longer derived from the requestor name).</w:t>
      </w:r>
    </w:p>
    <w:p>
      <w:pPr>
        <w:spacing w:after="120"/>
      </w:pPr>
      <w:r>
        <w:rPr>
          <w:b/>
          <w:bCs/>
        </w:rPr>
        <w:t xml:space="preserve">Grid refresh</w:t>
      </w:r>
      <w:r>
        <w:t xml:space="preserve"> - </w:t>
      </w:r>
      <w:r>
        <w:t xml:space="preserve">loadGrid()</w:t>
      </w:r>
      <w:r>
        <w:t xml:space="preserve"> first submits every pending Return Item (006S per line, with the entered date), then pulls 003S with the current Show code and (for Returned/All) the Filter text as the search. Checking Return Item only queues the return client-side (a map keyed req|line that survives re-renders); the refresh is what commits it - the Access requery behavior. A pending return with an invalid date holds the refresh instead of silently losing it.</w:t>
      </w:r>
    </w:p>
    <w:p>
      <w:pPr>
        <w:spacing w:after="120"/>
      </w:pPr>
      <w:r>
        <w:rPr>
          <w:b/>
          <w:bCs/>
        </w:rPr>
        <w:t xml:space="preserve">Update</w:t>
      </w:r>
      <w:r>
        <w:t xml:space="preserve"> - the view window sends authBy + comments, the badge box sends badge only; missing fields ride as NULL and 005S leaves those columns alone.</w:t>
      </w:r>
    </w:p>
    <w:p>
      <w:pPr>
        <w:spacing w:after="120"/>
      </w:pPr>
      <w:r>
        <w:rPr>
          <w:b/>
          <w:bCs/>
        </w:rPr>
        <w:t xml:space="preserve">Lookups</w:t>
      </w:r>
      <w:r>
        <w:t xml:space="preserve"> - preloaded with the page by the ctl (saves a round trip); the ajax </w:t>
      </w:r>
      <w:r>
        <w:t xml:space="preserve">lookups</w:t>
      </w:r>
      <w:r>
        <w:t xml:space="preserve"> action is the fallback if the preload failed.</w:t>
      </w:r>
    </w:p>
    <w:p>
      <w:pPr>
        <w:spacing w:after="120"/>
      </w:pPr>
      <w:r>
        <w:rPr>
          <w:b/>
          <w:bCs/>
        </w:rPr>
        <w:t xml:space="preserve">Item autofill / search</w:t>
      </w:r>
      <w:r>
        <w:t xml:space="preserve"> - </w:t>
      </w:r>
      <w:r>
        <w:t xml:space="preserve">itemlookup</w:t>
      </w:r>
      <w:r>
        <w:t xml:space="preserve"> (exact, on change) and </w:t>
      </w:r>
      <w:r>
        <w:t xml:space="preserve">itemsearch</w:t>
      </w:r>
      <w:r>
        <w:t xml:space="preserve"> (opens on focus with the full list, 250ms debounce while typing, 200 rows per view) both ride REQSTN007S.</w:t>
      </w:r>
    </w:p>
    <w:p>
      <w:pPr>
        <w:pStyle w:val="Heading1"/>
      </w:pPr>
      <w:r>
        <w:t xml:space="preserve">6. Error model</w:t>
      </w:r>
    </w:p>
    <w:p>
      <w:pPr>
        <w:pStyle w:val="ListParagraph"/>
        <w:numPr>
          <w:ilvl w:val="0"/>
          <w:numId w:val="2"/>
        </w:numPr>
        <w:spacing w:after="80"/>
      </w:pPr>
      <w:r>
        <w:t xml:space="preserve">No </w:t>
      </w:r>
      <w:r>
        <w:t xml:space="preserve">die()</w:t>
      </w:r>
      <w:r>
        <w:t xml:space="preserve"> anywhere near JSON. Model functions return false and stash the real Db2 message (</w:t>
      </w:r>
      <w:r>
        <w:t xml:space="preserve">db2_stmt_errormsg</w:t>
      </w:r>
      <w:r>
        <w:t xml:space="preserve">) in </w:t>
      </w:r>
      <w:r>
        <w:t xml:space="preserve">$GLOBALS[’rqsErr’]</w:t>
      </w:r>
      <w:r>
        <w:t xml:space="preserve"> and the PHP error log; the ajax layer returns </w:t>
      </w:r>
      <w:r>
        <w:t xml:space="preserve">{ok:false, msg}</w:t>
      </w:r>
      <w:r>
        <w:t xml:space="preserve"> with that message so support can act on what the user reports.</w:t>
      </w:r>
    </w:p>
    <w:p>
      <w:pPr>
        <w:pStyle w:val="ListParagraph"/>
        <w:numPr>
          <w:ilvl w:val="0"/>
          <w:numId w:val="2"/>
        </w:numPr>
        <w:spacing w:after="80"/>
      </w:pPr>
      <w:r>
        <w:t xml:space="preserve">The ajax endpoint buffers output from byte 0 and clears it before the JSON - a stray include warning can’t corrupt a response.</w:t>
      </w:r>
    </w:p>
    <w:p>
      <w:pPr>
        <w:pStyle w:val="ListParagraph"/>
        <w:numPr>
          <w:ilvl w:val="0"/>
          <w:numId w:val="2"/>
        </w:numPr>
        <w:spacing w:after="80"/>
      </w:pPr>
      <w:r>
        <w:t xml:space="preserve">Background work (auto-refresh, autofill) never pops dialogs; failures turn the Updated stamp red instead. Foreground actions get the real message in a dialog.</w:t>
      </w:r>
    </w:p>
    <w:p>
      <w:pPr>
        <w:pStyle w:val="Heading1"/>
      </w:pPr>
      <w:r>
        <w:t xml:space="preserve">7. Activity log</w:t>
      </w:r>
    </w:p>
    <w:p>
      <w:pPr>
        <w:spacing w:after="120"/>
      </w:pPr>
      <w:r>
        <w:t xml:space="preserve">requisition_activity.log</w:t>
      </w:r>
      <w:r>
        <w:t xml:space="preserve"> in the </w:t>
      </w:r>
      <w:r>
        <w:t xml:space="preserve">LCCOnline_logs</w:t>
      </w:r>
      <w:r>
        <w:t xml:space="preserve"> folder beside the PHP - same </w:t>
      </w:r>
      <w:r>
        <w:t xml:space="preserve">@file_put_contents(..., FILE_APPEND)</w:t>
      </w:r>
      <w:r>
        <w:t xml:space="preserve"> pattern as ClarioSFTP_pull.log. One line per event: timestamp, user profile, station IP, action, detail.</w:t>
      </w:r>
    </w:p>
    <w:p>
      <w:pPr>
        <w:spacing w:after="120"/>
      </w:pPr>
      <w:r>
        <w:t xml:space="preserve">Events: OPEN (page load, station vs entry form), INSERT (req + line count), UPDATE (req, badge when changed from the grid), RETURN/UNRETURN (req + line + entered date), BACKOUT (failed insert rolled back).</w:t>
      </w:r>
    </w:p>
    <w:p>
      <w:pPr>
        <w:spacing w:after="120"/>
      </w:pPr>
      <w:r>
        <w:t xml:space="preserve">It targets </w:t>
      </w:r>
      <w:r>
        <w:t xml:space="preserve">LCCOnline_logs</w:t>
      </w:r>
      <w:r>
        <w:t xml:space="preserve"> rather than the docroot because </w:t>
      </w:r>
      <w:r>
        <w:rPr>
          <w:shd w:fill="FFF35C" w:val="clear"/>
        </w:rPr>
        <w:t xml:space="preserve">the web profile is not granted write to the docroot but is to LCCOnline_logs</w:t>
      </w:r>
      <w:r>
        <w:t xml:space="preserve"> (where the framework and Sellbrite logs already land) - point it at the docroot and no file ever appears. The write is still suppressed so a bad write never takes the app down, but on failure the reason and the line drop to </w:t>
      </w:r>
      <w:r>
        <w:t xml:space="preserve">error_log</w:t>
      </w:r>
      <w:r>
        <w:t xml:space="preserve"> (the instance php.log) instead of vanishing. The monthly LCCOnline_logs purge keys on modification time, so an actively appended log is never swept; archive it if you want multi-year audit history. Replaced the RQSACTLOGT Db2 table, which nothing read.</w:t>
      </w:r>
    </w:p>
    <w:p>
      <w:pPr>
        <w:pStyle w:val="Heading1"/>
      </w:pPr>
      <w:r>
        <w:t xml:space="preserve">8. Build, load, promote</w:t>
      </w:r>
    </w:p>
    <w:p>
      <w:pPr>
        <w:pStyle w:val="ListParagraph"/>
        <w:numPr>
          <w:ilvl w:val="0"/>
          <w:numId w:val="3"/>
        </w:numPr>
        <w:spacing w:after="80"/>
      </w:pPr>
      <w:r>
        <w:t xml:space="preserve">RUNSQLSTM the three .TABLE members (RQSREQHDRT, RQSREQDTLT, RQSCODEFLT), then the nine .PROC members. Members are re-runnable (CREATE OR REPLACE); never hardcode the library in source - it breaks promotion.</w:t>
      </w:r>
    </w:p>
    <w:p>
      <w:pPr>
        <w:pStyle w:val="ListParagraph"/>
        <w:numPr>
          <w:ilvl w:val="0"/>
          <w:numId w:val="3"/>
        </w:numPr>
        <w:spacing w:after="80"/>
      </w:pPr>
      <w:r>
        <w:t xml:space="preserve">STRJRNPF the tables to LSCSAVLIB/LSCJRN IMAGES(*BOTH) OMTJRNE(*OPNCLO).</w:t>
      </w:r>
    </w:p>
    <w:p>
      <w:pPr>
        <w:pStyle w:val="ListParagraph"/>
        <w:numPr>
          <w:ilvl w:val="0"/>
          <w:numId w:val="3"/>
        </w:numPr>
        <w:spacing w:after="80"/>
      </w:pPr>
      <w:r>
        <w:t xml:space="preserve">Load Data/*.csv with CPYFRMIMPF (already in Db2 format - all transforms were done at export time), or the dev-only seed page.</w:t>
      </w:r>
    </w:p>
    <w:p>
      <w:pPr>
        <w:pStyle w:val="ListParagraph"/>
        <w:numPr>
          <w:ilvl w:val="0"/>
          <w:numId w:val="3"/>
        </w:numPr>
        <w:spacing w:after="80"/>
      </w:pPr>
      <w:r>
        <w:t xml:space="preserve">ALTER TABLE RQSREQHDRT ALTER COLUMN RHREQ# RESTART WITH 17179.</w:t>
      </w:r>
    </w:p>
    <w:p>
      <w:pPr>
        <w:pStyle w:val="ListParagraph"/>
        <w:numPr>
          <w:ilvl w:val="0"/>
          <w:numId w:val="3"/>
        </w:numPr>
        <w:spacing w:after="80"/>
      </w:pPr>
      <w:r>
        <w:t xml:space="preserve">Validate: 14,073 headers / 50,063 lines / 741 open / SUM(qty) 33,464,119 / 90 code rows.</w:t>
      </w:r>
    </w:p>
    <w:p>
      <w:pPr>
        <w:pStyle w:val="ListParagraph"/>
        <w:numPr>
          <w:ilvl w:val="0"/>
          <w:numId w:val="3"/>
        </w:numPr>
        <w:spacing w:after="80"/>
      </w:pPr>
      <w:r>
        <w:t xml:space="preserve">Copy the four Web/ files to the LCCOnline docroot. Web profile needs authority to the library (SQL0551 means GRTOBJAUT) and write authority for the activity log.</w:t>
      </w:r>
    </w:p>
    <w:p>
      <w:pPr>
        <w:pStyle w:val="ListParagraph"/>
        <w:numPr>
          <w:ilvl w:val="0"/>
          <w:numId w:val="3"/>
        </w:numPr>
        <w:spacing w:after="80"/>
      </w:pPr>
      <w:r>
        <w:t xml:space="preserve">RFP mirrors Sellbrite 3185: 12 Db2 objects as *SQLTAB from LSCDEVLIBP + 4 *IFS/PHPSRC files, level 10.</w:t>
      </w:r>
    </w:p>
    <w:p>
      <w:pPr>
        <w:pStyle w:val="Heading1"/>
      </w:pPr>
      <w:r>
        <w:t xml:space="preserve">9. Deliberate changes vs legacy</w:t>
      </w:r>
    </w:p>
    <w:p>
      <w:pPr>
        <w:pStyle w:val="ListParagraph"/>
        <w:numPr>
          <w:ilvl w:val="0"/>
          <w:numId w:val="4"/>
        </w:numPr>
        <w:spacing w:after="80"/>
      </w:pPr>
      <w:r>
        <w:t xml:space="preserve">Identity column replaces max(req_num)+1 (duplicate-req race fixed).</w:t>
      </w:r>
    </w:p>
    <w:p>
      <w:pPr>
        <w:pStyle w:val="ListParagraph"/>
        <w:numPr>
          <w:ilvl w:val="0"/>
          <w:numId w:val="4"/>
        </w:numPr>
        <w:spacing w:after="80"/>
      </w:pPr>
      <w:r>
        <w:t xml:space="preserve">Bound-parameter procs replace string-built SQL (injection fixed).</w:t>
      </w:r>
    </w:p>
    <w:p>
      <w:pPr>
        <w:pStyle w:val="ListParagraph"/>
        <w:numPr>
          <w:ilvl w:val="0"/>
          <w:numId w:val="4"/>
        </w:numPr>
        <w:spacing w:after="80"/>
      </w:pPr>
      <w:r>
        <w:t xml:space="preserve">Session sign-on + chkAutUsr replace HTTP Basic auth; the Firefox-only user-agent check is gone.</w:t>
      </w:r>
    </w:p>
    <w:p>
      <w:pPr>
        <w:pStyle w:val="ListParagraph"/>
        <w:numPr>
          <w:ilvl w:val="0"/>
          <w:numId w:val="4"/>
        </w:numPr>
        <w:spacing w:after="80"/>
      </w:pPr>
      <w:r>
        <w:t xml:space="preserve">The add form grows lines dynamically instead of 30 fixed rows.</w:t>
      </w:r>
    </w:p>
    <w:p>
      <w:pPr>
        <w:pStyle w:val="ListParagraph"/>
        <w:numPr>
          <w:ilvl w:val="0"/>
          <w:numId w:val="4"/>
        </w:numPr>
        <w:spacing w:after="80"/>
      </w:pPr>
      <w:r>
        <w:t xml:space="preserve">Badge no longer derived from the requestor name (substr): new requisitions store 0 and are filled in later; editable inline with an employee dropdown that commits only a number.</w:t>
      </w:r>
    </w:p>
    <w:p>
      <w:pPr>
        <w:pStyle w:val="ListParagraph"/>
        <w:numPr>
          <w:ilvl w:val="0"/>
          <w:numId w:val="4"/>
        </w:numPr>
        <w:spacing w:after="80"/>
      </w:pPr>
      <w:r>
        <w:t xml:space="preserve">Returns from the grid require a date (autofilled today, editable) and commit on refresh; the view window still stamps today directly.</w:t>
      </w:r>
    </w:p>
    <w:p>
      <w:pPr>
        <w:pStyle w:val="ListParagraph"/>
        <w:numPr>
          <w:ilvl w:val="0"/>
          <w:numId w:val="4"/>
        </w:numPr>
        <w:spacing w:after="80"/>
      </w:pPr>
      <w:r>
        <w:t xml:space="preserve">A failed submit backs out completely instead of half-saving.</w:t>
      </w:r>
    </w:p>
    <w:p>
      <w:pPr>
        <w:pStyle w:val="ListParagraph"/>
        <w:numPr>
          <w:ilvl w:val="0"/>
          <w:numId w:val="4"/>
        </w:numPr>
        <w:spacing w:after="80"/>
      </w:pPr>
      <w:r>
        <w:t xml:space="preserve">The Authorized pill shows green for any real authorizer name (the None / In Process placeholders stay yellow), no longer gated on the inconsistent legacy authorized flag.</w:t>
      </w:r>
    </w:p>
    <w:p>
      <w:pPr>
        <w:pStyle w:val="ListParagraph"/>
        <w:numPr>
          <w:ilvl w:val="0"/>
          <w:numId w:val="4"/>
        </w:numPr>
        <w:spacing w:after="80"/>
      </w:pPr>
      <w:r>
        <w:t xml:space="preserve">A grid Show filter (Open / Returned / All) can bring returned req forms back up with their return dates - Access only ever showed open lines.</w:t>
      </w:r>
    </w:p>
    <w:p>
      <w:pPr>
        <w:pStyle w:val="Heading1"/>
      </w:pPr>
      <w:r>
        <w:t xml:space="preserve">10. Good to know</w:t>
      </w:r>
    </w:p>
    <w:p>
      <w:pPr>
        <w:pStyle w:val="ListParagraph"/>
        <w:numPr>
          <w:ilvl w:val="0"/>
          <w:numId w:val="2"/>
        </w:numPr>
        <w:spacing w:after="80"/>
      </w:pPr>
      <w:r>
        <w:rPr>
          <w:shd w:fill="FFF35C" w:val="clear"/>
        </w:rPr>
        <w:t xml:space="preserve">The raw .mdb files never go in git: they carry plaintext credentials (both flagged for rotation at cutover).</w:t>
      </w:r>
    </w:p>
    <w:p>
      <w:pPr>
        <w:pStyle w:val="ListParagraph"/>
        <w:numPr>
          <w:ilvl w:val="0"/>
          <w:numId w:val="2"/>
        </w:numPr>
        <w:spacing w:after="80"/>
      </w:pPr>
      <w:r>
        <w:t xml:space="preserve">The legacy PHP and the full Access extraction (VBA, queries, schemas, data) are preserved in the migration branch’s git history.</w:t>
      </w:r>
    </w:p>
    <w:p>
      <w:pPr>
        <w:pStyle w:val="ListParagraph"/>
        <w:numPr>
          <w:ilvl w:val="0"/>
          <w:numId w:val="2"/>
        </w:numPr>
        <w:spacing w:after="80"/>
      </w:pPr>
      <w:r>
        <w:t xml:space="preserve">The station grid opens on open lines only, but the Show filter surfaces returned lines too; nothing is deleted - REQSTN009S runs only as the insert back-out.</w:t>
      </w:r>
    </w:p>
    <w:p>
      <w:pPr>
        <w:pStyle w:val="ListParagraph"/>
        <w:numPr>
          <w:ilvl w:val="0"/>
          <w:numId w:val="2"/>
        </w:numPr>
        <w:spacing w:after="80"/>
      </w:pPr>
      <w:r>
        <w:t xml:space="preserve">Blank page after a copy usually means a stale or corrupted file - compare against git and Ctrl+F5.</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16"/>
      </w:pPr>
    </w:lvl>
  </w:abstractNum>
  <w:abstractNum w:abstractNumId="3" w15:restartNumberingAfterBreak="0">
    <w:multiLevelType w:val="hybridMultilevel"/>
    <w:lvl w:ilvl="0" w15:tentative="1">
      <w:start w:val="1"/>
      <w:numFmt w:val="decimal"/>
      <w:lvlText w:val="%1."/>
      <w:lvlJc w:val="left"/>
      <w:pPr>
        <w:ind w:left="432" w:hanging="288"/>
      </w:pPr>
    </w:lvl>
  </w:abstractNum>
  <w:abstractNum w:abstractNumId="4" w15:restartNumberingAfterBreak="0">
    <w:multiLevelType w:val="hybridMultilevel"/>
    <w:lvl w:ilvl="0" w15:tentative="1">
      <w:start w:val="1"/>
      <w:numFmt w:val="decimal"/>
      <w:lvlText w:val="%1."/>
      <w:lvlJc w:val="left"/>
      <w:pPr>
        <w:ind w:left="432" w:hanging="288"/>
      </w:pPr>
    </w:lvl>
  </w:abstractNum>
  <w:abstractNum w:abstractNumId="5" w15:restartNumberingAfterBreak="0">
    <w:multiLevelType w:val="hybridMultilevel"/>
    <w:lvl w:ilvl="0" w15:tentative="1">
      <w:start w:val="1"/>
      <w:numFmt w:val="decimal"/>
      <w:lvlText w:val="%1."/>
      <w:lvlJc w:val="left"/>
      <w:pPr>
        <w:ind w:left="432" w:hanging="288"/>
      </w:pPr>
    </w:lvl>
  </w:abstractNum>
  <w:abstractNum w:abstractNumId="6" w15:restartNumberingAfterBreak="0">
    <w:multiLevelType w:val="hybridMultilevel"/>
    <w:lvl w:ilvl="0" w15:tentative="1">
      <w:start w:val="1"/>
      <w:numFmt w:val="decimal"/>
      <w:lvlText w:val="%1."/>
      <w:lvlJc w:val="left"/>
      <w:pPr>
        <w:ind w:left="432" w:hanging="288"/>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2">
    <w:name w:val="Title2"/>
    <w:basedOn w:val="Normal"/>
    <w:next w:val="Normal"/>
    <w:pPr>
      <w:spacing w:after="60"/>
    </w:pPr>
    <w:rPr>
      <w:b/>
      <w:bCs/>
      <w:color w:val="1C4532"/>
      <w:sz w:val="44"/>
      <w:szCs w:val="44"/>
    </w:rPr>
  </w:style>
  <w:style w:type="paragraph" w:styleId="Heading1">
    <w:name w:val="Heading 1"/>
    <w:basedOn w:val="Normal"/>
    <w:next w:val="Normal"/>
    <w:qFormat/>
    <w:pPr>
      <w:pBdr>
        <w:bottom w:val="single" w:color="DFE6E1" w:sz="4" w:space="2"/>
      </w:pBdr>
      <w:spacing w:after="120" w:before="280"/>
    </w:pPr>
    <w:rPr>
      <w:b/>
      <w:bCs/>
      <w:color w:val="1C4532"/>
      <w:sz w:val="28"/>
      <w:szCs w:val="28"/>
    </w:rPr>
  </w:style>
  <w:style w:type="paragraph" w:styleId="Heading2">
    <w:name w:val="Heading 2"/>
    <w:basedOn w:val="Normal"/>
    <w:next w:val="Normal"/>
    <w:qFormat/>
    <w:pPr>
      <w:spacing w:after="100" w:before="200"/>
    </w:pPr>
    <w:rPr>
      <w:b/>
      <w:bCs/>
      <w:color w:val="1C453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2026-07-24T17:39:42.006Z</dcterms:created>
  <dcterms:modified xsi:type="dcterms:W3CDTF">2026-07-24T17:39:42.006Z</dcterms:modified>
</cp:coreProperties>
</file>

<file path=docProps/custom.xml><?xml version="1.0" encoding="utf-8"?>
<Properties xmlns="http://schemas.openxmlformats.org/officeDocument/2006/custom-properties" xmlns:vt="http://schemas.openxmlformats.org/officeDocument/2006/docPropsVTypes"/>
</file>