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2"/>
      </w:pPr>
      <w:r>
        <w:t xml:space="preserve">Requisition Material — Presentation Guide</w:t>
      </w:r>
    </w:p>
    <w:p>
      <w:pPr>
        <w:spacing w:after="100"/>
      </w:pPr>
      <w:r>
        <w:rPr>
          <w:i/>
          <w:iCs/>
          <w:color w:val="5F6B62"/>
        </w:rPr>
        <w:t xml:space="preserve">Access-to-AS400 migration walkthrough  ·  ~7–8 minutes talking + demo  ·  Updated 7/23/2026</w:t>
      </w:r>
    </w:p>
    <w:p>
      <w:pPr>
        <w:spacing w:after="120"/>
      </w:pPr>
      <w:r>
        <w:t xml:space="preserve">The boxed paragraphs are the script — read them or put them in your own words. </w:t>
      </w:r>
      <w:r>
        <w:rPr>
          <w:b/>
          <w:bCs/>
          <w:color w:val="0056B3"/>
        </w:rPr>
        <w:t xml:space="preserve">[SHOW ...]</w:t>
      </w:r>
      <w:r>
        <w:t xml:space="preserve"> marks are where you switch to the screen.</w:t>
      </w:r>
    </w:p>
    <w:p>
      <w:pPr>
        <w:pStyle w:val="Heading1"/>
      </w:pPr>
      <w:r>
        <w:t xml:space="preserve">1. What this project is  (30 sec)</w:t>
      </w:r>
    </w:p>
    <w:p>
      <w:pPr>
        <w:pBdr>
          <w:left w:val="single" w:color="1C4532" w:sz="12" w:space="8"/>
        </w:pBdr>
        <w:spacing w:after="140"/>
        <w:ind w:left="288"/>
      </w:pPr>
      <w:r>
        <w:t xml:space="preserve">Requisition Material is how inventory handlers request material out of the vault, and how we track what’s out and what’s come back. Until now it ran on a Microsoft Access database from the early 2000s — a .mdb file on a shared drive, with a couple of PHP pages from 2011 that only worked in Firefox. I migrated the whole thing to our standard stack: Db2 tables and SQL stored procedures on the AS400, with a PHP front end on LCCOnline — the same architecture as Sellbrite and our other tools. It’s packaged as a normal MDCMS RFP.</w:t>
      </w:r>
    </w:p>
    <w:p>
      <w:pPr>
        <w:pStyle w:val="Heading1"/>
      </w:pPr>
      <w:r>
        <w:t xml:space="preserve">2. What I started with  (1 min)</w:t>
      </w:r>
    </w:p>
    <w:p>
      <w:pPr>
        <w:pBdr>
          <w:left w:val="single" w:color="1C4532" w:sz="12" w:space="8"/>
        </w:pBdr>
        <w:spacing w:after="140"/>
        <w:ind w:left="288"/>
      </w:pPr>
      <w:r>
        <w:t xml:space="preserve">The starting point was one file: Requisitions.mdb. No documentation, and the person who built it is long gone.</w:t>
      </w:r>
    </w:p>
    <w:p>
      <w:pPr>
        <w:pBdr>
          <w:left w:val="single" w:color="1C4532" w:sz="12" w:space="8"/>
        </w:pBdr>
        <w:spacing w:after="140"/>
        <w:ind w:left="288"/>
      </w:pPr>
      <w:r>
        <w:t xml:space="preserve">The first surprise came when I opened it up: the Access file wasn’t actually the database. Almost every table in it was a linked table — the real data lived in a MySQL database on an old Linux box. Access was just a front end. So this was really a three-system migration: an Access UI, a MySQL database, and some legacy PHP pages the floor had bookmarked — all of it had to come over.</w:t>
      </w:r>
    </w:p>
    <w:p>
      <w:pPr>
        <w:pBdr>
          <w:left w:val="single" w:color="1C4532" w:sz="12" w:space="8"/>
        </w:pBdr>
        <w:spacing w:after="140"/>
        <w:ind w:left="288"/>
      </w:pPr>
      <w:r>
        <w:t xml:space="preserve">The second surprise was a security one: the VBA code inside the .mdb had an AS400 password hard-coded in plain text, and the MySQL connection string carried its password too — and a copy of that file sat on every station PC. Both passwords are flagged for rotation at cutover. That alone justified the migration.</w:t>
      </w:r>
    </w:p>
    <w:p>
      <w:pPr>
        <w:pStyle w:val="Heading1"/>
      </w:pPr>
      <w:r>
        <w:t xml:space="preserve">3. How I extracted the application  (1 min)</w:t>
      </w:r>
    </w:p>
    <w:p>
      <w:pPr>
        <w:pBdr>
          <w:left w:val="single" w:color="1C4532" w:sz="12" w:space="8"/>
        </w:pBdr>
        <w:spacing w:after="140"/>
        <w:ind w:left="288"/>
      </w:pPr>
      <w:r>
        <w:t xml:space="preserve">You can’t just open a .mdb on our systems, so I took it apart programmatically — parsed the Jet database format directly and recovered everything: all six VBA modules, every saved query, the form and report definitions, and the table schemas. That gave me the actual business rules — for example, the Return Item checkbox’s event code, which is what clears a line off the main screen, and the exact SQL behind the main grid and each printed report.</w:t>
      </w:r>
    </w:p>
    <w:p>
      <w:pPr>
        <w:pBdr>
          <w:left w:val="single" w:color="1C4532" w:sz="12" w:space="8"/>
        </w:pBdr>
        <w:spacing w:after="140"/>
        <w:ind w:left="288"/>
      </w:pPr>
      <w:r>
        <w:t xml:space="preserve">For the data itself I went to the source: a mysqldump of the MySQL database. That confirmed the real schemas — the Access-side copies were stale — and gave me the complete history: about 14,000 requisitions and 50,000 detail lines going back two decades.</w:t>
      </w:r>
    </w:p>
    <w:p>
      <w:pPr>
        <w:pStyle w:val="Heading1"/>
      </w:pPr>
      <w:r>
        <w:t xml:space="preserve">4. How I built the databases  (1.5 min)</w:t>
      </w:r>
    </w:p>
    <w:p>
      <w:pPr>
        <w:pBdr>
          <w:left w:val="single" w:color="1C4532" w:sz="12" w:space="8"/>
        </w:pBdr>
        <w:spacing w:after="140"/>
        <w:ind w:left="288"/>
      </w:pPr>
      <w:r>
        <w:t xml:space="preserve">On the 400 I designed three tables, following our naming conventions — ten characters, ending in T for tables.</w:t>
      </w:r>
    </w:p>
    <w:p>
      <w:pPr>
        <w:pStyle w:val="ListParagraph"/>
        <w:numPr>
          <w:ilvl w:val="0"/>
          <w:numId w:val="2"/>
        </w:numPr>
        <w:spacing w:after="80"/>
      </w:pPr>
      <w:r>
        <w:rPr>
          <w:b/>
          <w:bCs/>
        </w:rPr>
        <w:t xml:space="preserve">RQSREQHDRT</w:t>
      </w:r>
      <w:r>
        <w:t xml:space="preserve"> — one row per requisition header. The requisition number is now a true identity column. The old PHP generated numbers with max-plus-one, which is a race condition — two people submitting at once could collide. The identity fixes that at the database level.</w:t>
      </w:r>
    </w:p>
    <w:p>
      <w:pPr>
        <w:pStyle w:val="ListParagraph"/>
        <w:numPr>
          <w:ilvl w:val="0"/>
          <w:numId w:val="2"/>
        </w:numPr>
        <w:spacing w:after="80"/>
      </w:pPr>
      <w:r>
        <w:rPr>
          <w:b/>
          <w:bCs/>
        </w:rPr>
        <w:t xml:space="preserve">RQSREQDTLT</w:t>
      </w:r>
      <w:r>
        <w:t xml:space="preserve"> — the detail lines, with the returned flag and date-returned that drive the whole workflow.</w:t>
      </w:r>
    </w:p>
    <w:p>
      <w:pPr>
        <w:pStyle w:val="ListParagraph"/>
        <w:numPr>
          <w:ilvl w:val="0"/>
          <w:numId w:val="2"/>
        </w:numPr>
        <w:spacing w:after="80"/>
      </w:pPr>
      <w:r>
        <w:rPr>
          <w:b/>
          <w:bCs/>
        </w:rPr>
        <w:t xml:space="preserve">RQSCODEFLT</w:t>
      </w:r>
      <w:r>
        <w:t xml:space="preserve"> — one code file holding all four dropdown lists — area codes, area types, the 65 requisitioner names, authorizers — keyed by type. In Access those were four separate tables; consolidating them means personnel changes are a one-row SQL insert, not a code change.</w:t>
      </w:r>
    </w:p>
    <w:p>
      <w:pPr>
        <w:pBdr>
          <w:left w:val="single" w:color="1C4532" w:sz="12" w:space="8"/>
        </w:pBdr>
        <w:spacing w:after="140"/>
        <w:ind w:left="288"/>
      </w:pPr>
      <w:r>
        <w:t xml:space="preserve">Behind those sit nine stored procedures, REQSTN001S through 009S — insert header, insert line, the grid query, updates, returns, one consolidated lookup proc, the monthly report query, and a delete used only to back out failed inserts. Every database touch from the web goes through a procedure with bound parameters — the legacy PHP built SQL by string concatenation, which was wide open to injection. The tables are journaled, and everything builds with re-runnable RUNSQLSTM members, so the RFP is twelve Db2 objects plus four IFS files.</w:t>
      </w:r>
    </w:p>
    <w:p>
      <w:pPr>
        <w:pStyle w:val="Heading1"/>
      </w:pPr>
      <w:r>
        <w:t xml:space="preserve">5. How the data migrated  (1 min)</w:t>
      </w:r>
    </w:p>
    <w:p>
      <w:pPr>
        <w:pBdr>
          <w:left w:val="single" w:color="1C4532" w:sz="12" w:space="8"/>
        </w:pBdr>
        <w:spacing w:after="140"/>
        <w:ind w:left="288"/>
      </w:pPr>
      <w:r>
        <w:t xml:space="preserve">Migration was transform-then-load. From the MySQL dump I generated load-ready CSVs, doing every conversion at export time: Access’s minus-one/zero booleans became Y/N flags, timestamps became our standard decimal yyyymmdd and hhmmss columns, and I preserved quirks the app depends on — for instance, thirteen thousand headers literally store the text "Authorization = None", and the app treats that as a real value because that’s how the reports and history read.</w:t>
      </w:r>
    </w:p>
    <w:p>
      <w:pPr>
        <w:pBdr>
          <w:left w:val="single" w:color="1C4532" w:sz="12" w:space="8"/>
        </w:pBdr>
        <w:spacing w:after="140"/>
        <w:ind w:left="288"/>
      </w:pPr>
      <w:r>
        <w:t xml:space="preserve">Load was CPYFRMIMPF into the three tables, then restart the identity at the next requisition number. And I validated it like a batch job: row counts, open-line count, even the sum of every quantity column — 33 million — matched between MySQL and Db2 before I called it done.</w:t>
      </w:r>
    </w:p>
    <w:p>
      <w:pPr>
        <w:pStyle w:val="Heading1"/>
      </w:pPr>
      <w:r>
        <w:t xml:space="preserve">6. The web app  (1 min)</w:t>
      </w:r>
    </w:p>
    <w:p>
      <w:pPr>
        <w:pBdr>
          <w:left w:val="single" w:color="1C4532" w:sz="12" w:space="8"/>
        </w:pBdr>
        <w:spacing w:after="140"/>
        <w:ind w:left="288"/>
      </w:pPr>
      <w:r>
        <w:t xml:space="preserve">The front end is four PHP files — controller, display, model, ajax — the exact SellbriteBulkLoader pattern, so anyone who’s maintained one of our tools can maintain this one. Sign-on is the LCCOnline session with the standard authority check, replacing HTTP Basic auth, and the Firefox-only restriction is gone.</w:t>
      </w:r>
    </w:p>
    <w:p>
      <w:pPr>
        <w:pBdr>
          <w:left w:val="single" w:color="1C4532" w:sz="12" w:space="8"/>
        </w:pBdr>
        <w:spacing w:after="140"/>
        <w:ind w:left="288"/>
      </w:pPr>
      <w:r>
        <w:t xml:space="preserve">The design principle was: faithful where people have muscle memory, modern where the old app was fighting them. The screens are laid out like the Access form and the old entry page — same columns, same two-line records, same reports to the pixel — but with modern touches: type-ahead item search, live validation before submit, and an all-or-nothing insert, so a failed submit backs itself out instead of half-saving.</w:t>
      </w:r>
    </w:p>
    <w:p>
      <w:pPr>
        <w:pStyle w:val="Heading1"/>
      </w:pPr>
      <w:r>
        <w:t xml:space="preserve">7. Demo — what to show, in order  (2 min)</w:t>
      </w:r>
    </w:p>
    <w:p>
      <w:pPr>
        <w:pStyle w:val="ListParagraph"/>
        <w:numPr>
          <w:ilvl w:val="0"/>
          <w:numId w:val="3"/>
        </w:numPr>
        <w:spacing w:after="80"/>
      </w:pPr>
      <w:r>
        <w:rPr>
          <w:b/>
          <w:bCs/>
          <w:color w:val="0056B3"/>
        </w:rPr>
        <w:t xml:space="preserve">[SHOW the entry shortcut — ?mode=entry]</w:t>
      </w:r>
      <w:r>
        <w:t xml:space="preserve"> "This is what the floor gets — the entry form and nothing else. Their old bookmark is replaced by this one." Pick a name, point out the live clock.</w:t>
      </w:r>
    </w:p>
    <w:p>
      <w:pPr>
        <w:pStyle w:val="ListParagraph"/>
        <w:numPr>
          <w:ilvl w:val="0"/>
          <w:numId w:val="3"/>
        </w:numPr>
        <w:spacing w:after="80"/>
      </w:pPr>
      <w:r>
        <w:t xml:space="preserve">Type an item # slowly — the dropdown appears. Pick one: description, coin date, cost, retail fill in from history. "That’s the autofill — the old form had it, this one searches too."</w:t>
      </w:r>
    </w:p>
    <w:p>
      <w:pPr>
        <w:pStyle w:val="ListParagraph"/>
        <w:numPr>
          <w:ilvl w:val="0"/>
          <w:numId w:val="3"/>
        </w:numPr>
        <w:spacing w:after="80"/>
      </w:pPr>
      <w:r>
        <w:t xml:space="preserve">Enter-hop across the sheet, Enter on the last box to grow a line. Put a bad quantity in, hit Insert, show the red box — then fix it and submit. "Notice the requisition number comes back — and if any line had failed server-side, the whole thing backs out."</w:t>
      </w:r>
    </w:p>
    <w:p>
      <w:pPr>
        <w:pStyle w:val="ListParagraph"/>
        <w:numPr>
          <w:ilvl w:val="0"/>
          <w:numId w:val="3"/>
        </w:numPr>
        <w:spacing w:after="80"/>
      </w:pPr>
      <w:r>
        <w:rPr>
          <w:b/>
          <w:bCs/>
          <w:color w:val="0056B3"/>
        </w:rPr>
        <w:t xml:space="preserve">[SHOW the full station]</w:t>
      </w:r>
      <w:r>
        <w:t xml:space="preserve"> "This is the IT view, the old frmMain." Point out the two-line records, the filter, the auto-refresh stamp. Find the req you just entered.</w:t>
      </w:r>
    </w:p>
    <w:p>
      <w:pPr>
        <w:pStyle w:val="ListParagraph"/>
        <w:numPr>
          <w:ilvl w:val="0"/>
          <w:numId w:val="3"/>
        </w:numPr>
        <w:spacing w:after="80"/>
      </w:pPr>
      <w:r>
        <w:t xml:space="preserve">Edit the Badge # right in the grid, Enter — saved.</w:t>
      </w:r>
    </w:p>
    <w:p>
      <w:pPr>
        <w:pStyle w:val="ListParagraph"/>
        <w:numPr>
          <w:ilvl w:val="0"/>
          <w:numId w:val="3"/>
        </w:numPr>
        <w:spacing w:after="80"/>
      </w:pPr>
      <w:r>
        <w:t xml:space="preserve">Check Return Item on a line — today’s date pops in. "Nothing’s saved yet — same as Access, it commits on refresh." Hit Refresh; the line drops off.</w:t>
      </w:r>
    </w:p>
    <w:p>
      <w:pPr>
        <w:pStyle w:val="ListParagraph"/>
        <w:numPr>
          <w:ilvl w:val="0"/>
          <w:numId w:val="3"/>
        </w:numPr>
        <w:spacing w:after="80"/>
      </w:pPr>
      <w:r>
        <w:t xml:space="preserve">Click a blue req # — the view window, old request.php layout. Change Authorized By to a real name, Update, and show the pill go green in the grid. Uncheck the returned line here to bring it back.</w:t>
      </w:r>
    </w:p>
    <w:p>
      <w:pPr>
        <w:pStyle w:val="ListParagraph"/>
        <w:numPr>
          <w:ilvl w:val="0"/>
          <w:numId w:val="3"/>
        </w:numPr>
        <w:spacing w:after="80"/>
      </w:pPr>
      <w:r>
        <w:t xml:space="preserve">Monthly Report — pick the month from the dropdowns, Run, then Print. Hold up the old printed sample next to it if you have it — they match.</w:t>
      </w:r>
    </w:p>
    <w:p>
      <w:pPr>
        <w:pStyle w:val="ListParagraph"/>
        <w:numPr>
          <w:ilvl w:val="0"/>
          <w:numId w:val="3"/>
        </w:numPr>
        <w:spacing w:after="80"/>
      </w:pPr>
      <w:r>
        <w:t xml:space="preserve">Preview Report on the selected row — the old rptRequest, unreturned items only.</w:t>
      </w:r>
    </w:p>
    <w:p>
      <w:pPr>
        <w:pStyle w:val="Heading1"/>
      </w:pPr>
      <w:r>
        <w:t xml:space="preserve">8. Close  (30 sec)</w:t>
      </w:r>
    </w:p>
    <w:p>
      <w:pPr>
        <w:pBdr>
          <w:left w:val="single" w:color="1C4532" w:sz="12" w:space="8"/>
        </w:pBdr>
        <w:spacing w:after="140"/>
        <w:ind w:left="288"/>
      </w:pPr>
      <w:r>
        <w:t xml:space="preserve">So: one orphaned Access file became twelve Db2 objects and four PHP files on our standard stack — documented, journaled, promotable through MDCMS like anything else we ship. The data came over complete and validated, two security holes are closed with two passwords queued for rotation, and the people using it every day get the same screens they know, just faster and in any browser. Cutover is retiring the old folder and pushing two shortcuts: the entry link for the floor, the station link for IT.</w:t>
      </w:r>
    </w:p>
    <w:p>
      <w:pPr>
        <w:pStyle w:val="Heading1"/>
      </w:pPr>
      <w:r>
        <w:t xml:space="preserve">Likely questions</w:t>
      </w:r>
    </w:p>
    <w:p>
      <w:pPr>
        <w:pStyle w:val="ListParagraph"/>
        <w:numPr>
          <w:ilvl w:val="0"/>
          <w:numId w:val="2"/>
        </w:numPr>
        <w:spacing w:after="80"/>
      </w:pPr>
      <w:r>
        <w:rPr>
          <w:b/>
          <w:bCs/>
        </w:rPr>
        <w:t xml:space="preserve">Why stored procedures instead of SQL in the PHP?</w:t>
      </w:r>
      <w:r>
        <w:t xml:space="preserve"> One place to change logic, bound parameters kill injection, and the web profile only needs authority to call procs.</w:t>
      </w:r>
    </w:p>
    <w:p>
      <w:pPr>
        <w:pStyle w:val="ListParagraph"/>
        <w:numPr>
          <w:ilvl w:val="0"/>
          <w:numId w:val="2"/>
        </w:numPr>
        <w:spacing w:after="80"/>
      </w:pPr>
      <w:r>
        <w:rPr>
          <w:b/>
          <w:bCs/>
        </w:rPr>
        <w:t xml:space="preserve">What happens to the old system?</w:t>
      </w:r>
      <w:r>
        <w:t xml:space="preserve"> MySQL stays up read-only until cutover confidence, then retired; the .mdb dies everywhere because its passwords get rotated.</w:t>
      </w:r>
    </w:p>
    <w:p>
      <w:pPr>
        <w:pStyle w:val="ListParagraph"/>
        <w:numPr>
          <w:ilvl w:val="0"/>
          <w:numId w:val="2"/>
        </w:numPr>
        <w:spacing w:after="80"/>
      </w:pPr>
      <w:r>
        <w:rPr>
          <w:b/>
          <w:bCs/>
        </w:rPr>
        <w:t xml:space="preserve">What’s left?</w:t>
      </w:r>
      <w:r>
        <w:t xml:space="preserve"> Web-profile authority grants in prod, password rotations, and the desktop shortcuts push.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216"/>
      </w:pPr>
    </w:lvl>
  </w:abstractNum>
  <w:abstractNum w:abstractNumId="3" w15:restartNumberingAfterBreak="0">
    <w:multiLevelType w:val="hybridMultilevel"/>
    <w:lvl w:ilvl="0" w15:tentative="1">
      <w:start w:val="1"/>
      <w:numFmt w:val="decimal"/>
      <w:lvlText w:val="%1."/>
      <w:lvlJc w:val="left"/>
      <w:pPr>
        <w:ind w:left="432"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2">
    <w:name w:val="Title2"/>
    <w:basedOn w:val="Normal"/>
    <w:next w:val="Normal"/>
    <w:pPr>
      <w:spacing w:after="60"/>
    </w:pPr>
    <w:rPr>
      <w:b/>
      <w:bCs/>
      <w:color w:val="1C4532"/>
      <w:sz w:val="44"/>
      <w:szCs w:val="44"/>
    </w:rPr>
  </w:style>
  <w:style w:type="paragraph" w:styleId="Heading1">
    <w:name w:val="Heading 1"/>
    <w:basedOn w:val="Normal"/>
    <w:next w:val="Normal"/>
    <w:qFormat/>
    <w:pPr>
      <w:pBdr>
        <w:bottom w:val="single" w:color="DFE6E1" w:sz="4" w:space="2"/>
      </w:pBdr>
      <w:spacing w:after="120" w:before="280"/>
    </w:pPr>
    <w:rPr>
      <w:b/>
      <w:bCs/>
      <w:color w:val="1C453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2026-07-23T17:16:11.498Z</dcterms:created>
  <dcterms:modified xsi:type="dcterms:W3CDTF">2026-07-23T17:16:11.512Z</dcterms:modified>
</cp:coreProperties>
</file>

<file path=docProps/custom.xml><?xml version="1.0" encoding="utf-8"?>
<Properties xmlns="http://schemas.openxmlformats.org/officeDocument/2006/custom-properties" xmlns:vt="http://schemas.openxmlformats.org/officeDocument/2006/docPropsVTypes"/>
</file>