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four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the four seeded dropdown lists in one table, keyed by CDTYPE + CDCODE — AREACODE (3), AREATYPE (16), NAMES (65), AUTHBY (6). The BADGE list is not stored here: it reads live from LSCPRDLIB/XEMPLOYP.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BADGE = live active employees (LEESTAT A) from LSCPRDLIB/XEMPLOYP; ITEM = autofill from the LSCPRDLIB/ITMMSTP item master (description, coin year) + last-used cost/retail from history, with history fallback for legacy items; ITEMSRCH = type-ahead over LSCPRDLIB/ITMMSTP, first 12,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 (change = save).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(type-ahead, 250ms debounce, 12 rows)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stored properly (10 chars) and editable from the grid.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2026-07-23T18:54:23.219Z</dcterms:created>
  <dcterms:modified xsi:type="dcterms:W3CDTF">2026-07-23T18:54:23.219Z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