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7B40" w14:textId="77777777" w:rsidR="00AB3409" w:rsidRPr="009D4532" w:rsidRDefault="00000000">
      <w:pPr>
        <w:pStyle w:val="Title"/>
        <w:rPr>
          <w:sz w:val="40"/>
          <w:szCs w:val="40"/>
        </w:rPr>
      </w:pPr>
      <w:r w:rsidRPr="009D4532">
        <w:rPr>
          <w:color w:val="1F4E2D"/>
          <w:sz w:val="40"/>
          <w:szCs w:val="40"/>
        </w:rPr>
        <w:t>Sellbrite Bulk Loader - Technical Reference</w:t>
      </w:r>
    </w:p>
    <w:p w14:paraId="103409B0" w14:textId="5E4935D4" w:rsidR="00AB3409" w:rsidRDefault="00000000">
      <w:r>
        <w:t xml:space="preserve">Updated 7/16/2026. </w:t>
      </w:r>
    </w:p>
    <w:p w14:paraId="37646AB2" w14:textId="77777777" w:rsidR="00AB3409" w:rsidRDefault="00000000">
      <w:pPr>
        <w:pStyle w:val="Heading1"/>
      </w:pPr>
      <w:r>
        <w:rPr>
          <w:b w:val="0"/>
          <w:color w:val="1F4E2D"/>
        </w:rPr>
        <w:t>1. Overview and file layout</w:t>
      </w:r>
    </w:p>
    <w:p w14:paraId="225E0CA0" w14:textId="2CAD652A" w:rsidR="00AB3409" w:rsidRDefault="00AB3409"/>
    <w:tbl>
      <w:tblPr>
        <w:tblStyle w:val="TableGrid"/>
        <w:tblW w:w="0" w:type="auto"/>
        <w:tblLook w:val="04A0" w:firstRow="1" w:lastRow="0" w:firstColumn="1" w:lastColumn="0" w:noHBand="0" w:noVBand="1"/>
      </w:tblPr>
      <w:tblGrid>
        <w:gridCol w:w="4320"/>
        <w:gridCol w:w="4320"/>
      </w:tblGrid>
      <w:tr w:rsidR="00AB3409" w14:paraId="3C606946" w14:textId="77777777">
        <w:tc>
          <w:tcPr>
            <w:tcW w:w="4320" w:type="dxa"/>
            <w:shd w:val="clear" w:color="auto" w:fill="1F4E2D"/>
          </w:tcPr>
          <w:p w14:paraId="0D17276D" w14:textId="77777777" w:rsidR="00AB3409" w:rsidRDefault="00000000">
            <w:r>
              <w:rPr>
                <w:b/>
                <w:color w:val="FFFFFF"/>
                <w:sz w:val="19"/>
              </w:rPr>
              <w:t>File</w:t>
            </w:r>
          </w:p>
        </w:tc>
        <w:tc>
          <w:tcPr>
            <w:tcW w:w="4320" w:type="dxa"/>
            <w:shd w:val="clear" w:color="auto" w:fill="1F4E2D"/>
          </w:tcPr>
          <w:p w14:paraId="4C503725" w14:textId="77777777" w:rsidR="00AB3409" w:rsidRDefault="00000000">
            <w:r>
              <w:rPr>
                <w:b/>
                <w:color w:val="FFFFFF"/>
                <w:sz w:val="19"/>
              </w:rPr>
              <w:t>What it does</w:t>
            </w:r>
          </w:p>
        </w:tc>
      </w:tr>
      <w:tr w:rsidR="00AB3409" w14:paraId="1664F557" w14:textId="77777777">
        <w:tc>
          <w:tcPr>
            <w:tcW w:w="4320" w:type="dxa"/>
          </w:tcPr>
          <w:p w14:paraId="59B36C4F" w14:textId="77777777" w:rsidR="00AB3409" w:rsidRDefault="00000000">
            <w:r>
              <w:rPr>
                <w:rFonts w:ascii="Consolas" w:hAnsi="Consolas"/>
                <w:color w:val="1B3A28"/>
                <w:sz w:val="19"/>
              </w:rPr>
              <w:t>_ctl.php</w:t>
            </w:r>
          </w:p>
        </w:tc>
        <w:tc>
          <w:tcPr>
            <w:tcW w:w="4320" w:type="dxa"/>
          </w:tcPr>
          <w:p w14:paraId="534EF049" w14:textId="77777777" w:rsidR="00AB3409" w:rsidRDefault="00000000">
            <w:r>
              <w:rPr>
                <w:sz w:val="19"/>
              </w:rPr>
              <w:t>All of the JavaScript: the lookup dropdowns, Autofill, the live recalculation, field show/hide, the Certification Number gate. Also the authority check.</w:t>
            </w:r>
          </w:p>
        </w:tc>
      </w:tr>
      <w:tr w:rsidR="00AB3409" w14:paraId="769901CF" w14:textId="77777777">
        <w:tc>
          <w:tcPr>
            <w:tcW w:w="4320" w:type="dxa"/>
          </w:tcPr>
          <w:p w14:paraId="3A24D5C2" w14:textId="77777777" w:rsidR="00AB3409" w:rsidRDefault="00000000">
            <w:r>
              <w:rPr>
                <w:rFonts w:ascii="Consolas" w:hAnsi="Consolas"/>
                <w:color w:val="1B3A28"/>
                <w:sz w:val="19"/>
              </w:rPr>
              <w:t>_dsp.php</w:t>
            </w:r>
          </w:p>
        </w:tc>
        <w:tc>
          <w:tcPr>
            <w:tcW w:w="4320" w:type="dxa"/>
          </w:tcPr>
          <w:p w14:paraId="3229546F" w14:textId="77777777" w:rsidR="00AB3409" w:rsidRDefault="00000000">
            <w:r>
              <w:rPr>
                <w:sz w:val="19"/>
              </w:rPr>
              <w:t>Draws the page. One function renders every form field, so a change there affects all of them. The CSS lives here, and the lists that decide which fields carry the AUTO badge.</w:t>
            </w:r>
          </w:p>
        </w:tc>
      </w:tr>
      <w:tr w:rsidR="00AB3409" w14:paraId="1277F0E2" w14:textId="77777777">
        <w:tc>
          <w:tcPr>
            <w:tcW w:w="4320" w:type="dxa"/>
          </w:tcPr>
          <w:p w14:paraId="66E75A15" w14:textId="77777777" w:rsidR="00AB3409" w:rsidRDefault="00000000">
            <w:r>
              <w:rPr>
                <w:rFonts w:ascii="Consolas" w:hAnsi="Consolas"/>
                <w:color w:val="1B3A28"/>
                <w:sz w:val="19"/>
              </w:rPr>
              <w:t>_ajax.php</w:t>
            </w:r>
          </w:p>
        </w:tc>
        <w:tc>
          <w:tcPr>
            <w:tcW w:w="4320" w:type="dxa"/>
          </w:tcPr>
          <w:p w14:paraId="5477C972" w14:textId="77777777" w:rsidR="00AB3409" w:rsidRDefault="00000000">
            <w:r>
              <w:rPr>
                <w:sz w:val="19"/>
              </w:rPr>
              <w:t>Routes each request to the right function. Output is buffered from the first byte because the export download is also served here, and any stray output corrupts the Excel file.</w:t>
            </w:r>
          </w:p>
        </w:tc>
      </w:tr>
      <w:tr w:rsidR="00AB3409" w14:paraId="3280AFBF" w14:textId="77777777">
        <w:tc>
          <w:tcPr>
            <w:tcW w:w="4320" w:type="dxa"/>
          </w:tcPr>
          <w:p w14:paraId="1E60D91B" w14:textId="77777777" w:rsidR="00AB3409" w:rsidRDefault="00000000">
            <w:r>
              <w:rPr>
                <w:rFonts w:ascii="Consolas" w:hAnsi="Consolas"/>
                <w:color w:val="1B3A28"/>
                <w:sz w:val="19"/>
              </w:rPr>
              <w:t>_logic.php</w:t>
            </w:r>
          </w:p>
        </w:tc>
        <w:tc>
          <w:tcPr>
            <w:tcW w:w="4320" w:type="dxa"/>
          </w:tcPr>
          <w:p w14:paraId="0475B3D5" w14:textId="77777777" w:rsidR="00AB3409" w:rsidRDefault="00000000">
            <w:r>
              <w:rPr>
                <w:sz w:val="19"/>
              </w:rPr>
              <w:t xml:space="preserve">The rules. </w:t>
            </w:r>
            <w:r>
              <w:rPr>
                <w:rFonts w:ascii="Consolas" w:hAnsi="Consolas"/>
                <w:color w:val="1B3A28"/>
                <w:sz w:val="19"/>
              </w:rPr>
              <w:t>Schema</w:t>
            </w:r>
            <w:r>
              <w:rPr>
                <w:sz w:val="19"/>
              </w:rPr>
              <w:t xml:space="preserve"> reads the reference data, </w:t>
            </w:r>
            <w:r>
              <w:rPr>
                <w:rFonts w:ascii="Consolas" w:hAnsi="Consolas"/>
                <w:color w:val="1B3A28"/>
                <w:sz w:val="19"/>
              </w:rPr>
              <w:t>Computer</w:t>
            </w:r>
            <w:r>
              <w:rPr>
                <w:sz w:val="19"/>
              </w:rPr>
              <w:t xml:space="preserve"> holds the old spreadsheet formulas, </w:t>
            </w:r>
            <w:r>
              <w:rPr>
                <w:rFonts w:ascii="Consolas" w:hAnsi="Consolas"/>
                <w:color w:val="1B3A28"/>
                <w:sz w:val="19"/>
              </w:rPr>
              <w:t>Validator</w:t>
            </w:r>
            <w:r>
              <w:rPr>
                <w:sz w:val="19"/>
              </w:rPr>
              <w:t xml:space="preserve"> produces the red/yellow/green statuses, </w:t>
            </w:r>
            <w:r>
              <w:rPr>
                <w:rFonts w:ascii="Consolas" w:hAnsi="Consolas"/>
                <w:color w:val="1B3A28"/>
                <w:sz w:val="19"/>
              </w:rPr>
              <w:t>Exporter</w:t>
            </w:r>
            <w:r>
              <w:rPr>
                <w:sz w:val="19"/>
              </w:rPr>
              <w:t xml:space="preserve"> builds the 88-column Sellbrite workbook.</w:t>
            </w:r>
          </w:p>
        </w:tc>
      </w:tr>
      <w:tr w:rsidR="00AB3409" w14:paraId="7F1DEBA4" w14:textId="77777777">
        <w:tc>
          <w:tcPr>
            <w:tcW w:w="4320" w:type="dxa"/>
          </w:tcPr>
          <w:p w14:paraId="0DE3032A" w14:textId="77777777" w:rsidR="00AB3409" w:rsidRDefault="00000000">
            <w:r>
              <w:rPr>
                <w:rFonts w:ascii="Consolas" w:hAnsi="Consolas"/>
                <w:color w:val="1B3A28"/>
                <w:sz w:val="19"/>
              </w:rPr>
              <w:t>_model.php</w:t>
            </w:r>
          </w:p>
        </w:tc>
        <w:tc>
          <w:tcPr>
            <w:tcW w:w="4320" w:type="dxa"/>
          </w:tcPr>
          <w:p w14:paraId="58FD0E64" w14:textId="77777777" w:rsidR="00AB3409" w:rsidRDefault="00000000">
            <w:r>
              <w:rPr>
                <w:sz w:val="19"/>
              </w:rPr>
              <w:t xml:space="preserve">All database access for the </w:t>
            </w:r>
            <w:r>
              <w:rPr>
                <w:rFonts w:ascii="Consolas" w:hAnsi="Consolas"/>
                <w:color w:val="1B3A28"/>
                <w:sz w:val="19"/>
              </w:rPr>
              <w:t>SBLPRODUCT</w:t>
            </w:r>
            <w:r>
              <w:rPr>
                <w:sz w:val="19"/>
              </w:rPr>
              <w:t xml:space="preserve"> table. It reads the table's real column list at runtime, so a field added to the code before the matching column exists simply doesn't save. Also enforces per-user row ownership (see section 6).</w:t>
            </w:r>
          </w:p>
        </w:tc>
      </w:tr>
      <w:tr w:rsidR="00AB3409" w14:paraId="46A21EE4" w14:textId="77777777">
        <w:tc>
          <w:tcPr>
            <w:tcW w:w="4320" w:type="dxa"/>
          </w:tcPr>
          <w:p w14:paraId="39E5E033" w14:textId="77777777" w:rsidR="00AB3409" w:rsidRDefault="00000000">
            <w:r>
              <w:rPr>
                <w:rFonts w:ascii="Consolas" w:hAnsi="Consolas"/>
                <w:color w:val="1B3A28"/>
                <w:sz w:val="19"/>
              </w:rPr>
              <w:t>_agent.php</w:t>
            </w:r>
          </w:p>
        </w:tc>
        <w:tc>
          <w:tcPr>
            <w:tcW w:w="4320" w:type="dxa"/>
          </w:tcPr>
          <w:p w14:paraId="42D6D47A" w14:textId="77777777" w:rsidR="00AB3409" w:rsidRDefault="00000000">
            <w:r>
              <w:rPr>
                <w:sz w:val="19"/>
              </w:rPr>
              <w:t>Everything external: the GreySheet API calls, path-memory lookups, the mapping from GreySheet facts to form fields, and the Gemini prompts. The API keys are defined at the top of this file and are blank in git.</w:t>
            </w:r>
          </w:p>
        </w:tc>
      </w:tr>
      <w:tr w:rsidR="00AB3409" w14:paraId="05089EBD" w14:textId="77777777">
        <w:tc>
          <w:tcPr>
            <w:tcW w:w="4320" w:type="dxa"/>
          </w:tcPr>
          <w:p w14:paraId="5487F11C" w14:textId="77777777" w:rsidR="00AB3409" w:rsidRDefault="00000000">
            <w:r>
              <w:rPr>
                <w:rFonts w:ascii="Consolas" w:hAnsi="Consolas"/>
                <w:color w:val="1B3A28"/>
                <w:sz w:val="19"/>
              </w:rPr>
              <w:t>_data.php</w:t>
            </w:r>
          </w:p>
        </w:tc>
        <w:tc>
          <w:tcPr>
            <w:tcW w:w="4320" w:type="dxa"/>
          </w:tcPr>
          <w:p w14:paraId="7E39A8AB" w14:textId="77777777" w:rsidR="00AB3409" w:rsidRDefault="00000000">
            <w:r>
              <w:rPr>
                <w:sz w:val="19"/>
              </w:rPr>
              <w:t>Reference data only, no logic: dropdown valid values, the field list, packaging weight tables. The safest file to edit.</w:t>
            </w:r>
          </w:p>
        </w:tc>
      </w:tr>
      <w:tr w:rsidR="00AB3409" w14:paraId="1B60AD29" w14:textId="77777777">
        <w:tc>
          <w:tcPr>
            <w:tcW w:w="4320" w:type="dxa"/>
          </w:tcPr>
          <w:p w14:paraId="36BE5A74" w14:textId="15AF3622" w:rsidR="00AB3409" w:rsidRDefault="00000000">
            <w:r>
              <w:rPr>
                <w:rFonts w:ascii="Consolas" w:hAnsi="Consolas"/>
                <w:color w:val="1B3A28"/>
                <w:sz w:val="19"/>
              </w:rPr>
              <w:t>_seed.php</w:t>
            </w:r>
            <w:r>
              <w:rPr>
                <w:sz w:val="19"/>
              </w:rPr>
              <w:t>,</w:t>
            </w:r>
          </w:p>
        </w:tc>
        <w:tc>
          <w:tcPr>
            <w:tcW w:w="4320" w:type="dxa"/>
          </w:tcPr>
          <w:p w14:paraId="3FA0EAE8" w14:textId="77777777" w:rsidR="00AB3409" w:rsidRDefault="00000000">
            <w:r>
              <w:rPr>
                <w:sz w:val="19"/>
              </w:rPr>
              <w:t>The one-time catalog crawler, and a standalone diagnostics page.</w:t>
            </w:r>
          </w:p>
        </w:tc>
      </w:tr>
    </w:tbl>
    <w:p w14:paraId="66DFC06E" w14:textId="77777777" w:rsidR="00AB3409" w:rsidRDefault="00000000">
      <w:r>
        <w:t xml:space="preserve">Two DB2 tables in LSCDEVLIBP. </w:t>
      </w:r>
      <w:r>
        <w:rPr>
          <w:rFonts w:ascii="Consolas" w:hAnsi="Consolas"/>
          <w:color w:val="1B3A28"/>
          <w:sz w:val="19"/>
        </w:rPr>
        <w:t>SBLPRODUCT</w:t>
      </w:r>
      <w:r>
        <w:t xml:space="preserve"> holds one row per listing (SKU is unique; each row records its owner). </w:t>
      </w:r>
      <w:r>
        <w:rPr>
          <w:rFonts w:ascii="Consolas" w:hAnsi="Consolas"/>
          <w:color w:val="1B3A28"/>
          <w:sz w:val="19"/>
        </w:rPr>
        <w:t>SBLMEMORYT</w:t>
      </w:r>
      <w:r>
        <w:t xml:space="preserve"> is the catalog memory: every GreySheet folder and coin the seed crawl recorded, with its full path. All the lookup dropdowns read this table, which is why browsing costs zero API calls. The screen never writes to it.</w:t>
      </w:r>
    </w:p>
    <w:p w14:paraId="30E62131" w14:textId="77777777" w:rsidR="00AB3409" w:rsidRDefault="00000000">
      <w:pPr>
        <w:shd w:val="clear" w:color="auto" w:fill="FDECEA"/>
      </w:pPr>
      <w:r>
        <w:rPr>
          <w:sz w:val="20"/>
        </w:rPr>
        <w:t>Do not drop or rebuild SBLMEMORYT. Refilling it costs thousands of GreySheet API calls. It is additive: the seeder can crawl a new tree without touching the existing rows. A coin missing from the dropdowns means its branch was never crawled.</w:t>
      </w:r>
    </w:p>
    <w:p w14:paraId="0794177E" w14:textId="77777777" w:rsidR="00AB3409" w:rsidRDefault="00000000">
      <w:pPr>
        <w:pStyle w:val="Heading1"/>
      </w:pPr>
      <w:r>
        <w:rPr>
          <w:b w:val="0"/>
          <w:color w:val="1F4E2D"/>
        </w:rPr>
        <w:lastRenderedPageBreak/>
        <w:t>2. What happens on Autofill</w:t>
      </w:r>
    </w:p>
    <w:p w14:paraId="5755E336" w14:textId="77777777" w:rsidR="00AB3409" w:rsidRDefault="00000000">
      <w:pPr>
        <w:pStyle w:val="ListNumber"/>
      </w:pPr>
      <w:r>
        <w:t>The browser clears the form, keeping the operator's own fields (SKU, marketplace, quantity, category, country, condition, certification and its number).</w:t>
      </w:r>
    </w:p>
    <w:p w14:paraId="14FA6F6D" w14:textId="77777777" w:rsidR="00AB3409" w:rsidRDefault="00000000">
      <w:pPr>
        <w:pStyle w:val="ListNumber"/>
      </w:pPr>
      <w:r>
        <w:t xml:space="preserve">The server calls GreySheet twice: </w:t>
      </w:r>
      <w:r>
        <w:rPr>
          <w:rFonts w:ascii="Consolas" w:hAnsi="Consolas"/>
          <w:color w:val="1B3A28"/>
          <w:sz w:val="19"/>
        </w:rPr>
        <w:t>GetCollectibleRequest</w:t>
      </w:r>
      <w:r>
        <w:t xml:space="preserve"> for the coin's facts and </w:t>
      </w:r>
      <w:r>
        <w:rPr>
          <w:rFonts w:ascii="Consolas" w:hAnsi="Consolas"/>
          <w:color w:val="1B3A28"/>
          <w:sz w:val="19"/>
        </w:rPr>
        <w:t>GetPricingRequest</w:t>
      </w:r>
      <w:r>
        <w:t xml:space="preserve"> for prices. The pricing grade label lands in the Grade box. Pricing often comes back empty for world coins; that is normal.</w:t>
      </w:r>
    </w:p>
    <w:p w14:paraId="66917625" w14:textId="77777777" w:rsidR="00AB3409" w:rsidRDefault="00000000">
      <w:pPr>
        <w:pStyle w:val="ListNumber"/>
      </w:pPr>
      <w:r>
        <w:t xml:space="preserve">Live GreySheet responses do not include the catalog path, so the server reads the coin's path from its own row in the memory table. The calls panel shows this as a </w:t>
      </w:r>
      <w:r>
        <w:rPr>
          <w:rFonts w:ascii="Consolas" w:hAnsi="Consolas"/>
          <w:color w:val="1B3A28"/>
          <w:sz w:val="19"/>
        </w:rPr>
        <w:t>gsMemPath</w:t>
      </w:r>
      <w:r>
        <w:t xml:space="preserve"> line.</w:t>
      </w:r>
    </w:p>
    <w:p w14:paraId="756E6991" w14:textId="77777777" w:rsidR="00AB3409" w:rsidRDefault="00000000">
      <w:pPr>
        <w:pStyle w:val="ListNumber"/>
      </w:pPr>
      <w:r>
        <w:rPr>
          <w:rFonts w:ascii="Consolas" w:hAnsi="Consolas"/>
          <w:color w:val="1B3A28"/>
          <w:sz w:val="19"/>
        </w:rPr>
        <w:t>gsMapToProduct</w:t>
      </w:r>
      <w:r>
        <w:t xml:space="preserve"> does the deterministic mapping: dates, denomination, composition, weights, country, the word-match attempt at Coin Type, and for notes, Composition = Paper plus the series letter (a CoinDate of 1934A puts an A in Series Designation).</w:t>
      </w:r>
    </w:p>
    <w:p w14:paraId="27D4D0BF" w14:textId="77777777" w:rsidR="00AB3409" w:rsidRDefault="00000000">
      <w:pPr>
        <w:pStyle w:val="ListNumber"/>
      </w:pPr>
      <w:r>
        <w:rPr>
          <w:rFonts w:ascii="Consolas" w:hAnsi="Consolas"/>
          <w:color w:val="1B3A28"/>
          <w:sz w:val="19"/>
        </w:rPr>
        <w:t>gsAiMap</w:t>
      </w:r>
      <w:r>
        <w:t xml:space="preserve"> sends Gemini the field instructions, the coin facts and the tree's Coin Type options, and merges the answer. Mapped values win; the AI only fills what mapping left empty. One exception: the AI may shorten the two variety fields to remove wording the category already contains. A guard only accepts words that were in the original, so it can trim but not invent.</w:t>
      </w:r>
    </w:p>
    <w:p w14:paraId="2A58E69C" w14:textId="77777777" w:rsidR="00AB3409" w:rsidRDefault="00000000">
      <w:pPr>
        <w:pStyle w:val="ListNumber"/>
      </w:pPr>
      <w:r>
        <w:rPr>
          <w:rFonts w:ascii="Consolas" w:hAnsi="Consolas"/>
          <w:color w:val="1B3A28"/>
          <w:sz w:val="19"/>
        </w:rPr>
        <w:t>Computer::apply</w:t>
      </w:r>
      <w:r>
        <w:t xml:space="preserve"> runs the formulas and </w:t>
      </w:r>
      <w:r>
        <w:rPr>
          <w:rFonts w:ascii="Consolas" w:hAnsi="Consolas"/>
          <w:color w:val="1B3A28"/>
          <w:sz w:val="19"/>
        </w:rPr>
        <w:t>Validator::check</w:t>
      </w:r>
      <w:r>
        <w:t xml:space="preserve"> produces the statuses. The browser fills the form and recalculates.</w:t>
      </w:r>
    </w:p>
    <w:p w14:paraId="2F93C37E" w14:textId="77777777" w:rsidR="00AB3409" w:rsidRDefault="00000000">
      <w:r>
        <w:t xml:space="preserve">After that, every keystroke posts the form to the </w:t>
      </w:r>
      <w:r>
        <w:rPr>
          <w:rFonts w:ascii="Consolas" w:hAnsi="Consolas"/>
          <w:color w:val="1B3A28"/>
          <w:sz w:val="19"/>
        </w:rPr>
        <w:t>compute</w:t>
      </w:r>
      <w:r>
        <w:t xml:space="preserve"> action, which recalculates all derived fields and statuses. Nothing is written to the database until Save.</w:t>
      </w:r>
    </w:p>
    <w:p w14:paraId="52BF83ED" w14:textId="77777777" w:rsidR="00AB3409" w:rsidRDefault="00000000">
      <w:pPr>
        <w:pStyle w:val="Heading1"/>
      </w:pPr>
      <w:r>
        <w:rPr>
          <w:b w:val="0"/>
          <w:color w:val="1F4E2D"/>
        </w:rPr>
        <w:t>3. The formulas</w:t>
      </w:r>
    </w:p>
    <w:p w14:paraId="1834FC0F" w14:textId="77777777" w:rsidR="00AB3409" w:rsidRDefault="00000000">
      <w:pPr>
        <w:pStyle w:val="ListBullet"/>
      </w:pPr>
      <w:r>
        <w:t>Title: year, mint mark, category, varieties, denomination, grade, certification, then "Coin Collectible".</w:t>
      </w:r>
    </w:p>
    <w:p w14:paraId="43B68093" w14:textId="77777777" w:rsidR="00AB3409" w:rsidRDefault="00000000">
      <w:pPr>
        <w:pStyle w:val="ListBullet"/>
      </w:pPr>
      <w:r>
        <w:t>Description: one standard sentence ("A genuine ... , in X Condition." or ", graded and certified X by Y"). It rebuilds only while the text still starts with "A genuine", so an operator's own description is left alone. Sentences after the first are preserved.</w:t>
      </w:r>
    </w:p>
    <w:p w14:paraId="4B6F58ED" w14:textId="77777777" w:rsidR="00AB3409" w:rsidRDefault="00000000">
      <w:pPr>
        <w:pStyle w:val="ListBullet"/>
      </w:pPr>
      <w:r>
        <w:t>Features: 1 is DETAILS (the front of the description), 2 CONDITION, 3 IMAGES, 4 the AI's collector's note, 5 the fixed company blurb.</w:t>
      </w:r>
    </w:p>
    <w:p w14:paraId="09B3478E" w14:textId="77777777" w:rsidR="00AB3409" w:rsidRDefault="00000000">
      <w:pPr>
        <w:pStyle w:val="ListBullet"/>
      </w:pPr>
      <w:r>
        <w:t>Package weight for coins: GreySheet weight in troy ounces times 0.0685714, plus the holder: 0.015 for raw or U.S. Mint, 0.08 PCGS/CAC, 0.07 ICG, 0.1 NGC/ANACS. Notes have no metal weight, so they get a flat 0.035 base plus 0.015 raw or 0.065 for the currency graders, which comes to 0.05 raw and 0.1 slabbed. GSA coins use the fixed holder weights keyed by the Title Suffix text. The formula recalculates when Certification changes but only replaces values it produced itself. A weight someone typed stays.</w:t>
      </w:r>
    </w:p>
    <w:p w14:paraId="3DCCC2B1" w14:textId="77777777" w:rsidR="00AB3409" w:rsidRDefault="00000000">
      <w:pPr>
        <w:pStyle w:val="ListBullet"/>
      </w:pPr>
      <w:r>
        <w:t>Package dimensions come from weight brackets. Light items get 9 x 8 x 1.</w:t>
      </w:r>
    </w:p>
    <w:p w14:paraId="7355CB4D" w14:textId="77777777" w:rsidR="00AB3409" w:rsidRDefault="00000000">
      <w:pPr>
        <w:pStyle w:val="ListBullet"/>
      </w:pPr>
      <w:r>
        <w:t>eBay condition fields: a certified coin becomes Graded with the grader and grade numbers; raw becomes Ungraded with a condition word. "Certified" everywhere means: certification is not blank, not Uncertified, not U.S. Mint.</w:t>
      </w:r>
    </w:p>
    <w:p w14:paraId="3D65425B" w14:textId="77777777" w:rsidR="00AB3409" w:rsidRDefault="00000000">
      <w:pPr>
        <w:pStyle w:val="ListBullet"/>
      </w:pPr>
      <w:r>
        <w:t>Price, Cost and Original Retail have thousands commas stripped automatically, both when the data arrives and when someone types them.</w:t>
      </w:r>
    </w:p>
    <w:p w14:paraId="70AF80C9" w14:textId="77777777" w:rsidR="00AB3409" w:rsidRDefault="00000000">
      <w:pPr>
        <w:pStyle w:val="Heading1"/>
      </w:pPr>
      <w:r>
        <w:rPr>
          <w:b w:val="0"/>
          <w:color w:val="1F4E2D"/>
        </w:rPr>
        <w:lastRenderedPageBreak/>
        <w:t>4. Gemini</w:t>
      </w:r>
    </w:p>
    <w:p w14:paraId="17EC9629" w14:textId="77777777" w:rsidR="00AB3409" w:rsidRDefault="00000000">
      <w:r>
        <w:t xml:space="preserve">One function makes every AI call: </w:t>
      </w:r>
      <w:r>
        <w:rPr>
          <w:rFonts w:ascii="Consolas" w:hAnsi="Consolas"/>
          <w:color w:val="1B3A28"/>
          <w:sz w:val="19"/>
        </w:rPr>
        <w:t>geminiJson</w:t>
      </w:r>
      <w:r>
        <w:t xml:space="preserve">, using gemini-2.5-flash in JSON mode with </w:t>
      </w:r>
      <w:r>
        <w:rPr>
          <w:rFonts w:ascii="Consolas" w:hAnsi="Consolas"/>
          <w:color w:val="1B3A28"/>
          <w:sz w:val="19"/>
        </w:rPr>
        <w:t>maxOutputTokens</w:t>
      </w:r>
      <w:r>
        <w:t xml:space="preserve"> 8192. That limit matters: a full autofill answer runs about 7,000 tokens, and the earlier limit of 2048 cut the answer off mid-JSON, which made the whole AI step fail silently on most coins. If a response ever comes back truncated again, the debug log now records the finish reason.</w:t>
      </w:r>
    </w:p>
    <w:p w14:paraId="6A494F2D" w14:textId="77777777" w:rsidR="00AB3409" w:rsidRDefault="00000000">
      <w:r>
        <w:t xml:space="preserve">The prompt is built from three parts: </w:t>
      </w:r>
      <w:r>
        <w:rPr>
          <w:rFonts w:ascii="Consolas" w:hAnsi="Consolas"/>
          <w:color w:val="1B3A28"/>
          <w:sz w:val="19"/>
        </w:rPr>
        <w:t>sbl_field_guide()</w:t>
      </w:r>
      <w:r>
        <w:t xml:space="preserve">, which describes every field in plain English with the house examples; the facts packet from </w:t>
      </w:r>
      <w:r>
        <w:rPr>
          <w:rFonts w:ascii="Consolas" w:hAnsi="Consolas"/>
          <w:color w:val="1B3A28"/>
          <w:sz w:val="19"/>
        </w:rPr>
        <w:t>gs_coin_facts()</w:t>
      </w:r>
      <w:r>
        <w:t xml:space="preserve">, which only includes fields GreySheet actually filled; and the Coin Type options for the tree. The numbered rules in </w:t>
      </w:r>
      <w:r>
        <w:rPr>
          <w:rFonts w:ascii="Consolas" w:hAnsi="Consolas"/>
          <w:color w:val="1B3A28"/>
          <w:sz w:val="19"/>
        </w:rPr>
        <w:t>gsAiMap</w:t>
      </w:r>
      <w:r>
        <w:t xml:space="preserve"> tell the model to copy list options exactly or leave them empty, never invent facts, keep the extended description category-level, write the collector's note from a different angle, remove variety wording the category already covers, and treat the PCGS/NGC numbers as catalog numbers, not certification. To change how the AI writes, edit the guide wording and keep it consistent with the Computer formulas.</w:t>
      </w:r>
    </w:p>
    <w:p w14:paraId="196F589A" w14:textId="77777777" w:rsidR="00AB3409" w:rsidRDefault="00000000">
      <w:r>
        <w:t>If the AI call fails, the extended description falls back to GreySheet's own notes and the collector's note to the coin-face descriptions. The collector's note is never allowed to copy the extended description; if there is no separate material it stays empty and shows as required. The "Generate Product details with AI" button fills only empty copy boxes from what is on the form, and drops an answer that just copies the extended description.</w:t>
      </w:r>
    </w:p>
    <w:p w14:paraId="5FA6CAF5" w14:textId="77777777" w:rsidR="00AB3409" w:rsidRDefault="00000000">
      <w:r>
        <w:t xml:space="preserve">Keys: GreySheet token and key plus the Gemini key are defined at the top of </w:t>
      </w:r>
      <w:r>
        <w:rPr>
          <w:rFonts w:ascii="Consolas" w:hAnsi="Consolas"/>
          <w:color w:val="1B3A28"/>
          <w:sz w:val="19"/>
        </w:rPr>
        <w:t>_agent.php</w:t>
      </w:r>
      <w:r>
        <w:t xml:space="preserve"> and are deliberately blank in git, because GitHub blocks any push that contains a Google key. Each machine keeps its own values in its copy. If a key ends up in a chat or a ticket, rotate it.</w:t>
      </w:r>
    </w:p>
    <w:p w14:paraId="1CC50FFE" w14:textId="77777777" w:rsidR="00AB3409" w:rsidRDefault="00000000">
      <w:pPr>
        <w:pStyle w:val="Heading1"/>
      </w:pPr>
      <w:r>
        <w:rPr>
          <w:b w:val="0"/>
          <w:color w:val="1F4E2D"/>
        </w:rPr>
        <w:t>5. Where to make common changes</w:t>
      </w:r>
    </w:p>
    <w:tbl>
      <w:tblPr>
        <w:tblStyle w:val="TableGrid"/>
        <w:tblW w:w="0" w:type="auto"/>
        <w:tblLook w:val="04A0" w:firstRow="1" w:lastRow="0" w:firstColumn="1" w:lastColumn="0" w:noHBand="0" w:noVBand="1"/>
      </w:tblPr>
      <w:tblGrid>
        <w:gridCol w:w="4320"/>
        <w:gridCol w:w="4320"/>
      </w:tblGrid>
      <w:tr w:rsidR="00AB3409" w14:paraId="0EBC98B3" w14:textId="77777777">
        <w:tc>
          <w:tcPr>
            <w:tcW w:w="4320" w:type="dxa"/>
            <w:shd w:val="clear" w:color="auto" w:fill="1F4E2D"/>
          </w:tcPr>
          <w:p w14:paraId="4F0347D5" w14:textId="77777777" w:rsidR="00AB3409" w:rsidRDefault="00000000">
            <w:r>
              <w:rPr>
                <w:b/>
                <w:color w:val="FFFFFF"/>
                <w:sz w:val="19"/>
              </w:rPr>
              <w:t>Change</w:t>
            </w:r>
          </w:p>
        </w:tc>
        <w:tc>
          <w:tcPr>
            <w:tcW w:w="4320" w:type="dxa"/>
            <w:shd w:val="clear" w:color="auto" w:fill="1F4E2D"/>
          </w:tcPr>
          <w:p w14:paraId="4BE797EF" w14:textId="77777777" w:rsidR="00AB3409" w:rsidRDefault="00000000">
            <w:r>
              <w:rPr>
                <w:b/>
                <w:color w:val="FFFFFF"/>
                <w:sz w:val="19"/>
              </w:rPr>
              <w:t>Where</w:t>
            </w:r>
          </w:p>
        </w:tc>
      </w:tr>
      <w:tr w:rsidR="00AB3409" w14:paraId="511E3B7F" w14:textId="77777777">
        <w:tc>
          <w:tcPr>
            <w:tcW w:w="4320" w:type="dxa"/>
          </w:tcPr>
          <w:p w14:paraId="743ABB94" w14:textId="77777777" w:rsidR="00AB3409" w:rsidRDefault="00000000">
            <w:r>
              <w:rPr>
                <w:sz w:val="19"/>
              </w:rPr>
              <w:t>Add or remove a dropdown option</w:t>
            </w:r>
          </w:p>
        </w:tc>
        <w:tc>
          <w:tcPr>
            <w:tcW w:w="4320" w:type="dxa"/>
          </w:tcPr>
          <w:p w14:paraId="0C3B1195" w14:textId="77777777" w:rsidR="00AB3409" w:rsidRDefault="00000000">
            <w:r>
              <w:rPr>
                <w:rFonts w:ascii="Consolas" w:hAnsi="Consolas"/>
                <w:color w:val="1B3A28"/>
                <w:sz w:val="19"/>
              </w:rPr>
              <w:t>values</w:t>
            </w:r>
            <w:r>
              <w:rPr>
                <w:sz w:val="19"/>
              </w:rPr>
              <w:t xml:space="preserve"> in </w:t>
            </w:r>
            <w:r>
              <w:rPr>
                <w:rFonts w:ascii="Consolas" w:hAnsi="Consolas"/>
                <w:color w:val="1B3A28"/>
                <w:sz w:val="19"/>
              </w:rPr>
              <w:t>_data.php</w:t>
            </w:r>
            <w:r>
              <w:rPr>
                <w:sz w:val="19"/>
              </w:rPr>
              <w:t>. The Grade and Coin Type lists are split into pools by their "--- SECTION ---" divider lines; put new entries inside the right section.</w:t>
            </w:r>
          </w:p>
        </w:tc>
      </w:tr>
      <w:tr w:rsidR="00AB3409" w14:paraId="540B2D48" w14:textId="77777777">
        <w:tc>
          <w:tcPr>
            <w:tcW w:w="4320" w:type="dxa"/>
          </w:tcPr>
          <w:p w14:paraId="0FDD6416" w14:textId="77777777" w:rsidR="00AB3409" w:rsidRDefault="00000000">
            <w:r>
              <w:rPr>
                <w:sz w:val="19"/>
              </w:rPr>
              <w:t>Packaging numbers</w:t>
            </w:r>
          </w:p>
        </w:tc>
        <w:tc>
          <w:tcPr>
            <w:tcW w:w="4320" w:type="dxa"/>
          </w:tcPr>
          <w:p w14:paraId="3B555784" w14:textId="77777777" w:rsidR="00AB3409" w:rsidRDefault="00000000">
            <w:r>
              <w:rPr>
                <w:rFonts w:ascii="Consolas" w:hAnsi="Consolas"/>
                <w:color w:val="1B3A28"/>
                <w:sz w:val="19"/>
              </w:rPr>
              <w:t>lookups.package_weights</w:t>
            </w:r>
            <w:r>
              <w:rPr>
                <w:sz w:val="19"/>
              </w:rPr>
              <w:t xml:space="preserve"> in </w:t>
            </w:r>
            <w:r>
              <w:rPr>
                <w:rFonts w:ascii="Consolas" w:hAnsi="Consolas"/>
                <w:color w:val="1B3A28"/>
                <w:sz w:val="19"/>
              </w:rPr>
              <w:t>_data.php</w:t>
            </w:r>
            <w:r>
              <w:rPr>
                <w:sz w:val="19"/>
              </w:rPr>
              <w:t>: the per-service holder weights, the note base (</w:t>
            </w:r>
            <w:r>
              <w:rPr>
                <w:rFonts w:ascii="Consolas" w:hAnsi="Consolas"/>
                <w:color w:val="1B3A28"/>
                <w:sz w:val="19"/>
              </w:rPr>
              <w:t>paper_base</w:t>
            </w:r>
            <w:r>
              <w:rPr>
                <w:sz w:val="19"/>
              </w:rPr>
              <w:t>), the GSA holders.</w:t>
            </w:r>
          </w:p>
        </w:tc>
      </w:tr>
      <w:tr w:rsidR="00AB3409" w14:paraId="36802998" w14:textId="77777777">
        <w:tc>
          <w:tcPr>
            <w:tcW w:w="4320" w:type="dxa"/>
          </w:tcPr>
          <w:p w14:paraId="4BD50430" w14:textId="77777777" w:rsidR="00AB3409" w:rsidRDefault="00000000">
            <w:r>
              <w:rPr>
                <w:sz w:val="19"/>
              </w:rPr>
              <w:t>Make a field required</w:t>
            </w:r>
          </w:p>
        </w:tc>
        <w:tc>
          <w:tcPr>
            <w:tcW w:w="4320" w:type="dxa"/>
          </w:tcPr>
          <w:p w14:paraId="460E87E5" w14:textId="77777777" w:rsidR="00AB3409" w:rsidRDefault="00000000">
            <w:r>
              <w:rPr>
                <w:sz w:val="19"/>
              </w:rPr>
              <w:t xml:space="preserve">Add its name to </w:t>
            </w:r>
            <w:r>
              <w:rPr>
                <w:rFonts w:ascii="Consolas" w:hAnsi="Consolas"/>
                <w:color w:val="1B3A28"/>
                <w:sz w:val="19"/>
              </w:rPr>
              <w:t>Schema::requiredNames()</w:t>
            </w:r>
            <w:r>
              <w:rPr>
                <w:sz w:val="19"/>
              </w:rPr>
              <w:t xml:space="preserve"> in </w:t>
            </w:r>
            <w:r>
              <w:rPr>
                <w:rFonts w:ascii="Consolas" w:hAnsi="Consolas"/>
                <w:color w:val="1B3A28"/>
                <w:sz w:val="19"/>
              </w:rPr>
              <w:t>_logic.php</w:t>
            </w:r>
            <w:r>
              <w:rPr>
                <w:sz w:val="19"/>
              </w:rPr>
              <w:t>. The star, the red status and the save warning all read that one list.</w:t>
            </w:r>
          </w:p>
        </w:tc>
      </w:tr>
      <w:tr w:rsidR="00AB3409" w14:paraId="5600882C" w14:textId="77777777">
        <w:tc>
          <w:tcPr>
            <w:tcW w:w="4320" w:type="dxa"/>
          </w:tcPr>
          <w:p w14:paraId="6DC8780B" w14:textId="77777777" w:rsidR="00AB3409" w:rsidRDefault="00000000">
            <w:r>
              <w:rPr>
                <w:sz w:val="19"/>
              </w:rPr>
              <w:t>Which GreySheet value lands in which field</w:t>
            </w:r>
          </w:p>
        </w:tc>
        <w:tc>
          <w:tcPr>
            <w:tcW w:w="4320" w:type="dxa"/>
          </w:tcPr>
          <w:p w14:paraId="3EB2374E" w14:textId="77777777" w:rsidR="00AB3409" w:rsidRDefault="00000000">
            <w:r>
              <w:rPr>
                <w:rFonts w:ascii="Consolas" w:hAnsi="Consolas"/>
                <w:color w:val="1B3A28"/>
                <w:sz w:val="19"/>
              </w:rPr>
              <w:t>gsMapToProduct</w:t>
            </w:r>
            <w:r>
              <w:rPr>
                <w:sz w:val="19"/>
              </w:rPr>
              <w:t xml:space="preserve"> in </w:t>
            </w:r>
            <w:r>
              <w:rPr>
                <w:rFonts w:ascii="Consolas" w:hAnsi="Consolas"/>
                <w:color w:val="1B3A28"/>
                <w:sz w:val="19"/>
              </w:rPr>
              <w:t>_agent.php</w:t>
            </w:r>
            <w:r>
              <w:rPr>
                <w:sz w:val="19"/>
              </w:rPr>
              <w:t>.</w:t>
            </w:r>
          </w:p>
        </w:tc>
      </w:tr>
      <w:tr w:rsidR="00AB3409" w14:paraId="503E85AA" w14:textId="77777777">
        <w:tc>
          <w:tcPr>
            <w:tcW w:w="4320" w:type="dxa"/>
          </w:tcPr>
          <w:p w14:paraId="6D74DBD8" w14:textId="77777777" w:rsidR="00AB3409" w:rsidRDefault="00000000">
            <w:r>
              <w:rPr>
                <w:sz w:val="19"/>
              </w:rPr>
              <w:t>How the AI writes or judges a field</w:t>
            </w:r>
          </w:p>
        </w:tc>
        <w:tc>
          <w:tcPr>
            <w:tcW w:w="4320" w:type="dxa"/>
          </w:tcPr>
          <w:p w14:paraId="3722E1D5" w14:textId="77777777" w:rsidR="00AB3409" w:rsidRDefault="00000000">
            <w:r>
              <w:rPr>
                <w:rFonts w:ascii="Consolas" w:hAnsi="Consolas"/>
                <w:color w:val="1B3A28"/>
                <w:sz w:val="19"/>
              </w:rPr>
              <w:t>sbl_field_guide()</w:t>
            </w:r>
            <w:r>
              <w:rPr>
                <w:sz w:val="19"/>
              </w:rPr>
              <w:t xml:space="preserve"> and the numbered rules in </w:t>
            </w:r>
            <w:r>
              <w:rPr>
                <w:rFonts w:ascii="Consolas" w:hAnsi="Consolas"/>
                <w:color w:val="1B3A28"/>
                <w:sz w:val="19"/>
              </w:rPr>
              <w:t>gsAiMap</w:t>
            </w:r>
            <w:r>
              <w:rPr>
                <w:sz w:val="19"/>
              </w:rPr>
              <w:t xml:space="preserve">, both in </w:t>
            </w:r>
            <w:r>
              <w:rPr>
                <w:rFonts w:ascii="Consolas" w:hAnsi="Consolas"/>
                <w:color w:val="1B3A28"/>
                <w:sz w:val="19"/>
              </w:rPr>
              <w:t>_agent.php</w:t>
            </w:r>
            <w:r>
              <w:rPr>
                <w:sz w:val="19"/>
              </w:rPr>
              <w:t>.</w:t>
            </w:r>
          </w:p>
        </w:tc>
      </w:tr>
      <w:tr w:rsidR="00AB3409" w14:paraId="48FFF005" w14:textId="77777777">
        <w:tc>
          <w:tcPr>
            <w:tcW w:w="4320" w:type="dxa"/>
          </w:tcPr>
          <w:p w14:paraId="099AAA12" w14:textId="77777777" w:rsidR="00AB3409" w:rsidRDefault="00000000">
            <w:r>
              <w:rPr>
                <w:sz w:val="19"/>
              </w:rPr>
              <w:t>Title or description wording</w:t>
            </w:r>
          </w:p>
        </w:tc>
        <w:tc>
          <w:tcPr>
            <w:tcW w:w="4320" w:type="dxa"/>
          </w:tcPr>
          <w:p w14:paraId="0D7B29D1" w14:textId="77777777" w:rsidR="00AB3409" w:rsidRDefault="00000000">
            <w:r>
              <w:rPr>
                <w:rFonts w:ascii="Consolas" w:hAnsi="Consolas"/>
                <w:color w:val="1B3A28"/>
                <w:sz w:val="19"/>
              </w:rPr>
              <w:t>Computer::buildTitle</w:t>
            </w:r>
            <w:r>
              <w:rPr>
                <w:sz w:val="19"/>
              </w:rPr>
              <w:t xml:space="preserve"> / </w:t>
            </w:r>
            <w:r>
              <w:rPr>
                <w:rFonts w:ascii="Consolas" w:hAnsi="Consolas"/>
                <w:color w:val="1B3A28"/>
                <w:sz w:val="19"/>
              </w:rPr>
              <w:t>buildDescription</w:t>
            </w:r>
            <w:r>
              <w:rPr>
                <w:sz w:val="19"/>
              </w:rPr>
              <w:t xml:space="preserve"> in </w:t>
            </w:r>
            <w:r>
              <w:rPr>
                <w:rFonts w:ascii="Consolas" w:hAnsi="Consolas"/>
                <w:color w:val="1B3A28"/>
                <w:sz w:val="19"/>
              </w:rPr>
              <w:t>_logic.php</w:t>
            </w:r>
            <w:r>
              <w:rPr>
                <w:sz w:val="19"/>
              </w:rPr>
              <w:t>, and update the matching examples in the field guide so the AI and the formulas agree.</w:t>
            </w:r>
          </w:p>
        </w:tc>
      </w:tr>
      <w:tr w:rsidR="00AB3409" w14:paraId="308DC6D2" w14:textId="77777777">
        <w:tc>
          <w:tcPr>
            <w:tcW w:w="4320" w:type="dxa"/>
          </w:tcPr>
          <w:p w14:paraId="1DA7D965" w14:textId="77777777" w:rsidR="00AB3409" w:rsidRDefault="00000000">
            <w:r>
              <w:rPr>
                <w:sz w:val="19"/>
              </w:rPr>
              <w:t>Which fields show for which product type</w:t>
            </w:r>
          </w:p>
        </w:tc>
        <w:tc>
          <w:tcPr>
            <w:tcW w:w="4320" w:type="dxa"/>
          </w:tcPr>
          <w:p w14:paraId="4B4BA88B" w14:textId="77777777" w:rsidR="00AB3409" w:rsidRDefault="00000000">
            <w:r>
              <w:rPr>
                <w:rFonts w:ascii="Consolas" w:hAnsi="Consolas"/>
                <w:color w:val="1B3A28"/>
                <w:sz w:val="19"/>
              </w:rPr>
              <w:t>SBL_CAT_FIELDS</w:t>
            </w:r>
            <w:r>
              <w:rPr>
                <w:sz w:val="19"/>
              </w:rPr>
              <w:t xml:space="preserve"> in </w:t>
            </w:r>
            <w:r>
              <w:rPr>
                <w:rFonts w:ascii="Consolas" w:hAnsi="Consolas"/>
                <w:color w:val="1B3A28"/>
                <w:sz w:val="19"/>
              </w:rPr>
              <w:t>_ctl.php</w:t>
            </w:r>
            <w:r>
              <w:rPr>
                <w:sz w:val="19"/>
              </w:rPr>
              <w:t>. A field listed in no group shows for every type; that is deliberate for Coin Type and Condition Note.</w:t>
            </w:r>
          </w:p>
        </w:tc>
      </w:tr>
      <w:tr w:rsidR="00AB3409" w14:paraId="25DBE7E4" w14:textId="77777777">
        <w:tc>
          <w:tcPr>
            <w:tcW w:w="4320" w:type="dxa"/>
          </w:tcPr>
          <w:p w14:paraId="4A113676" w14:textId="77777777" w:rsidR="00AB3409" w:rsidRDefault="00000000">
            <w:r>
              <w:rPr>
                <w:sz w:val="19"/>
              </w:rPr>
              <w:lastRenderedPageBreak/>
              <w:t>Badges and manual fields</w:t>
            </w:r>
          </w:p>
        </w:tc>
        <w:tc>
          <w:tcPr>
            <w:tcW w:w="4320" w:type="dxa"/>
          </w:tcPr>
          <w:p w14:paraId="11633459" w14:textId="77777777" w:rsidR="00AB3409" w:rsidRDefault="00000000">
            <w:r>
              <w:rPr>
                <w:sz w:val="19"/>
              </w:rPr>
              <w:t xml:space="preserve">The </w:t>
            </w:r>
            <w:r>
              <w:rPr>
                <w:rFonts w:ascii="Consolas" w:hAnsi="Consolas"/>
                <w:color w:val="1B3A28"/>
                <w:sz w:val="19"/>
              </w:rPr>
              <w:t>$autoAlways</w:t>
            </w:r>
            <w:r>
              <w:rPr>
                <w:sz w:val="19"/>
              </w:rPr>
              <w:t xml:space="preserve">, </w:t>
            </w:r>
            <w:r>
              <w:rPr>
                <w:rFonts w:ascii="Consolas" w:hAnsi="Consolas"/>
                <w:color w:val="1B3A28"/>
                <w:sz w:val="19"/>
              </w:rPr>
              <w:t>$noBadge</w:t>
            </w:r>
            <w:r>
              <w:rPr>
                <w:sz w:val="19"/>
              </w:rPr>
              <w:t xml:space="preserve"> and </w:t>
            </w:r>
            <w:r>
              <w:rPr>
                <w:rFonts w:ascii="Consolas" w:hAnsi="Consolas"/>
                <w:color w:val="1B3A28"/>
                <w:sz w:val="19"/>
              </w:rPr>
              <w:t>$manualAlways</w:t>
            </w:r>
            <w:r>
              <w:rPr>
                <w:sz w:val="19"/>
              </w:rPr>
              <w:t xml:space="preserve"> lists in </w:t>
            </w:r>
            <w:r>
              <w:rPr>
                <w:rFonts w:ascii="Consolas" w:hAnsi="Consolas"/>
                <w:color w:val="1B3A28"/>
                <w:sz w:val="19"/>
              </w:rPr>
              <w:t>_dsp.php</w:t>
            </w:r>
            <w:r>
              <w:rPr>
                <w:sz w:val="19"/>
              </w:rPr>
              <w:t xml:space="preserve">. Operator-owned fields also belong in the keep list in </w:t>
            </w:r>
            <w:r>
              <w:rPr>
                <w:rFonts w:ascii="Consolas" w:hAnsi="Consolas"/>
                <w:color w:val="1B3A28"/>
                <w:sz w:val="19"/>
              </w:rPr>
              <w:t>sblGsAutofill</w:t>
            </w:r>
            <w:r>
              <w:rPr>
                <w:sz w:val="19"/>
              </w:rPr>
              <w:t>.</w:t>
            </w:r>
          </w:p>
        </w:tc>
      </w:tr>
      <w:tr w:rsidR="00AB3409" w14:paraId="1652D8A1" w14:textId="77777777">
        <w:tc>
          <w:tcPr>
            <w:tcW w:w="4320" w:type="dxa"/>
          </w:tcPr>
          <w:p w14:paraId="005BDA18" w14:textId="77777777" w:rsidR="00AB3409" w:rsidRDefault="00000000">
            <w:r>
              <w:rPr>
                <w:sz w:val="19"/>
              </w:rPr>
              <w:t>Export columns or a new marketplace</w:t>
            </w:r>
          </w:p>
        </w:tc>
        <w:tc>
          <w:tcPr>
            <w:tcW w:w="4320" w:type="dxa"/>
          </w:tcPr>
          <w:p w14:paraId="5ECA6A0A" w14:textId="77777777" w:rsidR="00AB3409" w:rsidRDefault="00000000">
            <w:r>
              <w:rPr>
                <w:sz w:val="19"/>
              </w:rPr>
              <w:t xml:space="preserve">The </w:t>
            </w:r>
            <w:r>
              <w:rPr>
                <w:rFonts w:ascii="Consolas" w:hAnsi="Consolas"/>
                <w:color w:val="1B3A28"/>
                <w:sz w:val="19"/>
              </w:rPr>
              <w:t>Exporter</w:t>
            </w:r>
            <w:r>
              <w:rPr>
                <w:sz w:val="19"/>
              </w:rPr>
              <w:t xml:space="preserve"> class in </w:t>
            </w:r>
            <w:r>
              <w:rPr>
                <w:rFonts w:ascii="Consolas" w:hAnsi="Consolas"/>
                <w:color w:val="1B3A28"/>
                <w:sz w:val="19"/>
              </w:rPr>
              <w:t>_logic.php</w:t>
            </w:r>
            <w:r>
              <w:rPr>
                <w:sz w:val="19"/>
              </w:rPr>
              <w:t xml:space="preserve">, plus </w:t>
            </w:r>
            <w:r>
              <w:rPr>
                <w:rFonts w:ascii="Consolas" w:hAnsi="Consolas"/>
                <w:color w:val="1B3A28"/>
                <w:sz w:val="19"/>
              </w:rPr>
              <w:t>SBL_MARKET_FIELDS</w:t>
            </w:r>
            <w:r>
              <w:rPr>
                <w:sz w:val="19"/>
              </w:rPr>
              <w:t xml:space="preserve"> in </w:t>
            </w:r>
            <w:r>
              <w:rPr>
                <w:rFonts w:ascii="Consolas" w:hAnsi="Consolas"/>
                <w:color w:val="1B3A28"/>
                <w:sz w:val="19"/>
              </w:rPr>
              <w:t>_ctl.php</w:t>
            </w:r>
            <w:r>
              <w:rPr>
                <w:sz w:val="19"/>
              </w:rPr>
              <w:t>.</w:t>
            </w:r>
          </w:p>
        </w:tc>
      </w:tr>
      <w:tr w:rsidR="00AB3409" w14:paraId="49789045" w14:textId="77777777">
        <w:tc>
          <w:tcPr>
            <w:tcW w:w="4320" w:type="dxa"/>
          </w:tcPr>
          <w:p w14:paraId="034D55EF" w14:textId="77777777" w:rsidR="00AB3409" w:rsidRDefault="00000000">
            <w:r>
              <w:rPr>
                <w:sz w:val="19"/>
              </w:rPr>
              <w:t>A brand new field, end to end</w:t>
            </w:r>
          </w:p>
        </w:tc>
        <w:tc>
          <w:tcPr>
            <w:tcW w:w="4320" w:type="dxa"/>
          </w:tcPr>
          <w:p w14:paraId="48E66334" w14:textId="77777777" w:rsidR="00AB3409" w:rsidRDefault="00000000">
            <w:r>
              <w:rPr>
                <w:sz w:val="19"/>
              </w:rPr>
              <w:t xml:space="preserve">Schema row in </w:t>
            </w:r>
            <w:r>
              <w:rPr>
                <w:rFonts w:ascii="Consolas" w:hAnsi="Consolas"/>
                <w:color w:val="1B3A28"/>
                <w:sz w:val="19"/>
              </w:rPr>
              <w:t>_data.php</w:t>
            </w:r>
            <w:r>
              <w:rPr>
                <w:sz w:val="19"/>
              </w:rPr>
              <w:t xml:space="preserve">, matching column on </w:t>
            </w:r>
            <w:r>
              <w:rPr>
                <w:rFonts w:ascii="Consolas" w:hAnsi="Consolas"/>
                <w:color w:val="1B3A28"/>
                <w:sz w:val="19"/>
              </w:rPr>
              <w:t>SBLPRODUCT</w:t>
            </w:r>
            <w:r>
              <w:rPr>
                <w:sz w:val="19"/>
              </w:rPr>
              <w:t xml:space="preserve">, a section list entry in </w:t>
            </w:r>
            <w:r>
              <w:rPr>
                <w:rFonts w:ascii="Consolas" w:hAnsi="Consolas"/>
                <w:color w:val="1B3A28"/>
                <w:sz w:val="19"/>
              </w:rPr>
              <w:t>_dsp.php</w:t>
            </w:r>
            <w:r>
              <w:rPr>
                <w:sz w:val="19"/>
              </w:rPr>
              <w:t>, then visibility, formula, guide entry and export column as needed. The order is safe: the field just doesn't save until the column exists.</w:t>
            </w:r>
          </w:p>
        </w:tc>
      </w:tr>
    </w:tbl>
    <w:p w14:paraId="31437166" w14:textId="77777777" w:rsidR="00AB3409" w:rsidRDefault="00000000">
      <w:pPr>
        <w:pStyle w:val="Heading1"/>
      </w:pPr>
      <w:r>
        <w:rPr>
          <w:b w:val="0"/>
          <w:color w:val="1F4E2D"/>
        </w:rPr>
        <w:t>6. Multiple users</w:t>
      </w:r>
    </w:p>
    <w:p w14:paraId="036210BA" w14:textId="77777777" w:rsidR="00AB3409" w:rsidRDefault="00000000">
      <w:r>
        <w:t xml:space="preserve">Rows in </w:t>
      </w:r>
      <w:r>
        <w:rPr>
          <w:rFonts w:ascii="Consolas" w:hAnsi="Consolas"/>
          <w:color w:val="1B3A28"/>
          <w:sz w:val="19"/>
        </w:rPr>
        <w:t>SBLPRODUCT</w:t>
      </w:r>
      <w:r>
        <w:t xml:space="preserve"> belong to the user who created them (the </w:t>
      </w:r>
      <w:r>
        <w:rPr>
          <w:rFonts w:ascii="Consolas" w:hAnsi="Consolas"/>
          <w:color w:val="1B3A28"/>
          <w:sz w:val="19"/>
        </w:rPr>
        <w:t>created_by</w:t>
      </w:r>
      <w:r>
        <w:t xml:space="preserve"> column, stamped from the signed-on profile). The grid, the edit screen, the export and both delete operations are filtered to the current user's rows, and updates carry the same condition, so one user cannot see or overwrite another's work. Rows with no owner, from before the column existed, are visible to everyone and are claimed by whoever saves them first. When no user is signed on (the standalone test pages), no filtering applies. Authoring itself is stateless: the live recalculation writes nothing, so any number of people can work at once.</w:t>
      </w:r>
    </w:p>
    <w:p w14:paraId="64286BA9" w14:textId="77777777" w:rsidR="00AB3409" w:rsidRDefault="00000000">
      <w:pPr>
        <w:pStyle w:val="Heading1"/>
      </w:pPr>
      <w:r>
        <w:rPr>
          <w:b w:val="0"/>
          <w:color w:val="1F4E2D"/>
        </w:rPr>
        <w:t>7. Deploying and testing</w:t>
      </w:r>
    </w:p>
    <w:p w14:paraId="7DB72628" w14:textId="77777777" w:rsidR="00AB3409" w:rsidRDefault="00000000">
      <w:pPr>
        <w:pStyle w:val="ListBullet"/>
      </w:pPr>
      <w:r>
        <w:t>Work is committed to the feature branch and mirrored file-by-file onto master. Master is the main code. All files use Windows (CRLF) line endings; keep them that way.</w:t>
      </w:r>
    </w:p>
    <w:p w14:paraId="763FBEB8" w14:textId="77777777" w:rsidR="00AB3409" w:rsidRDefault="00000000">
      <w:pPr>
        <w:pStyle w:val="ListBullet"/>
      </w:pPr>
      <w:r>
        <w:t>The folder the web server serves is not the git clone. Copy changed files there together, then force-refresh the browser (Ctrl+F5). Stale served copies and cached JavaScript cause most "my change isn't there" and "it stopped working" reports.</w:t>
      </w:r>
    </w:p>
    <w:p w14:paraId="06849228" w14:textId="77777777" w:rsidR="00AB3409" w:rsidRDefault="00000000">
      <w:pPr>
        <w:pStyle w:val="ListBullet"/>
      </w:pPr>
      <w:r>
        <w:t xml:space="preserve">Run </w:t>
      </w:r>
      <w:r>
        <w:rPr>
          <w:rFonts w:ascii="Consolas" w:hAnsi="Consolas"/>
          <w:color w:val="1B3A28"/>
          <w:sz w:val="19"/>
        </w:rPr>
        <w:t>php -l</w:t>
      </w:r>
      <w:r>
        <w:t xml:space="preserve"> on a file after editing it, in the folder you actually edited.</w:t>
      </w:r>
    </w:p>
    <w:p w14:paraId="26E7BF02" w14:textId="77777777" w:rsidR="00AB3409" w:rsidRDefault="00000000">
      <w:pPr>
        <w:pStyle w:val="ListBullet"/>
      </w:pPr>
      <w:r>
        <w:t xml:space="preserve">When nothing works, start with </w:t>
      </w:r>
      <w:r>
        <w:rPr>
          <w:rFonts w:ascii="Consolas" w:hAnsi="Consolas"/>
          <w:color w:val="1B3A28"/>
          <w:sz w:val="19"/>
        </w:rPr>
        <w:t>SellbriteBulkLoader_test.php</w:t>
      </w:r>
      <w:r>
        <w:t>. It checks the environment, pings GreySheet and Gemini, then loads the real files one at a time and names the one that fails.</w:t>
      </w:r>
    </w:p>
    <w:p w14:paraId="2397653A" w14:textId="77777777" w:rsidR="00AB3409" w:rsidRDefault="00000000">
      <w:pPr>
        <w:pStyle w:val="ListBullet"/>
      </w:pPr>
      <w:r>
        <w:t xml:space="preserve">The formula classes have no database dependency, so </w:t>
      </w:r>
      <w:r>
        <w:rPr>
          <w:rFonts w:ascii="Consolas" w:hAnsi="Consolas"/>
          <w:color w:val="1B3A28"/>
          <w:sz w:val="19"/>
        </w:rPr>
        <w:t>Computer</w:t>
      </w:r>
      <w:r>
        <w:t xml:space="preserve"> and </w:t>
      </w:r>
      <w:r>
        <w:rPr>
          <w:rFonts w:ascii="Consolas" w:hAnsi="Consolas"/>
          <w:color w:val="1B3A28"/>
          <w:sz w:val="19"/>
        </w:rPr>
        <w:t>Validator</w:t>
      </w:r>
      <w:r>
        <w:t xml:space="preserve"> can be tested from the command line with two require statements.</w:t>
      </w:r>
    </w:p>
    <w:p w14:paraId="02133013" w14:textId="77777777" w:rsidR="00AB3409" w:rsidRDefault="00000000">
      <w:pPr>
        <w:pStyle w:val="Heading1"/>
      </w:pPr>
      <w:r>
        <w:rPr>
          <w:b w:val="0"/>
          <w:color w:val="1F4E2D"/>
        </w:rPr>
        <w:t>8. Troubleshooting</w:t>
      </w:r>
    </w:p>
    <w:tbl>
      <w:tblPr>
        <w:tblStyle w:val="TableGrid"/>
        <w:tblW w:w="0" w:type="auto"/>
        <w:tblLook w:val="04A0" w:firstRow="1" w:lastRow="0" w:firstColumn="1" w:lastColumn="0" w:noHBand="0" w:noVBand="1"/>
      </w:tblPr>
      <w:tblGrid>
        <w:gridCol w:w="4320"/>
        <w:gridCol w:w="4320"/>
      </w:tblGrid>
      <w:tr w:rsidR="00AB3409" w14:paraId="2B4D061E" w14:textId="77777777">
        <w:tc>
          <w:tcPr>
            <w:tcW w:w="4320" w:type="dxa"/>
            <w:shd w:val="clear" w:color="auto" w:fill="1F4E2D"/>
          </w:tcPr>
          <w:p w14:paraId="3527FFC0" w14:textId="77777777" w:rsidR="00AB3409" w:rsidRDefault="00000000">
            <w:r>
              <w:rPr>
                <w:b/>
                <w:color w:val="FFFFFF"/>
                <w:sz w:val="19"/>
              </w:rPr>
              <w:t>Symptom</w:t>
            </w:r>
          </w:p>
        </w:tc>
        <w:tc>
          <w:tcPr>
            <w:tcW w:w="4320" w:type="dxa"/>
            <w:shd w:val="clear" w:color="auto" w:fill="1F4E2D"/>
          </w:tcPr>
          <w:p w14:paraId="5A8B4117" w14:textId="77777777" w:rsidR="00AB3409" w:rsidRDefault="00000000">
            <w:r>
              <w:rPr>
                <w:b/>
                <w:color w:val="FFFFFF"/>
                <w:sz w:val="19"/>
              </w:rPr>
              <w:t>Likely cause and fix</w:t>
            </w:r>
          </w:p>
        </w:tc>
      </w:tr>
      <w:tr w:rsidR="00AB3409" w14:paraId="4A23C7D8" w14:textId="77777777">
        <w:tc>
          <w:tcPr>
            <w:tcW w:w="4320" w:type="dxa"/>
          </w:tcPr>
          <w:p w14:paraId="44F082EB" w14:textId="77777777" w:rsidR="00AB3409" w:rsidRDefault="00000000">
            <w:r>
              <w:rPr>
                <w:sz w:val="19"/>
              </w:rPr>
              <w:t>Blank white page</w:t>
            </w:r>
          </w:p>
        </w:tc>
        <w:tc>
          <w:tcPr>
            <w:tcW w:w="4320" w:type="dxa"/>
          </w:tcPr>
          <w:p w14:paraId="59DB38ED" w14:textId="77777777" w:rsidR="00AB3409" w:rsidRDefault="00000000">
            <w:r>
              <w:rPr>
                <w:sz w:val="19"/>
              </w:rPr>
              <w:t xml:space="preserve">A PHP fatal error in a served file with error display off. Run </w:t>
            </w:r>
            <w:r>
              <w:rPr>
                <w:rFonts w:ascii="Consolas" w:hAnsi="Consolas"/>
                <w:color w:val="1B3A28"/>
                <w:sz w:val="19"/>
              </w:rPr>
              <w:t>php -l</w:t>
            </w:r>
            <w:r>
              <w:rPr>
                <w:sz w:val="19"/>
              </w:rPr>
              <w:t xml:space="preserve"> on the served copies, or temporarily turn on </w:t>
            </w:r>
            <w:r>
              <w:rPr>
                <w:rFonts w:ascii="Consolas" w:hAnsi="Consolas"/>
                <w:color w:val="1B3A28"/>
                <w:sz w:val="19"/>
              </w:rPr>
              <w:t>display_errors</w:t>
            </w:r>
            <w:r>
              <w:rPr>
                <w:sz w:val="19"/>
              </w:rPr>
              <w:t xml:space="preserve"> to see the exact error. Recopy the broken file whole.</w:t>
            </w:r>
          </w:p>
        </w:tc>
      </w:tr>
      <w:tr w:rsidR="00AB3409" w14:paraId="781229BF" w14:textId="77777777">
        <w:tc>
          <w:tcPr>
            <w:tcW w:w="4320" w:type="dxa"/>
          </w:tcPr>
          <w:p w14:paraId="59B68AF3" w14:textId="77777777" w:rsidR="00AB3409" w:rsidRDefault="00000000">
            <w:r>
              <w:rPr>
                <w:sz w:val="19"/>
              </w:rPr>
              <w:t>A change doesn't show up</w:t>
            </w:r>
          </w:p>
        </w:tc>
        <w:tc>
          <w:tcPr>
            <w:tcW w:w="4320" w:type="dxa"/>
          </w:tcPr>
          <w:p w14:paraId="4AFD722E" w14:textId="77777777" w:rsidR="00AB3409" w:rsidRDefault="00000000">
            <w:r>
              <w:rPr>
                <w:sz w:val="19"/>
              </w:rPr>
              <w:t>Stale served copy or cached JavaScript. Recopy and Ctrl+F5.</w:t>
            </w:r>
          </w:p>
        </w:tc>
      </w:tr>
      <w:tr w:rsidR="00AB3409" w14:paraId="1B37F16B" w14:textId="77777777">
        <w:tc>
          <w:tcPr>
            <w:tcW w:w="4320" w:type="dxa"/>
          </w:tcPr>
          <w:p w14:paraId="6BD878D3" w14:textId="77777777" w:rsidR="00AB3409" w:rsidRDefault="00000000">
            <w:r>
              <w:rPr>
                <w:sz w:val="19"/>
              </w:rPr>
              <w:t>Autofill returns nothing</w:t>
            </w:r>
          </w:p>
        </w:tc>
        <w:tc>
          <w:tcPr>
            <w:tcW w:w="4320" w:type="dxa"/>
          </w:tcPr>
          <w:p w14:paraId="6AA01AFB" w14:textId="77777777" w:rsidR="00AB3409" w:rsidRDefault="00000000">
            <w:r>
              <w:rPr>
                <w:sz w:val="19"/>
              </w:rPr>
              <w:t xml:space="preserve">The GreySheet keys in the served agent are blank </w:t>
            </w:r>
            <w:r>
              <w:rPr>
                <w:sz w:val="19"/>
              </w:rPr>
              <w:lastRenderedPageBreak/>
              <w:t>(they are blank in git on purpose). Fill in the defines.</w:t>
            </w:r>
          </w:p>
        </w:tc>
      </w:tr>
      <w:tr w:rsidR="00AB3409" w14:paraId="55A68F6D" w14:textId="77777777">
        <w:tc>
          <w:tcPr>
            <w:tcW w:w="4320" w:type="dxa"/>
          </w:tcPr>
          <w:p w14:paraId="4C354E5E" w14:textId="77777777" w:rsidR="00AB3409" w:rsidRDefault="00000000">
            <w:r>
              <w:rPr>
                <w:sz w:val="19"/>
              </w:rPr>
              <w:lastRenderedPageBreak/>
              <w:t>Extended description and collector's note identical, or copy quality suddenly poor</w:t>
            </w:r>
          </w:p>
        </w:tc>
        <w:tc>
          <w:tcPr>
            <w:tcW w:w="4320" w:type="dxa"/>
          </w:tcPr>
          <w:p w14:paraId="340C4457" w14:textId="77777777" w:rsidR="00AB3409" w:rsidRDefault="00000000">
            <w:r>
              <w:rPr>
                <w:sz w:val="19"/>
              </w:rPr>
              <w:t>The Gemini call is failing. Check the calls panel and the debug log; error 429 means the free-tier quota ran out, and a MAX_TOKENS finish reason means the answer was truncated.</w:t>
            </w:r>
          </w:p>
        </w:tc>
      </w:tr>
      <w:tr w:rsidR="00AB3409" w14:paraId="72CFBB47" w14:textId="77777777">
        <w:tc>
          <w:tcPr>
            <w:tcW w:w="4320" w:type="dxa"/>
          </w:tcPr>
          <w:p w14:paraId="71D92FEC" w14:textId="77777777" w:rsidR="00AB3409" w:rsidRDefault="00000000">
            <w:r>
              <w:rPr>
                <w:sz w:val="19"/>
              </w:rPr>
              <w:t>Coin Type empty on a world coin</w:t>
            </w:r>
          </w:p>
        </w:tc>
        <w:tc>
          <w:tcPr>
            <w:tcW w:w="4320" w:type="dxa"/>
          </w:tcPr>
          <w:p w14:paraId="34105D15" w14:textId="77777777" w:rsidR="00AB3409" w:rsidRDefault="00000000">
            <w:r>
              <w:rPr>
                <w:sz w:val="19"/>
              </w:rPr>
              <w:t xml:space="preserve">The word-match can't bridge names like Australia to Australian, so world coins depend on the AI step. Confirm the </w:t>
            </w:r>
            <w:r>
              <w:rPr>
                <w:rFonts w:ascii="Consolas" w:hAnsi="Consolas"/>
                <w:color w:val="1B3A28"/>
                <w:sz w:val="19"/>
              </w:rPr>
              <w:t>gsMemPath</w:t>
            </w:r>
            <w:r>
              <w:rPr>
                <w:sz w:val="19"/>
              </w:rPr>
              <w:t xml:space="preserve"> line is in the calls panel and the Gemini call succeeded.</w:t>
            </w:r>
          </w:p>
        </w:tc>
      </w:tr>
      <w:tr w:rsidR="00AB3409" w14:paraId="7F5081FF" w14:textId="77777777">
        <w:tc>
          <w:tcPr>
            <w:tcW w:w="4320" w:type="dxa"/>
          </w:tcPr>
          <w:p w14:paraId="26508C07" w14:textId="77777777" w:rsidR="00AB3409" w:rsidRDefault="00000000">
            <w:r>
              <w:rPr>
                <w:sz w:val="19"/>
              </w:rPr>
              <w:t>Brand shows an auction house or grading firm</w:t>
            </w:r>
          </w:p>
        </w:tc>
        <w:tc>
          <w:tcPr>
            <w:tcW w:w="4320" w:type="dxa"/>
          </w:tcPr>
          <w:p w14:paraId="7B18BE7C" w14:textId="77777777" w:rsidR="00AB3409" w:rsidRDefault="00000000">
            <w:r>
              <w:rPr>
                <w:sz w:val="19"/>
              </w:rPr>
              <w:t>GreySheet's image attribution is a photo credit, not a brand. The operator corrects it; nothing overwrites the correction.</w:t>
            </w:r>
          </w:p>
        </w:tc>
      </w:tr>
      <w:tr w:rsidR="00AB3409" w14:paraId="46E4632B" w14:textId="77777777">
        <w:tc>
          <w:tcPr>
            <w:tcW w:w="4320" w:type="dxa"/>
          </w:tcPr>
          <w:p w14:paraId="4E9803A7" w14:textId="77777777" w:rsidR="00AB3409" w:rsidRDefault="00000000">
            <w:r>
              <w:rPr>
                <w:sz w:val="19"/>
              </w:rPr>
              <w:t>Excel says the export file is invalid</w:t>
            </w:r>
          </w:p>
        </w:tc>
        <w:tc>
          <w:tcPr>
            <w:tcW w:w="4320" w:type="dxa"/>
          </w:tcPr>
          <w:p w14:paraId="38D10CCA" w14:textId="77777777" w:rsidR="00AB3409" w:rsidRDefault="00000000">
            <w:r>
              <w:rPr>
                <w:sz w:val="19"/>
              </w:rPr>
              <w:t xml:space="preserve">Something echoed output before the download stream. Nothing may print above the output buffering at the top of </w:t>
            </w:r>
            <w:r>
              <w:rPr>
                <w:rFonts w:ascii="Consolas" w:hAnsi="Consolas"/>
                <w:color w:val="1B3A28"/>
                <w:sz w:val="19"/>
              </w:rPr>
              <w:t>_ajax.php</w:t>
            </w:r>
            <w:r>
              <w:rPr>
                <w:sz w:val="19"/>
              </w:rPr>
              <w:t>.</w:t>
            </w:r>
          </w:p>
        </w:tc>
      </w:tr>
      <w:tr w:rsidR="00AB3409" w14:paraId="52329AA0" w14:textId="77777777">
        <w:tc>
          <w:tcPr>
            <w:tcW w:w="4320" w:type="dxa"/>
          </w:tcPr>
          <w:p w14:paraId="42BD54E5" w14:textId="77777777" w:rsidR="00AB3409" w:rsidRDefault="00000000">
            <w:r>
              <w:rPr>
                <w:sz w:val="19"/>
              </w:rPr>
              <w:t>Certification Number lost on save</w:t>
            </w:r>
          </w:p>
        </w:tc>
        <w:tc>
          <w:tcPr>
            <w:tcW w:w="4320" w:type="dxa"/>
          </w:tcPr>
          <w:p w14:paraId="746E9AB9" w14:textId="77777777" w:rsidR="00AB3409" w:rsidRDefault="00000000">
            <w:r>
              <w:rPr>
                <w:sz w:val="19"/>
              </w:rPr>
              <w:t>Disabled inputs are dropped from form submission. The lock uses readonly plus a CSS class instead; keep that pattern for any locked field.</w:t>
            </w:r>
          </w:p>
        </w:tc>
      </w:tr>
      <w:tr w:rsidR="00AB3409" w14:paraId="461FD946" w14:textId="77777777">
        <w:tc>
          <w:tcPr>
            <w:tcW w:w="4320" w:type="dxa"/>
          </w:tcPr>
          <w:p w14:paraId="7A62C9DB" w14:textId="77777777" w:rsidR="00AB3409" w:rsidRDefault="00000000">
            <w:r>
              <w:rPr>
                <w:sz w:val="19"/>
              </w:rPr>
              <w:t>Dropdown arrow icon disappeared</w:t>
            </w:r>
          </w:p>
        </w:tc>
        <w:tc>
          <w:tcPr>
            <w:tcW w:w="4320" w:type="dxa"/>
          </w:tcPr>
          <w:p w14:paraId="3AE6DFAE" w14:textId="77777777" w:rsidR="00AB3409" w:rsidRDefault="00000000">
            <w:r>
              <w:rPr>
                <w:sz w:val="19"/>
              </w:rPr>
              <w:t xml:space="preserve">A CSS rule used the </w:t>
            </w:r>
            <w:r>
              <w:rPr>
                <w:rFonts w:ascii="Consolas" w:hAnsi="Consolas"/>
                <w:color w:val="1B3A28"/>
                <w:sz w:val="19"/>
              </w:rPr>
              <w:t>background</w:t>
            </w:r>
            <w:r>
              <w:rPr>
                <w:sz w:val="19"/>
              </w:rPr>
              <w:t xml:space="preserve"> shorthand, which erases the icon. State rules must set </w:t>
            </w:r>
            <w:r>
              <w:rPr>
                <w:rFonts w:ascii="Consolas" w:hAnsi="Consolas"/>
                <w:color w:val="1B3A28"/>
                <w:sz w:val="19"/>
              </w:rPr>
              <w:t>background-color</w:t>
            </w:r>
            <w:r>
              <w:rPr>
                <w:sz w:val="19"/>
              </w:rPr>
              <w:t>.</w:t>
            </w:r>
          </w:p>
        </w:tc>
      </w:tr>
    </w:tbl>
    <w:p w14:paraId="4EDF1BB5" w14:textId="77777777" w:rsidR="00AB3409" w:rsidRDefault="00000000">
      <w:pPr>
        <w:pStyle w:val="Heading1"/>
      </w:pPr>
      <w:r>
        <w:rPr>
          <w:b w:val="0"/>
          <w:color w:val="1F4E2D"/>
        </w:rPr>
        <w:t>9. House rules</w:t>
      </w:r>
    </w:p>
    <w:p w14:paraId="6036E151" w14:textId="77777777" w:rsidR="00AB3409" w:rsidRDefault="00000000">
      <w:pPr>
        <w:pStyle w:val="ListNumber"/>
      </w:pPr>
      <w:r>
        <w:rPr>
          <w:rFonts w:ascii="Consolas" w:hAnsi="Consolas"/>
          <w:color w:val="1B3A28"/>
          <w:sz w:val="19"/>
        </w:rPr>
        <w:t>_data.php</w:t>
      </w:r>
      <w:r>
        <w:t xml:space="preserve"> holds data only. Keep logic out of it.</w:t>
      </w:r>
    </w:p>
    <w:p w14:paraId="346ED637" w14:textId="77777777" w:rsidR="00AB3409" w:rsidRDefault="00000000">
      <w:pPr>
        <w:pStyle w:val="ListNumber"/>
      </w:pPr>
      <w:r>
        <w:t>The formulas fill only what they own: empty fields, or values they calculated themselves. A formula must never overwrite something the operator typed.</w:t>
      </w:r>
    </w:p>
    <w:p w14:paraId="1B1CC424" w14:textId="77777777" w:rsidR="00AB3409" w:rsidRDefault="00000000">
      <w:pPr>
        <w:pStyle w:val="ListNumber"/>
      </w:pPr>
      <w:r>
        <w:t>Operator-owned fields (condition, certification and its number, coin type, grade, brand, title suffix) are never written by Autofill; they are protected by the keep list.</w:t>
      </w:r>
    </w:p>
    <w:p w14:paraId="399D497C" w14:textId="77777777" w:rsidR="00AB3409" w:rsidRDefault="00000000">
      <w:pPr>
        <w:pStyle w:val="ListNumber"/>
      </w:pPr>
      <w:r>
        <w:t>No hardcoded per-coin answers. Judgment calls belong in the Gemini instructions; the PHP handles only what is mechanical, like unit conversion and exact matching.</w:t>
      </w:r>
    </w:p>
    <w:p w14:paraId="6218DA8F" w14:textId="77777777" w:rsidR="00AB3409" w:rsidRDefault="00000000">
      <w:pPr>
        <w:pStyle w:val="ListNumber"/>
      </w:pPr>
      <w:r>
        <w:t>The AI instructions and the PHP formulas must describe the same output. When one changes, update the other.</w:t>
      </w:r>
    </w:p>
    <w:sectPr w:rsidR="00AB34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863993">
    <w:abstractNumId w:val="8"/>
  </w:num>
  <w:num w:numId="2" w16cid:durableId="1517889425">
    <w:abstractNumId w:val="6"/>
  </w:num>
  <w:num w:numId="3" w16cid:durableId="1401098538">
    <w:abstractNumId w:val="5"/>
  </w:num>
  <w:num w:numId="4" w16cid:durableId="833565163">
    <w:abstractNumId w:val="4"/>
  </w:num>
  <w:num w:numId="5" w16cid:durableId="1100292289">
    <w:abstractNumId w:val="7"/>
  </w:num>
  <w:num w:numId="6" w16cid:durableId="962998312">
    <w:abstractNumId w:val="3"/>
  </w:num>
  <w:num w:numId="7" w16cid:durableId="467015224">
    <w:abstractNumId w:val="2"/>
  </w:num>
  <w:num w:numId="8" w16cid:durableId="40325178">
    <w:abstractNumId w:val="1"/>
  </w:num>
  <w:num w:numId="9" w16cid:durableId="33010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88F"/>
    <w:rsid w:val="009D4532"/>
    <w:rsid w:val="00AA1D8D"/>
    <w:rsid w:val="00AB34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A452C"/>
  <w14:defaultImageDpi w14:val="300"/>
  <w15:docId w15:val="{3D7C6AE6-BCD6-4B7E-AEAA-DD717CE85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Gordon Chau</cp:lastModifiedBy>
  <cp:revision>2</cp:revision>
  <dcterms:created xsi:type="dcterms:W3CDTF">2013-12-23T23:15:00Z</dcterms:created>
  <dcterms:modified xsi:type="dcterms:W3CDTF">2026-07-16T20:08:00Z</dcterms:modified>
  <cp:category/>
</cp:coreProperties>
</file>