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the four seeded dropdown lists in one table, keyed by CDTYPE + CDCODE — AREACODE (3), AREATYPE (16), NAMES (65), AUTHBY (6). The BADGE list is not stored here: it reads live from LSCPRDLIB/XEMPLOYP.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BADGE = live active employees (LEESTAT A) from LSCPRDLIB/XEMPLOYP; ITEM = autofill from the LSCPRDLIB/ITMMSTP item master (description, coin year) + last-used cost/retail from history, with history fallback for legacy items; ITEMSRCH = the item list from LSCPRDLIB/ITMMSTP (first 200 per prefix),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input: a new requisition stores badge 0, and editing commits only a real number (typed name text reverts); the save updates memory and the requisition’s other lines in place, so the grid does not reload and keeps its scroll spot. The sticky header uses separate-border cells (not collapsed) so its box and column lines stay put while scrolling, which Firefox drops in collapse mode.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 (opens on focus, filters as you type, Tab or Enter picks). Arrow keys move around the sheet like a spreadsheet (up/down rows, left/right between cells once the caret reaches the edge).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 The header and lines store badge 0 (no longer derived from the requestor name).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(opens on focus with the full list, 250ms debounce while typing, 200 rows per view)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no longer derived from the requestor name (substr): new requisitions store 0 and are filled in later; editable inline with an employee dropdown that commits only a number.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Authorized pill shows green for any real authorizer name (the None / In Process placeholders stay yellow), no longer gated on the inconsistent legacy authorized flag.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2026-07-24T15:36:31.124Z</dcterms:created>
  <dcterms:modified xsi:type="dcterms:W3CDTF">2026-07-24T15:36:31.124Z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