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—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7/23/2026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rPr>
          <w:rFonts w:ascii="Consolas" w:cs="Consolas" w:eastAsia="Consolas" w:hAnsi="Consolas"/>
          <w:sz w:val="20"/>
          <w:szCs w:val="20"/>
        </w:rPr>
        <w:t xml:space="preserve">Requisitions_ctl.php</w:t>
      </w:r>
      <w:r>
        <w:t xml:space="preserve">. It runs the framework session scripts (StartBlockScriptA/B), checks authority (</w:t>
      </w:r>
      <w:r>
        <w:rPr>
          <w:rFonts w:ascii="Consolas" w:cs="Consolas" w:eastAsia="Consolas" w:hAnsi="Consolas"/>
          <w:sz w:val="20"/>
          <w:szCs w:val="20"/>
        </w:rPr>
        <w:t xml:space="preserve">chkAutUsr</w:t>
      </w:r>
      <w:r>
        <w:t xml:space="preserve">, LCCONLINE level 50), preloads the four dropdown lists, and renders the page. After the page loads, every action goes through </w:t>
      </w:r>
      <w:r>
        <w:rPr>
          <w:rFonts w:ascii="Consolas" w:cs="Consolas" w:eastAsia="Consolas" w:hAnsi="Consolas"/>
          <w:sz w:val="20"/>
          <w:szCs w:val="20"/>
        </w:rP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—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all five dropdown lists in one table, keyed by CDTYPE + CDCODE — AREACODE (3), AREATYPE (16), NAMES (65), AUTHBY (6), BADGE (858 active employees: badge # = employee #, name in CDDESC). "Authorization = None" is a REAL AUTHBY row (13k+ historical headers store that literal), sorts first, and is the natural default —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rPr>
          <w:rFonts w:ascii="Consolas" w:cs="Consolas" w:eastAsia="Consolas" w:hAnsi="Consolas"/>
          <w:sz w:val="20"/>
          <w:szCs w:val="20"/>
        </w:rPr>
        <w:t xml:space="preserve">authorized</w:t>
      </w:r>
      <w:r>
        <w:t xml:space="preserve"> flag is derived from the authorized-by text; historical badges are a mix of real numbers and the old PHP’s </w:t>
      </w:r>
      <w:r>
        <w:rPr>
          <w:rFonts w:ascii="Consolas" w:cs="Consolas" w:eastAsia="Consolas" w:hAnsi="Consolas"/>
          <w:sz w:val="20"/>
          <w:szCs w:val="20"/>
        </w:rP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sz w:val="20"/>
          <w:szCs w:val="20"/>
        </w:rPr>
        <w:t xml:space="preserve">CREATE OR REPLACE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lines for the grid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parameters. Header JOIN detail WHERE RDRTNF=’N’.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—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ITEM = autofill from the LSCPRDLIB/ITMMSTP item master (description, coin year) + last-used cost/retail from history, with history fallback for legacy items; ITEMSRCH = type-ahead over LSCPRDLIB/ITMMSTP, first 12, history-enriched.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—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CREATE OR REPLACE PROCEDURE</w:t>
      </w:r>
      <w:r>
        <w:t xml:space="preserve"> does NOT replace across different parameter counts — changing a proc’s signature creates a second overload and the old one lingers until dropped (</w:t>
      </w:r>
      <w:r>
        <w:rPr>
          <w:rFonts w:ascii="Consolas" w:cs="Consolas" w:eastAsia="Consolas" w:hAnsi="Consolas"/>
          <w:sz w:val="20"/>
          <w:szCs w:val="20"/>
        </w:rP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—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 (change = save).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) — legacy getEntry.php layout: header fields, then the spreadsheet-style line sheet (the cell is the box; the focused cell gets a slim blue inner outline). Item # has autofill + a type-ahead dropdown.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— legacy request.php layout; Update posts authorized-by + comments; per-line Returned checkboxes post immediately;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— Monthly Update (month/year dropdowns — not </w:t>
      </w:r>
      <w:r>
        <w:rPr>
          <w:rFonts w:ascii="Consolas" w:cs="Consolas" w:eastAsia="Consolas" w:hAnsi="Consolas"/>
          <w:sz w:val="20"/>
          <w:szCs w:val="20"/>
        </w:rPr>
        <w:t xml:space="preserve">input type=month</w:t>
      </w:r>
      <w:r>
        <w:t xml:space="preserve">, which Firefox renders as a dead text box), Preview Report. Print windows print THEMSELVES on load and close on afterprint —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— the browser serializes the form to one JSON payload; </w:t>
      </w:r>
      <w:r>
        <w:rPr>
          <w:rFonts w:ascii="Consolas" w:cs="Consolas" w:eastAsia="Consolas" w:hAnsi="Consolas"/>
          <w:sz w:val="20"/>
          <w:szCs w:val="20"/>
        </w:rPr>
        <w:t xml:space="preserve">action=insert</w:t>
      </w:r>
      <w:r>
        <w:t xml:space="preserve"> calls 001S for the header, then 002S per line; any line failure calls 009S to back the whole requisition out and returns "Line N failed ... nothing was saved."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loadGrid()</w:t>
      </w:r>
      <w:r>
        <w:t xml:space="preserve"> first submits every pending Return Item (006S per line, with the entered date), then pulls 003S. Checking Return Item only queues the return client-side (a map keyed req|line that survives re-renders); the refresh is what commits it —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—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— preloaded with the page by the ctl (saves a round trip); the ajax </w:t>
      </w:r>
      <w:r>
        <w:rPr>
          <w:rFonts w:ascii="Consolas" w:cs="Consolas" w:eastAsia="Consolas" w:hAnsi="Consolas"/>
          <w:sz w:val="20"/>
          <w:szCs w:val="20"/>
        </w:rP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itemlookup</w:t>
      </w:r>
      <w:r>
        <w:t xml:space="preserve"> (exact, on change) and </w:t>
      </w:r>
      <w:r>
        <w:rPr>
          <w:rFonts w:ascii="Consolas" w:cs="Consolas" w:eastAsia="Consolas" w:hAnsi="Consolas"/>
          <w:sz w:val="20"/>
          <w:szCs w:val="20"/>
        </w:rPr>
        <w:t xml:space="preserve">itemsearch</w:t>
      </w:r>
      <w:r>
        <w:t xml:space="preserve"> (type-ahead, 250ms debounce, 12 rows)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rPr>
          <w:rFonts w:ascii="Consolas" w:cs="Consolas" w:eastAsia="Consolas" w:hAnsi="Consolas"/>
          <w:sz w:val="20"/>
          <w:szCs w:val="20"/>
        </w:rPr>
        <w:t xml:space="preserve">die()</w:t>
      </w:r>
      <w:r>
        <w:t xml:space="preserve"> anywhere near JSON. Model functions return false and stash the real Db2 message (</w:t>
      </w:r>
      <w:r>
        <w:rPr>
          <w:rFonts w:ascii="Consolas" w:cs="Consolas" w:eastAsia="Consolas" w:hAnsi="Consolas"/>
          <w:sz w:val="20"/>
          <w:szCs w:val="20"/>
        </w:rPr>
        <w:t xml:space="preserve">db2_stmt_errormsg</w:t>
      </w:r>
      <w:r>
        <w:t xml:space="preserve">) in </w:t>
      </w:r>
      <w:r>
        <w:rPr>
          <w:rFonts w:ascii="Consolas" w:cs="Consolas" w:eastAsia="Consolas" w:hAnsi="Consolas"/>
          <w:sz w:val="20"/>
          <w:szCs w:val="20"/>
        </w:rPr>
        <w:t xml:space="preserve">$GLOBALS[’rqsErr’]</w:t>
      </w:r>
      <w:r>
        <w:t xml:space="preserve"> and the PHP error log; the ajax layer returns </w:t>
      </w:r>
      <w:r>
        <w:rPr>
          <w:rFonts w:ascii="Consolas" w:cs="Consolas" w:eastAsia="Consolas" w:hAnsi="Consolas"/>
          <w:sz w:val="20"/>
          <w:szCs w:val="20"/>
        </w:rP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—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requisition_activity.log</w:t>
      </w:r>
      <w:r>
        <w:t xml:space="preserve">, next to the PHP — same </w:t>
      </w:r>
      <w:r>
        <w:rPr>
          <w:rFonts w:ascii="Consolas" w:cs="Consolas" w:eastAsia="Consolas" w:hAnsi="Consolas"/>
          <w:sz w:val="20"/>
          <w:szCs w:val="20"/>
        </w:rP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Write failures are @-suppressed — logging can never take the app down. The file is created on first write (web profile needs write authority to the folder) and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—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—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stored properly (10 chars) and editable from the grid.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raw .mdb files never go in git —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shows open lines only; nothing is deleted —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—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2026-07-23T18:50:10.594Z</dcterms:created>
  <dcterms:modified xsi:type="dcterms:W3CDTF">2026-07-23T18:50:10.594Z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