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C4532"/>
          <w:sz w:val="34"/>
          <w:szCs w:val="34"/>
        </w:rPr>
        <w:t xml:space="preserve">Time Payment Items Maintenance — Spreadsheet Upload</w:t>
      </w:r>
    </w:p>
    <w:p>
      <w:pPr>
        <w:spacing w:after="60"/>
      </w:pPr>
      <w:r>
        <w:rPr>
          <w:color w:val="5F6B62"/>
          <w:sz w:val="22"/>
          <w:szCs w:val="22"/>
        </w:rPr>
        <w:t xml:space="preserve">Technical Reference · Project 230077 · Littleton Coin Company</w:t>
      </w:r>
    </w:p>
    <w:p>
      <w:pPr>
        <w:pBdr>
          <w:bottom w:val="single" w:color="1C4532" w:sz="6"/>
        </w:pBdr>
        <w:spacing w:after="200"/>
      </w:pPr>
      <w:r>
        <w:rPr>
          <w:color w:val="5F6B62"/>
          <w:sz w:val="20"/>
          <w:szCs w:val="20"/>
        </w:rPr>
        <w:t xml:space="preserve">G Chau · written 07/30/2026</w:t>
      </w:r>
    </w:p>
    <w:p>
      <w:pPr>
        <w:pStyle w:val="Heading1"/>
        <w:spacing w:after="120" w:before="280"/>
      </w:pPr>
      <w:r>
        <w:rPr>
          <w:b/>
          <w:bCs/>
          <w:color w:val="1C4532"/>
          <w:sz w:val="26"/>
          <w:szCs w:val="26"/>
        </w:rPr>
        <w:t xml:space="preserve">1. Purpose</w:t>
      </w:r>
    </w:p>
    <w:p>
      <w:pPr>
        <w:spacing w:after="120"/>
      </w:pPr>
      <w:r>
        <w:rPr>
          <w:sz w:val="21"/>
          <w:szCs w:val="21"/>
        </w:rPr>
        <w:t xml:space="preserve">Paid Orders offers time payments on feature items that retail for $99.00 or more. For an item to offer that option, a record must exist on the TPITEMSP file for each item number / source code combination, carrying the time payment plan and an expiration date. Today those records are keyed one at a time on the AS400 screen at Menu 007, Option 05 (Time Payment Items Maintenance).</w:t>
      </w:r>
    </w:p>
    <w:p>
      <w:pPr>
        <w:spacing w:after="120"/>
      </w:pPr>
      <w:r>
        <w:rPr>
          <w:sz w:val="21"/>
          <w:szCs w:val="21"/>
        </w:rPr>
        <w:t xml:space="preserve">This project automates that entry: Marketing uploads a four-column spreadsheet on an LCCOnline page, each row is validated, and the good rows are written to TPITEMSP — the same result as keying them on the screen. Rows that fail a check are skipped and e-mailed back to the uploader as an exception report; a bad row never stops the run.</w:t>
      </w:r>
    </w:p>
    <w:p>
      <w:pPr>
        <w:pStyle w:val="Heading1"/>
        <w:spacing w:after="120" w:before="280"/>
      </w:pPr>
      <w:r>
        <w:rPr>
          <w:b/>
          <w:bCs/>
          <w:color w:val="1C4532"/>
          <w:sz w:val="26"/>
          <w:szCs w:val="26"/>
        </w:rPr>
        <w:t xml:space="preserve">2. Background</w:t>
      </w:r>
    </w:p>
    <w:p>
      <w:pPr>
        <w:pStyle w:val="ListParagraph"/>
        <w:numPr>
          <w:ilvl w:val="0"/>
          <w:numId w:val="2"/>
        </w:numPr>
        <w:spacing w:after="80"/>
      </w:pPr>
      <w:r>
        <w:rPr>
          <w:b w:val="false"/>
          <w:bCs w:val="false"/>
          <w:sz w:val="21"/>
          <w:szCs w:val="21"/>
        </w:rPr>
        <w:t xml:space="preserve">An earlier request for this automation (project 230037) was rejected.</w:t>
      </w:r>
    </w:p>
    <w:p>
      <w:pPr>
        <w:pStyle w:val="ListParagraph"/>
        <w:numPr>
          <w:ilvl w:val="0"/>
          <w:numId w:val="2"/>
        </w:numPr>
        <w:spacing w:after="80"/>
      </w:pPr>
      <w:r>
        <w:rPr>
          <w:b w:val="false"/>
          <w:bCs w:val="false"/>
          <w:sz w:val="21"/>
          <w:szCs w:val="21"/>
        </w:rPr>
        <w:t xml:space="preserve">Project 230036 (Kyle Rainville) established the spreadsheet-upload-in-PHP pattern this project follows.</w:t>
      </w:r>
    </w:p>
    <w:p>
      <w:pPr>
        <w:pStyle w:val="ListParagraph"/>
        <w:numPr>
          <w:ilvl w:val="0"/>
          <w:numId w:val="2"/>
        </w:numPr>
        <w:spacing w:after="80"/>
      </w:pPr>
      <w:r>
        <w:rPr>
          <w:b w:val="false"/>
          <w:bCs w:val="false"/>
          <w:sz w:val="21"/>
          <w:szCs w:val="21"/>
        </w:rPr>
        <w:t xml:space="preserve">Kyle documented the validation flow in April 2023 and estimated 10–15 hours; the two open questions were settled by Dennis Cote and Josh Breault (see Decisions of Record).</w:t>
      </w:r>
    </w:p>
    <w:p>
      <w:pPr>
        <w:pStyle w:val="ListParagraph"/>
        <w:numPr>
          <w:ilvl w:val="0"/>
          <w:numId w:val="2"/>
        </w:numPr>
        <w:spacing w:after="80"/>
      </w:pPr>
      <w:r>
        <w:rPr>
          <w:b w:val="false"/>
          <w:bCs w:val="false"/>
          <w:sz w:val="21"/>
          <w:szCs w:val="21"/>
        </w:rPr>
        <w:t xml:space="preserve">Reassigned to Gordon Chau on 07/28/2026 after discussion with Dan.</w:t>
      </w:r>
    </w:p>
    <w:p>
      <w:pPr>
        <w:pStyle w:val="Heading1"/>
        <w:spacing w:after="120" w:before="280"/>
      </w:pPr>
      <w:r>
        <w:rPr>
          <w:b/>
          <w:bCs/>
          <w:color w:val="1C4532"/>
          <w:sz w:val="26"/>
          <w:szCs w:val="26"/>
        </w:rPr>
        <w:t xml:space="preserve">3. The Request (as submitted)</w:t>
      </w:r>
    </w:p>
    <w:p>
      <w:pPr>
        <w:spacing w:after="120"/>
      </w:pPr>
      <w:r>
        <w:rPr>
          <w:i/>
          <w:iCs/>
          <w:sz w:val="21"/>
          <w:szCs w:val="21"/>
        </w:rPr>
        <w:t xml:space="preserve">“Could we create a spreadsheet that has columns for the item number, source code, plan (if needed, currently auto populates based on the retail value) and expiration date that is then uploaded and will populate into the time payment screen?” — Paid Orders</w:t>
      </w:r>
    </w:p>
    <w:p>
      <w:pPr>
        <w:spacing w:after="120"/>
      </w:pPr>
      <w:r>
        <w:rPr>
          <w:sz w:val="21"/>
          <w:szCs w:val="21"/>
        </w:rPr>
        <w:t xml:space="preserve">Spreadsheet layout: column A Item #, column B Source Code, column C Plan (optional), column D Expiration Date. Row 1 is column headings. One row per item + source code combination; an item with several source codes repeats on additional rows.</w:t>
      </w:r>
    </w:p>
    <w:p>
      <w:pPr>
        <w:pStyle w:val="Heading1"/>
        <w:spacing w:after="120" w:before="280"/>
      </w:pPr>
      <w:r>
        <w:rPr>
          <w:b/>
          <w:bCs/>
          <w:color w:val="1C4532"/>
          <w:sz w:val="26"/>
          <w:szCs w:val="26"/>
        </w:rPr>
        <w:t xml:space="preserve">4. Row-by-Row Validation Flow</w:t>
      </w:r>
    </w:p>
    <w:p>
      <w:pPr>
        <w:spacing w:after="120"/>
      </w:pPr>
      <w:r>
        <w:rPr>
          <w:sz w:val="21"/>
          <w:szCs w:val="21"/>
        </w:rPr>
        <w:t xml:space="preserve">The first failed check wins: the row is written to the exception report and processing continues with the next row. Rows that pass every check are written to TPITEMSP.</w:t>
      </w:r>
    </w:p>
    <w:p>
      <w:pPr>
        <w:pStyle w:val="ListParagraph"/>
        <w:numPr>
          <w:ilvl w:val="0"/>
          <w:numId w:val="3"/>
        </w:numPr>
        <w:spacing w:after="80"/>
      </w:pPr>
      <w:r>
        <w:rPr>
          <w:b w:val="false"/>
          <w:bCs w:val="false"/>
          <w:sz w:val="21"/>
          <w:szCs w:val="21"/>
        </w:rPr>
        <w:t xml:space="preserve">Item # is checked against the Item Master (ITMMSTL1). Not found → exception.</w:t>
      </w:r>
    </w:p>
    <w:p>
      <w:pPr>
        <w:pStyle w:val="ListParagraph"/>
        <w:numPr>
          <w:ilvl w:val="0"/>
          <w:numId w:val="3"/>
        </w:numPr>
        <w:spacing w:after="80"/>
      </w:pPr>
      <w:r>
        <w:rPr>
          <w:b w:val="false"/>
          <w:bCs w:val="false"/>
          <w:sz w:val="21"/>
          <w:szCs w:val="21"/>
        </w:rPr>
        <w:t xml:space="preserve">Source code is checked against OEPSRCE. Not found → exception.</w:t>
      </w:r>
    </w:p>
    <w:p>
      <w:pPr>
        <w:pStyle w:val="ListParagraph"/>
        <w:numPr>
          <w:ilvl w:val="0"/>
          <w:numId w:val="3"/>
        </w:numPr>
        <w:spacing w:after="80"/>
      </w:pPr>
      <w:r>
        <w:rPr>
          <w:b w:val="false"/>
          <w:bCs w:val="false"/>
          <w:sz w:val="21"/>
          <w:szCs w:val="21"/>
        </w:rPr>
        <w:t xml:space="preserve">Plan, when typed, must exist on TPPLANSP. Not found → exception — a typed plan is never guessed at. When the plan column is blank, the item price is retrieved through OE0337R (the item price retrieval module, called the way OP0800R calls it) and matched to the TPTIERSP price ranges to pick the plan. A price outside every range (under $99.00) → exception; the record is NOT defaulted into a plan.</w:t>
      </w:r>
    </w:p>
    <w:p>
      <w:pPr>
        <w:pStyle w:val="ListParagraph"/>
        <w:numPr>
          <w:ilvl w:val="0"/>
          <w:numId w:val="3"/>
        </w:numPr>
        <w:spacing w:after="80"/>
      </w:pPr>
      <w:r>
        <w:rPr>
          <w:b w:val="false"/>
          <w:bCs w:val="false"/>
          <w:sz w:val="21"/>
          <w:szCs w:val="21"/>
        </w:rPr>
        <w:t xml:space="preserve">Expiration date must be a real date, today or later. It is accepted as MM/DD/YYYY, MM/DD/YY, YYYY-MM-DD, YYYYMMDD or a native Excel date cell, and written to TPITEMSP as YYYYMMDD.</w:t>
      </w:r>
    </w:p>
    <w:p>
      <w:pPr>
        <w:pStyle w:val="ListParagraph"/>
        <w:numPr>
          <w:ilvl w:val="0"/>
          <w:numId w:val="3"/>
        </w:numPr>
        <w:spacing w:after="80"/>
      </w:pPr>
      <w:r>
        <w:rPr>
          <w:b w:val="false"/>
          <w:bCs w:val="false"/>
          <w:sz w:val="21"/>
          <w:szCs w:val="21"/>
        </w:rPr>
        <w:t xml:space="preserve">The record is keyed by item + source code: if it already exists on TPITEMSP it is updated, otherwise it is inserted.</w:t>
      </w:r>
    </w:p>
    <w:p>
      <w:pPr>
        <w:pStyle w:val="Heading1"/>
        <w:spacing w:after="120" w:before="280"/>
      </w:pPr>
      <w:r>
        <w:rPr>
          <w:b/>
          <w:bCs/>
          <w:color w:val="1C4532"/>
          <w:sz w:val="26"/>
          <w:szCs w:val="26"/>
        </w:rPr>
        <w:t xml:space="preserve">5. Decisions of Record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400"/>
      </w:tblGrid>
      <w:tr>
        <w:tc>
          <w:tcPr>
            <w:tcW w:type="dxa" w:w="2600"/>
            <w:tcBorders>
              <w:top w:val="single" w:color="DFE6E1" w:sz="4"/>
              <w:left w:val="single" w:color="DFE6E1" w:sz="4"/>
              <w:bottom w:val="single" w:color="DFE6E1" w:sz="4"/>
              <w:right w:val="single" w:color="DFE6E1" w:sz="4"/>
            </w:tcBorders>
            <w:shd w:fill="EAF6EE" w:val="clear"/>
            <w:tcMar>
              <w:top w:type="dxa" w:w="60"/>
              <w:left w:type="dxa" w:w="100"/>
              <w:bottom w:type="dxa" w:w="60"/>
              <w:right w:type="dxa" w:w="100"/>
            </w:tcMar>
          </w:tcPr>
          <w:p>
            <w:pPr>
              <w:spacing w:after="0"/>
            </w:pPr>
            <w:r>
              <w:rPr>
                <w:b/>
                <w:bCs/>
                <w:color w:val="1C4532"/>
                <w:sz w:val="20"/>
                <w:szCs w:val="20"/>
              </w:rPr>
              <w:t xml:space="preserve">Question</w:t>
            </w:r>
          </w:p>
        </w:tc>
        <w:tc>
          <w:tcPr>
            <w:tcW w:type="dxa" w:w="4700"/>
            <w:tcBorders>
              <w:top w:val="single" w:color="DFE6E1" w:sz="4"/>
              <w:left w:val="single" w:color="DFE6E1" w:sz="4"/>
              <w:bottom w:val="single" w:color="DFE6E1" w:sz="4"/>
              <w:right w:val="single" w:color="DFE6E1" w:sz="4"/>
            </w:tcBorders>
            <w:shd w:fill="EAF6EE" w:val="clear"/>
            <w:tcMar>
              <w:top w:type="dxa" w:w="60"/>
              <w:left w:type="dxa" w:w="100"/>
              <w:bottom w:type="dxa" w:w="60"/>
              <w:right w:type="dxa" w:w="100"/>
            </w:tcMar>
          </w:tcPr>
          <w:p>
            <w:pPr>
              <w:spacing w:after="0"/>
            </w:pPr>
            <w:r>
              <w:rPr>
                <w:b/>
                <w:bCs/>
                <w:color w:val="1C4532"/>
                <w:sz w:val="20"/>
                <w:szCs w:val="20"/>
              </w:rPr>
              <w:t xml:space="preserve">Ruling</w:t>
            </w:r>
          </w:p>
        </w:tc>
        <w:tc>
          <w:tcPr>
            <w:tcW w:type="dxa" w:w="2400"/>
            <w:tcBorders>
              <w:top w:val="single" w:color="DFE6E1" w:sz="4"/>
              <w:left w:val="single" w:color="DFE6E1" w:sz="4"/>
              <w:bottom w:val="single" w:color="DFE6E1" w:sz="4"/>
              <w:right w:val="single" w:color="DFE6E1" w:sz="4"/>
            </w:tcBorders>
            <w:shd w:fill="EAF6EE" w:val="clear"/>
            <w:tcMar>
              <w:top w:type="dxa" w:w="60"/>
              <w:left w:type="dxa" w:w="100"/>
              <w:bottom w:type="dxa" w:w="60"/>
              <w:right w:type="dxa" w:w="100"/>
            </w:tcMar>
          </w:tcPr>
          <w:p>
            <w:pPr>
              <w:spacing w:after="0"/>
            </w:pPr>
            <w:r>
              <w:rPr>
                <w:b/>
                <w:bCs/>
                <w:color w:val="1C4532"/>
                <w:sz w:val="20"/>
                <w:szCs w:val="20"/>
              </w:rPr>
              <w:t xml:space="preserve">Source</w:t>
            </w:r>
          </w:p>
        </w:tc>
      </w:tr>
      <w:tr>
        <w:tc>
          <w:tcPr>
            <w:tcW w:type="dxa" w:w="2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Item price falls outside every tier range (under $99)?</w:t>
            </w:r>
          </w:p>
        </w:tc>
        <w:tc>
          <w:tcPr>
            <w:tcW w:type="dxa" w:w="47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Skip the record onto the exception report; do not default to plan 02. Those get looked at individually.</w:t>
            </w:r>
          </w:p>
        </w:tc>
        <w:tc>
          <w:tcPr>
            <w:tcW w:type="dxa" w:w="24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Josh Breault, 04/06/2023</w:t>
            </w:r>
          </w:p>
        </w:tc>
      </w:tr>
      <w:tr>
        <w:tc>
          <w:tcPr>
            <w:tcW w:type="dxa" w:w="2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Marketing types a plan that is not on TPPLANSP?</w:t>
            </w:r>
          </w:p>
        </w:tc>
        <w:tc>
          <w:tcPr>
            <w:tcW w:type="dxa" w:w="47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Error condition — a typed plan must be valid; e-mail the user.</w:t>
            </w:r>
          </w:p>
        </w:tc>
        <w:tc>
          <w:tcPr>
            <w:tcW w:type="dxa" w:w="24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Dennis Cote, 04/05/2023</w:t>
            </w:r>
          </w:p>
        </w:tc>
      </w:tr>
      <w:tr>
        <w:tc>
          <w:tcPr>
            <w:tcW w:type="dxa" w:w="2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Spreadsheet date format?</w:t>
            </w:r>
          </w:p>
        </w:tc>
        <w:tc>
          <w:tcPr>
            <w:tcW w:type="dxa" w:w="47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Question was left open in 2023; the upload accepts all common formats, making it moot.</w:t>
            </w:r>
          </w:p>
        </w:tc>
        <w:tc>
          <w:tcPr>
            <w:tcW w:type="dxa" w:w="24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Implementation</w:t>
            </w:r>
          </w:p>
        </w:tc>
      </w:tr>
      <w:tr>
        <w:tc>
          <w:tcPr>
            <w:tcW w:type="dxa" w:w="2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Blank-plan lookup</w:t>
            </w:r>
          </w:p>
        </w:tc>
        <w:tc>
          <w:tcPr>
            <w:tcW w:type="dxa" w:w="47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TPTIERSP has no plan column; its tier number is taken as the plan. Plan numbers observed in production: 02/03/04 = Two/Three/Four Time Payments.</w:t>
            </w:r>
          </w:p>
        </w:tc>
        <w:tc>
          <w:tcPr>
            <w:tcW w:type="dxa" w:w="24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DSPFFD + green screen</w:t>
            </w:r>
          </w:p>
        </w:tc>
      </w:tr>
      <w:tr>
        <w:tc>
          <w:tcPr>
            <w:tcW w:type="dxa" w:w="2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Who can use the tool?</w:t>
            </w:r>
          </w:p>
        </w:tc>
        <w:tc>
          <w:tcPr>
            <w:tcW w:type="dxa" w:w="47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Gated at LCCOnline authority 50, matching the other bulk loaders (10 = minimum sign-on). To be confirmed against the intended users’ profiles.</w:t>
            </w:r>
          </w:p>
        </w:tc>
        <w:tc>
          <w:tcPr>
            <w:tcW w:type="dxa" w:w="24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Open — pending</w:t>
            </w:r>
          </w:p>
        </w:tc>
      </w:tr>
    </w:tbl>
    <w:p>
      <w:pPr>
        <w:spacing w:after="120"/>
      </w:pPr>
      <w:r>
        <w:rPr>
          <w:sz w:val="21"/>
          <w:szCs w:val="21"/>
        </w:rPr>
        <w:t xml:space="preserve"/>
      </w:r>
    </w:p>
    <w:p>
      <w:pPr>
        <w:pStyle w:val="Heading1"/>
        <w:spacing w:after="120" w:before="280"/>
      </w:pPr>
      <w:r>
        <w:rPr>
          <w:b/>
          <w:bCs/>
          <w:color w:val="1C4532"/>
          <w:sz w:val="26"/>
          <w:szCs w:val="26"/>
        </w:rPr>
        <w:t xml:space="preserve">6. Components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100"/>
        <w:gridCol w:w="6600"/>
      </w:tblGrid>
      <w:tr>
        <w:tc>
          <w:tcPr>
            <w:tcW w:type="dxa" w:w="3100"/>
            <w:tcBorders>
              <w:top w:val="single" w:color="DFE6E1" w:sz="4"/>
              <w:left w:val="single" w:color="DFE6E1" w:sz="4"/>
              <w:bottom w:val="single" w:color="DFE6E1" w:sz="4"/>
              <w:right w:val="single" w:color="DFE6E1" w:sz="4"/>
            </w:tcBorders>
            <w:shd w:fill="EAF6EE" w:val="clear"/>
            <w:tcMar>
              <w:top w:type="dxa" w:w="60"/>
              <w:left w:type="dxa" w:w="100"/>
              <w:bottom w:type="dxa" w:w="60"/>
              <w:right w:type="dxa" w:w="100"/>
            </w:tcMar>
          </w:tcPr>
          <w:p>
            <w:pPr>
              <w:spacing w:after="0"/>
            </w:pPr>
            <w:r>
              <w:rPr>
                <w:b/>
                <w:bCs/>
                <w:color w:val="1C4532"/>
                <w:sz w:val="20"/>
                <w:szCs w:val="20"/>
              </w:rPr>
              <w:t xml:space="preserve">Object</w:t>
            </w:r>
          </w:p>
        </w:tc>
        <w:tc>
          <w:tcPr>
            <w:tcW w:type="dxa" w:w="6600"/>
            <w:tcBorders>
              <w:top w:val="single" w:color="DFE6E1" w:sz="4"/>
              <w:left w:val="single" w:color="DFE6E1" w:sz="4"/>
              <w:bottom w:val="single" w:color="DFE6E1" w:sz="4"/>
              <w:right w:val="single" w:color="DFE6E1" w:sz="4"/>
            </w:tcBorders>
            <w:shd w:fill="EAF6EE" w:val="clear"/>
            <w:tcMar>
              <w:top w:type="dxa" w:w="60"/>
              <w:left w:type="dxa" w:w="100"/>
              <w:bottom w:type="dxa" w:w="60"/>
              <w:right w:type="dxa" w:w="100"/>
            </w:tcMar>
          </w:tcPr>
          <w:p>
            <w:pPr>
              <w:spacing w:after="0"/>
            </w:pPr>
            <w:r>
              <w:rPr>
                <w:b/>
                <w:bCs/>
                <w:color w:val="1C4532"/>
                <w:sz w:val="20"/>
                <w:szCs w:val="20"/>
              </w:rPr>
              <w:t xml:space="preserve">Role</w:t>
            </w:r>
          </w:p>
        </w:tc>
      </w:tr>
      <w:tr>
        <w:tc>
          <w:tcPr>
            <w:tcW w:type="dxa" w:w="31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TIMPAY001S (SQL proc)</w:t>
            </w:r>
          </w:p>
        </w:tc>
        <w:tc>
          <w:tcPr>
            <w:tcW w:type="dxa" w:w="6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Validation and review reads, one result set per type: ITEM, SRC, PLAN, TIER, ONE, LIST.</w:t>
            </w:r>
          </w:p>
        </w:tc>
      </w:tr>
      <w:tr>
        <w:tc>
          <w:tcPr>
            <w:tcW w:type="dxa" w:w="31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TIMPAY002S (external proc)</w:t>
            </w:r>
          </w:p>
        </w:tc>
        <w:tc>
          <w:tcPr>
            <w:tcW w:type="dxa" w:w="6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Registers OE0337R (item price retrieval) as a stored procedure. Parameter list is a PLACEHOLDER until tied out to how OP0800R calls the program.</w:t>
            </w:r>
          </w:p>
        </w:tc>
      </w:tr>
      <w:tr>
        <w:tc>
          <w:tcPr>
            <w:tcW w:type="dxa" w:w="31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TIMPAY003S (SQL proc)</w:t>
            </w:r>
          </w:p>
        </w:tc>
        <w:tc>
          <w:tcPr>
            <w:tcW w:type="dxa" w:w="6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Writes one TPITEMSP record — update when the item/source key exists, insert when not.</w:t>
            </w:r>
          </w:p>
        </w:tc>
      </w:tr>
      <w:tr>
        <w:tc>
          <w:tcPr>
            <w:tcW w:type="dxa" w:w="31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TimePayment_ctl.php</w:t>
            </w:r>
          </w:p>
        </w:tc>
        <w:tc>
          <w:tcPr>
            <w:tcW w:type="dxa" w:w="6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Controller: authority check, page JavaScript (upload, results report, records grid).</w:t>
            </w:r>
          </w:p>
        </w:tc>
      </w:tr>
      <w:tr>
        <w:tc>
          <w:tcPr>
            <w:tcW w:type="dxa" w:w="31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TimePayment_dsp.php</w:t>
            </w:r>
          </w:p>
        </w:tc>
        <w:tc>
          <w:tcPr>
            <w:tcW w:type="dxa" w:w="6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Display: upload card, results card, records-on-file grid mirroring the green screen subfile.</w:t>
            </w:r>
          </w:p>
        </w:tc>
      </w:tr>
      <w:tr>
        <w:tc>
          <w:tcPr>
            <w:tcW w:type="dxa" w:w="31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TimePayment_model.php</w:t>
            </w:r>
          </w:p>
        </w:tc>
        <w:tc>
          <w:tcPr>
            <w:tcW w:type="dxa" w:w="6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Data access: proc-call wrappers, key cleaning, date normalization, activity log.</w:t>
            </w:r>
          </w:p>
        </w:tc>
      </w:tr>
      <w:tr>
        <w:tc>
          <w:tcPr>
            <w:tcW w:type="dxa" w:w="31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TimePayment_ajax.php</w:t>
            </w:r>
          </w:p>
        </w:tc>
        <w:tc>
          <w:tcPr>
            <w:tcW w:type="dxa" w:w="6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Endpoint: upload processing per the flow above, template download, grid rows, exception e-mail.</w:t>
            </w:r>
          </w:p>
        </w:tc>
      </w:tr>
    </w:tbl>
    <w:p>
      <w:pPr>
        <w:spacing w:after="120"/>
      </w:pPr>
      <w:r>
        <w:rPr>
          <w:sz w:val="21"/>
          <w:szCs w:val="21"/>
        </w:rPr>
        <w:t xml:space="preserve"/>
      </w:r>
    </w:p>
    <w:p>
      <w:pPr>
        <w:pStyle w:val="Heading1"/>
        <w:spacing w:after="120" w:before="280"/>
      </w:pPr>
      <w:r>
        <w:rPr>
          <w:b/>
          <w:bCs/>
          <w:color w:val="1C4532"/>
          <w:sz w:val="26"/>
          <w:szCs w:val="26"/>
        </w:rPr>
        <w:t xml:space="preserve">7. Database Files (field names verified against DDS, 08/04/2026)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600"/>
      </w:tblGrid>
      <w:tr>
        <w:tc>
          <w:tcPr>
            <w:tcW w:type="dxa" w:w="1600"/>
            <w:tcBorders>
              <w:top w:val="single" w:color="DFE6E1" w:sz="4"/>
              <w:left w:val="single" w:color="DFE6E1" w:sz="4"/>
              <w:bottom w:val="single" w:color="DFE6E1" w:sz="4"/>
              <w:right w:val="single" w:color="DFE6E1" w:sz="4"/>
            </w:tcBorders>
            <w:shd w:fill="EAF6EE" w:val="clear"/>
            <w:tcMar>
              <w:top w:type="dxa" w:w="60"/>
              <w:left w:type="dxa" w:w="100"/>
              <w:bottom w:type="dxa" w:w="60"/>
              <w:right w:type="dxa" w:w="100"/>
            </w:tcMar>
          </w:tcPr>
          <w:p>
            <w:pPr>
              <w:spacing w:after="0"/>
            </w:pPr>
            <w:r>
              <w:rPr>
                <w:b/>
                <w:bCs/>
                <w:color w:val="1C4532"/>
                <w:sz w:val="20"/>
                <w:szCs w:val="20"/>
              </w:rPr>
              <w:t xml:space="preserve">File</w:t>
            </w:r>
          </w:p>
        </w:tc>
        <w:tc>
          <w:tcPr>
            <w:tcW w:type="dxa" w:w="4500"/>
            <w:tcBorders>
              <w:top w:val="single" w:color="DFE6E1" w:sz="4"/>
              <w:left w:val="single" w:color="DFE6E1" w:sz="4"/>
              <w:bottom w:val="single" w:color="DFE6E1" w:sz="4"/>
              <w:right w:val="single" w:color="DFE6E1" w:sz="4"/>
            </w:tcBorders>
            <w:shd w:fill="EAF6EE" w:val="clear"/>
            <w:tcMar>
              <w:top w:type="dxa" w:w="60"/>
              <w:left w:type="dxa" w:w="100"/>
              <w:bottom w:type="dxa" w:w="60"/>
              <w:right w:type="dxa" w:w="100"/>
            </w:tcMar>
          </w:tcPr>
          <w:p>
            <w:pPr>
              <w:spacing w:after="0"/>
            </w:pPr>
            <w:r>
              <w:rPr>
                <w:b/>
                <w:bCs/>
                <w:color w:val="1C4532"/>
                <w:sz w:val="20"/>
                <w:szCs w:val="20"/>
              </w:rPr>
              <w:t xml:space="preserve">Fields used</w:t>
            </w:r>
          </w:p>
        </w:tc>
        <w:tc>
          <w:tcPr>
            <w:tcW w:type="dxa" w:w="3600"/>
            <w:tcBorders>
              <w:top w:val="single" w:color="DFE6E1" w:sz="4"/>
              <w:left w:val="single" w:color="DFE6E1" w:sz="4"/>
              <w:bottom w:val="single" w:color="DFE6E1" w:sz="4"/>
              <w:right w:val="single" w:color="DFE6E1" w:sz="4"/>
            </w:tcBorders>
            <w:shd w:fill="EAF6EE" w:val="clear"/>
            <w:tcMar>
              <w:top w:type="dxa" w:w="60"/>
              <w:left w:type="dxa" w:w="100"/>
              <w:bottom w:type="dxa" w:w="60"/>
              <w:right w:type="dxa" w:w="100"/>
            </w:tcMar>
          </w:tcPr>
          <w:p>
            <w:pPr>
              <w:spacing w:after="0"/>
            </w:pPr>
            <w:r>
              <w:rPr>
                <w:b/>
                <w:bCs/>
                <w:color w:val="1C4532"/>
                <w:sz w:val="20"/>
                <w:szCs w:val="20"/>
              </w:rPr>
              <w:t xml:space="preserve">Notes</w:t>
            </w:r>
          </w:p>
        </w:tc>
      </w:tr>
      <w:tr>
        <w:tc>
          <w:tcPr>
            <w:tcW w:type="dxa" w:w="1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TPITEMSP</w:t>
            </w:r>
          </w:p>
        </w:tc>
        <w:tc>
          <w:tcPr>
            <w:tcW w:type="dxa" w:w="45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TPITEM CHAR(10), TPSRCD CHAR(6), TPPLAN CHAR(2), TPEXDATE DEC(8,0)</w:t>
            </w:r>
          </w:p>
        </w:tc>
        <w:tc>
          <w:tcPr>
            <w:tcW w:type="dxa" w:w="3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The maintained file; exactly these four fields.</w:t>
            </w:r>
          </w:p>
        </w:tc>
      </w:tr>
      <w:tr>
        <w:tc>
          <w:tcPr>
            <w:tcW w:type="dxa" w:w="1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TPPLANSP</w:t>
            </w:r>
          </w:p>
        </w:tc>
        <w:tc>
          <w:tcPr>
            <w:tcW w:type="dxa" w:w="45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PPPLAN CHAR(2), PPDESC CHAR(40), PPNOTP, PPINTPMTPC</w:t>
            </w:r>
          </w:p>
        </w:tc>
        <w:tc>
          <w:tcPr>
            <w:tcW w:type="dxa" w:w="3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Plan master; description shown on screen and web grid.</w:t>
            </w:r>
          </w:p>
        </w:tc>
      </w:tr>
      <w:tr>
        <w:tc>
          <w:tcPr>
            <w:tcW w:type="dxa" w:w="1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TPTIERSP</w:t>
            </w:r>
          </w:p>
        </w:tc>
        <w:tc>
          <w:tcPr>
            <w:tcW w:type="dxa" w:w="45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TPTTIER CHAR(2), TPTTIERLO DEC(9,2), TPTTIERHI DEC(9,2)</w:t>
            </w:r>
          </w:p>
        </w:tc>
        <w:tc>
          <w:tcPr>
            <w:tcW w:type="dxa" w:w="3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Price ranges for the blank-plan lookup.</w:t>
            </w:r>
          </w:p>
        </w:tc>
      </w:tr>
      <w:tr>
        <w:tc>
          <w:tcPr>
            <w:tcW w:type="dxa" w:w="1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OEPSRCE</w:t>
            </w:r>
          </w:p>
        </w:tc>
        <w:tc>
          <w:tcPr>
            <w:tcW w:type="dxa" w:w="45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SRCCOD CHAR(6)</w:t>
            </w:r>
          </w:p>
        </w:tc>
        <w:tc>
          <w:tcPr>
            <w:tcW w:type="dxa" w:w="3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Source code existence check.</w:t>
            </w:r>
          </w:p>
        </w:tc>
      </w:tr>
      <w:tr>
        <w:tc>
          <w:tcPr>
            <w:tcW w:type="dxa" w:w="1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ITMMSTL1</w:t>
            </w:r>
          </w:p>
        </w:tc>
        <w:tc>
          <w:tcPr>
            <w:tcW w:type="dxa" w:w="45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IISKU# CHAR(10), IIDESC</w:t>
            </w:r>
          </w:p>
        </w:tc>
        <w:tc>
          <w:tcPr>
            <w:tcW w:type="dxa" w:w="3600"/>
            <w:tcBorders>
              <w:top w:val="single" w:color="DFE6E1" w:sz="4"/>
              <w:left w:val="single" w:color="DFE6E1" w:sz="4"/>
              <w:bottom w:val="single" w:color="DFE6E1" w:sz="4"/>
              <w:right w:val="single" w:color="DFE6E1" w:sz="4"/>
            </w:tcBorders>
            <w:tcMar>
              <w:top w:type="dxa" w:w="60"/>
              <w:left w:type="dxa" w:w="100"/>
              <w:bottom w:type="dxa" w:w="60"/>
              <w:right w:type="dxa" w:w="100"/>
            </w:tcMar>
          </w:tcPr>
          <w:p>
            <w:pPr>
              <w:spacing w:after="0"/>
            </w:pPr>
            <w:r>
              <w:rPr>
                <w:b w:val="false"/>
                <w:bCs w:val="false"/>
                <w:color w:val="222222"/>
                <w:sz w:val="20"/>
                <w:szCs w:val="20"/>
              </w:rPr>
              <w:t xml:space="preserve">Item master logical, same one the other LCCOnline tools read.</w:t>
            </w:r>
          </w:p>
        </w:tc>
      </w:tr>
    </w:tbl>
    <w:p>
      <w:pPr>
        <w:spacing w:after="120"/>
      </w:pPr>
      <w:r>
        <w:rPr>
          <w:sz w:val="21"/>
          <w:szCs w:val="21"/>
        </w:rPr>
        <w:t xml:space="preserve"/>
      </w:r>
    </w:p>
    <w:p>
      <w:pPr>
        <w:pStyle w:val="Heading1"/>
        <w:spacing w:after="120" w:before="280"/>
      </w:pPr>
      <w:r>
        <w:rPr>
          <w:b/>
          <w:bCs/>
          <w:color w:val="1C4532"/>
          <w:sz w:val="26"/>
          <w:szCs w:val="26"/>
        </w:rPr>
        <w:t xml:space="preserve">8. Exception Report</w:t>
      </w:r>
    </w:p>
    <w:p>
      <w:pPr>
        <w:spacing w:after="120"/>
      </w:pPr>
      <w:r>
        <w:rPr>
          <w:sz w:val="21"/>
          <w:szCs w:val="21"/>
        </w:rPr>
        <w:t xml:space="preserve">When any rows are skipped, an HTML table of them (row number, item, source, plan, expiration, reason) is e-mailed to &lt;signed-on user&gt;@littletoncoin.com via EZMail sendMSG, sender lcc1@littletoncoin.com, the same pattern as the Order File import. The same detail also shows on the page under Results. Uploads are stamped to LCCOnline_logs/timepayment_activity.log.</w:t>
      </w:r>
    </w:p>
    <w:p>
      <w:pPr>
        <w:pStyle w:val="Heading1"/>
        <w:spacing w:after="120" w:before="280"/>
      </w:pPr>
      <w:r>
        <w:rPr>
          <w:b/>
          <w:bCs/>
          <w:color w:val="1C4532"/>
          <w:sz w:val="26"/>
          <w:szCs w:val="26"/>
        </w:rPr>
        <w:t xml:space="preserve">9. Outstanding Work</w:t>
      </w:r>
    </w:p>
    <w:p>
      <w:pPr>
        <w:pStyle w:val="ListParagraph"/>
        <w:numPr>
          <w:ilvl w:val="0"/>
          <w:numId w:val="4"/>
        </w:numPr>
        <w:spacing w:after="80"/>
      </w:pPr>
      <w:r>
        <w:rPr>
          <w:b w:val="false"/>
          <w:bCs w:val="false"/>
          <w:sz w:val="21"/>
          <w:szCs w:val="21"/>
        </w:rPr>
        <w:t xml:space="preserve">Tie TIMPAY002S’s parameter list out to OP0800R’s call of OE0337R (names are labels; order, types and sizes must match the *PGM exactly), then compile it.</w:t>
      </w:r>
    </w:p>
    <w:p>
      <w:pPr>
        <w:pStyle w:val="ListParagraph"/>
        <w:numPr>
          <w:ilvl w:val="0"/>
          <w:numId w:val="4"/>
        </w:numPr>
        <w:spacing w:after="80"/>
      </w:pPr>
      <w:r>
        <w:rPr>
          <w:b w:val="false"/>
          <w:bCs w:val="false"/>
          <w:sz w:val="21"/>
          <w:szCs w:val="21"/>
        </w:rPr>
        <w:t xml:space="preserve">Confirm clean RUNSQLSTM compiles of TIMPAY001S and TIMPAY003S in LSCDEVLIBP.</w:t>
      </w:r>
    </w:p>
    <w:p>
      <w:pPr>
        <w:pStyle w:val="ListParagraph"/>
        <w:numPr>
          <w:ilvl w:val="0"/>
          <w:numId w:val="4"/>
        </w:numPr>
        <w:spacing w:after="80"/>
      </w:pPr>
      <w:r>
        <w:rPr>
          <w:b w:val="false"/>
          <w:bCs w:val="false"/>
          <w:sz w:val="21"/>
          <w:szCs w:val="21"/>
        </w:rPr>
        <w:t xml:space="preserve">Confirm TPTIERSP tier numbers line up with TPPLANSP plan numbers (SELECT * of both).</w:t>
      </w:r>
    </w:p>
    <w:p>
      <w:pPr>
        <w:pStyle w:val="ListParagraph"/>
        <w:numPr>
          <w:ilvl w:val="0"/>
          <w:numId w:val="4"/>
        </w:numPr>
        <w:spacing w:after="80"/>
      </w:pPr>
      <w:r>
        <w:rPr>
          <w:b w:val="false"/>
          <w:bCs w:val="false"/>
          <w:sz w:val="21"/>
          <w:szCs w:val="21"/>
        </w:rPr>
        <w:t xml:space="preserve">Deploy the four PHP files to the LCCOnline docroot; add the menu link and set authorities (decide 10 vs 50 against the intended users’ profiles).</w:t>
      </w:r>
    </w:p>
    <w:p>
      <w:pPr>
        <w:pStyle w:val="ListParagraph"/>
        <w:numPr>
          <w:ilvl w:val="0"/>
          <w:numId w:val="4"/>
        </w:numPr>
        <w:spacing w:after="80"/>
      </w:pPr>
      <w:r>
        <w:rPr>
          <w:b w:val="false"/>
          <w:bCs w:val="false"/>
          <w:sz w:val="21"/>
          <w:szCs w:val="21"/>
        </w:rPr>
        <w:t xml:space="preserve">End-to-end test: one good row, bad item, bad source, bad plan, under-$99 item with blank plan, past date — verify TPITEMSP on the green screen and the exception e-mail, then clean up.</w:t>
      </w:r>
    </w:p>
    <w:p>
      <w:pPr>
        <w:pStyle w:val="ListParagraph"/>
        <w:numPr>
          <w:ilvl w:val="0"/>
          <w:numId w:val="4"/>
        </w:numPr>
        <w:spacing w:after="80"/>
      </w:pPr>
      <w:r>
        <w:rPr>
          <w:b w:val="false"/>
          <w:bCs w:val="false"/>
          <w:sz w:val="21"/>
          <w:szCs w:val="21"/>
        </w:rPr>
        <w:t xml:space="preserve">Demo to Josh; have him bless the template and the exception-report wording.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316"/>
      </w:pPr>
    </w:lvl>
  </w:abstractNum>
  <w:abstractNum w:abstractNumId="4"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2026-08-06T16:11:55.799Z</dcterms:created>
  <dcterms:modified xsi:type="dcterms:W3CDTF">2026-08-06T16:11:55.799Z</dcterms:modified>
</cp:coreProperties>
</file>

<file path=docProps/custom.xml><?xml version="1.0" encoding="utf-8"?>
<Properties xmlns="http://schemas.openxmlformats.org/officeDocument/2006/custom-properties" xmlns:vt="http://schemas.openxmlformats.org/officeDocument/2006/docPropsVTypes"/>
</file>