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spacing w:after="90" w:line="300" w:lineRule="auto"/>
        <w:keepNext/>
        <w:outlineLvl w:val="0"/>
      </w:pPr>
      <w:r>
        <w:rPr>
          <w:rFonts w:ascii="Calibri" w:eastAsia="游ゴシック"/>
          <w:sz w:val="29"/>
          <w:b/>
          <w:color w:val="173F5F"/>
        </w:rPr>
        <w:t xml:space="preserve">論文スケルトン・教授報告用</w:t>
      </w:r>
    </w:p>
    <w:p>
      <w:pPr>
        <w:spacing w:after="90" w:line="300" w:lineRule="auto"/>
      </w:pPr>
      <w:r>
        <w:rPr>
          <w:rFonts w:ascii="Calibri" w:eastAsia="游ゴシック"/>
          <w:sz w:val="21"/>
        </w:rPr>
        <w:t xml:space="preserve">仮題：固定供給を残した主要事業者の調整供給の代替可能性</w:t>
      </w:r>
    </w:p>
    <w:p>
      <w:pPr>
        <w:spacing w:after="90" w:line="300" w:lineRule="auto"/>
      </w:pPr>
      <w:r>
        <w:rPr>
          <w:rFonts w:ascii="Calibri" w:eastAsia="游ゴシック"/>
          <w:sz w:val="21"/>
        </w:rPr>
        <w:t xml:space="preserve">副題：FY2025の公開データと地域間送電枠を用いた条件付き評価</w:t>
      </w:r>
    </w:p>
    <w:p>
      <w:pPr>
        <w:spacing w:after="90" w:line="300" w:lineRule="auto"/>
      </w:pPr>
      <w:r>
        <w:rPr>
          <w:rFonts w:ascii="Calibri" w:eastAsia="游ゴシック"/>
          <w:sz w:val="21"/>
        </w:rPr>
        <w:t xml:space="preserve">作成日：2026年10月28日。執筆用の骨格であり、投稿原稿・最終baselineではない。</w:t>
      </w:r>
    </w:p>
    <w:p>
      <w:pPr>
        <w:spacing w:after="90" w:line="300" w:lineRule="auto"/>
      </w:pPr>
      <w:r>
        <w:rPr>
          <w:rFonts w:ascii="Calibri" w:eastAsia="游ゴシック"/>
          <w:sz w:val="21"/>
        </w:rPr>
        <w:t xml:space="preserve">研究の位置づけ：今回の実証は企業が置かれた「代替供給の環境」を調べる。既存CVモデルは、その環境の下で企業が他社反応をどう予想し供給を決めるかという「行動」を扱う。実証を既存モデルの直接検証とは呼ばない。</w:t>
      </w:r>
    </w:p>
    <w:p>
      <w:pPr>
        <w:spacing w:after="90" w:line="300" w:lineRule="auto"/>
        <w:keepNext/>
        <w:outlineLvl w:val="1"/>
      </w:pPr>
      <w:r>
        <w:rPr>
          <w:rFonts w:ascii="Calibri" w:eastAsia="游ゴシック"/>
          <w:sz w:val="24"/>
          <w:b/>
          <w:color w:val="173F5F"/>
        </w:rPr>
        <w:t xml:space="preserve">最初に伝える進捗</w:t>
      </w:r>
    </w:p>
    <w:p>
      <w:pPr>
        <w:spacing w:after="90" w:line="300" w:lineRule="auto"/>
      </w:pPr>
      <w:r>
        <w:rPr>
          <w:rFonts w:ascii="Calibri" w:eastAsia="游ゴシック"/>
          <w:sz w:val="21"/>
        </w:rPr>
        <w:t xml:space="preserve">- 完了したこと：FY2025・9地域の需要と固定出力を整備し、企業除去前後の需要充足、送電枠の有無、17供給条件、価格との記述的接続まで計算した。</w:t>
      </w:r>
    </w:p>
    <w:p>
      <w:pPr>
        <w:spacing w:after="90" w:line="300" w:lineRule="auto"/>
      </w:pPr>
      <w:r>
        <w:rPr>
          <w:rFonts w:ascii="Calibri" w:eastAsia="游ゴシック"/>
          <w:sz w:val="21"/>
        </w:rPr>
        <w:t xml:space="preserve">- 中心結果：同じ需要・固定供給・設備上限でも、保存送電枠を残すかどうかで代替可能性の判定が大きく変わり、その程度は法人によって異なる。</w:t>
      </w:r>
    </w:p>
    <w:p>
      <w:pPr>
        <w:spacing w:after="90" w:line="300" w:lineRule="auto"/>
      </w:pPr>
      <w:r>
        <w:rPr>
          <w:rFonts w:ascii="Calibri" w:eastAsia="游ゴシック"/>
          <w:sz w:val="21"/>
        </w:rPr>
        <w:t xml:space="preserve">- まだ示していないこと：実際に誰が何割代替するか、価格への因果効果、企業の利益・行動、CV係数、数理モデル更新の結果。</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5050"/>
        <w:gridCol w:w="5050"/>
      </w:tblGrid>
      <w:tr>
        <w:trPr>
          <w:cantSplit/>
          <w:tblHeader/>
        </w:trPr>
        <w:tc>
          <w:tcPr>
            <w:tcW w:w="5050" w:type="dxa"/>
            <w:shd w:fill="E8EFF5"/>
          </w:tcPr>
          <w:p>
            <w:pPr>
              <w:spacing w:after="90" w:line="300" w:lineRule="auto"/>
            </w:pPr>
            <w:r>
              <w:rPr>
                <w:rFonts w:ascii="Calibri" w:eastAsia="游ゴシック"/>
                <w:sz w:val="18"/>
              </w:rPr>
              <w:t xml:space="preserve">論文の部分</w:t>
            </w:r>
          </w:p>
        </w:tc>
        <w:tc>
          <w:tcPr>
            <w:tcW w:w="5050" w:type="dxa"/>
            <w:shd w:fill="E8EFF5"/>
          </w:tcPr>
          <w:p>
            <w:pPr>
              <w:spacing w:after="90" w:line="300" w:lineRule="auto"/>
            </w:pPr>
            <w:r>
              <w:rPr>
                <w:rFonts w:ascii="Calibri" w:eastAsia="游ゴシック"/>
                <w:sz w:val="18"/>
              </w:rPr>
              <w:t xml:space="preserve">現在の進捗</w:t>
            </w:r>
          </w:p>
        </w:tc>
      </w:tr>
      <w:tr>
        <w:trPr>
          <w:cantSplit/>
        </w:trPr>
        <w:tc>
          <w:tcPr>
            <w:tcW w:w="5050" w:type="dxa"/>
          </w:tcPr>
          <w:p>
            <w:pPr>
              <w:spacing w:after="90" w:line="300" w:lineRule="auto"/>
            </w:pPr>
            <w:r>
              <w:rPr>
                <w:rFonts w:ascii="Calibri" w:eastAsia="游ゴシック"/>
                <w:sz w:val="18"/>
              </w:rPr>
              <w:t xml:space="preserve">データ・方法・年間計算</w:t>
            </w:r>
          </w:p>
        </w:tc>
        <w:tc>
          <w:tcPr>
            <w:tcW w:w="5050" w:type="dxa"/>
          </w:tcPr>
          <w:p>
            <w:pPr>
              <w:spacing w:after="90" w:line="300" w:lineRule="auto"/>
            </w:pPr>
            <w:r>
              <w:rPr>
                <w:rFonts w:ascii="Calibri" w:eastAsia="游ゴシック"/>
                <w:sz w:val="18"/>
              </w:rPr>
              <w:t xml:space="preserve">実装・検証済み。4月は方法検証として保存</w:t>
            </w:r>
          </w:p>
        </w:tc>
      </w:tr>
      <w:tr>
        <w:trPr>
          <w:cantSplit/>
        </w:trPr>
        <w:tc>
          <w:tcPr>
            <w:tcW w:w="5050" w:type="dxa"/>
          </w:tcPr>
          <w:p>
            <w:pPr>
              <w:spacing w:after="90" w:line="300" w:lineRule="auto"/>
            </w:pPr>
            <w:r>
              <w:rPr>
                <w:rFonts w:ascii="Calibri" w:eastAsia="游ゴシック"/>
                <w:sz w:val="18"/>
              </w:rPr>
              <w:t xml:space="preserve">送電枠あり／なしの主結果</w:t>
            </w:r>
          </w:p>
        </w:tc>
        <w:tc>
          <w:tcPr>
            <w:tcW w:w="5050" w:type="dxa"/>
          </w:tcPr>
          <w:p>
            <w:pPr>
              <w:spacing w:after="90" w:line="300" w:lineRule="auto"/>
            </w:pPr>
            <w:r>
              <w:rPr>
                <w:rFonts w:ascii="Calibri" w:eastAsia="游ゴシック"/>
                <w:sz w:val="18"/>
              </w:rPr>
              <w:t xml:space="preserve">共通16,848コマ・8法人の比較図と数値表が完成</w:t>
            </w:r>
          </w:p>
        </w:tc>
      </w:tr>
      <w:tr>
        <w:trPr>
          <w:cantSplit/>
        </w:trPr>
        <w:tc>
          <w:tcPr>
            <w:tcW w:w="5050" w:type="dxa"/>
          </w:tcPr>
          <w:p>
            <w:pPr>
              <w:spacing w:after="90" w:line="300" w:lineRule="auto"/>
            </w:pPr>
            <w:r>
              <w:rPr>
                <w:rFonts w:ascii="Calibri" w:eastAsia="游ゴシック"/>
                <w:sz w:val="18"/>
              </w:rPr>
              <w:t xml:space="preserve">停止情報・季節差</w:t>
            </w:r>
          </w:p>
        </w:tc>
        <w:tc>
          <w:tcPr>
            <w:tcW w:w="5050" w:type="dxa"/>
          </w:tcPr>
          <w:p>
            <w:pPr>
              <w:spacing w:after="90" w:line="300" w:lineRule="auto"/>
            </w:pPr>
            <w:r>
              <w:rPr>
                <w:rFonts w:ascii="Calibri" w:eastAsia="游ゴシック"/>
                <w:sz w:val="18"/>
              </w:rPr>
              <w:t xml:space="preserve">既存17条件・月別集計を保有。本文と付録を整理可能</w:t>
            </w:r>
          </w:p>
        </w:tc>
      </w:tr>
      <w:tr>
        <w:trPr>
          <w:cantSplit/>
        </w:trPr>
        <w:tc>
          <w:tcPr>
            <w:tcW w:w="5050" w:type="dxa"/>
          </w:tcPr>
          <w:p>
            <w:pPr>
              <w:spacing w:after="90" w:line="300" w:lineRule="auto"/>
            </w:pPr>
            <w:r>
              <w:rPr>
                <w:rFonts w:ascii="Calibri" w:eastAsia="游ゴシック"/>
                <w:sz w:val="18"/>
              </w:rPr>
              <w:t xml:space="preserve">価格との関係</w:t>
            </w:r>
          </w:p>
        </w:tc>
        <w:tc>
          <w:tcPr>
            <w:tcW w:w="5050" w:type="dxa"/>
          </w:tcPr>
          <w:p>
            <w:pPr>
              <w:spacing w:after="90" w:line="300" w:lineRule="auto"/>
            </w:pPr>
            <w:r>
              <w:rPr>
                <w:rFonts w:ascii="Calibri" w:eastAsia="游ゴシック"/>
                <w:sz w:val="18"/>
              </w:rPr>
              <w:t xml:space="preserve">同時刻の記述集計まで完了。因果関係は未検証</w:t>
            </w:r>
          </w:p>
        </w:tc>
      </w:tr>
      <w:tr>
        <w:trPr>
          <w:cantSplit/>
        </w:trPr>
        <w:tc>
          <w:tcPr>
            <w:tcW w:w="5050" w:type="dxa"/>
          </w:tcPr>
          <w:p>
            <w:pPr>
              <w:spacing w:after="90" w:line="300" w:lineRule="auto"/>
            </w:pPr>
            <w:r>
              <w:rPr>
                <w:rFonts w:ascii="Calibri" w:eastAsia="游ゴシック"/>
                <w:sz w:val="18"/>
              </w:rPr>
              <w:t xml:space="preserve">域内／域外・法人群別の代替構成</w:t>
            </w:r>
          </w:p>
        </w:tc>
        <w:tc>
          <w:tcPr>
            <w:tcW w:w="5050" w:type="dxa"/>
          </w:tcPr>
          <w:p>
            <w:pPr>
              <w:spacing w:after="90" w:line="300" w:lineRule="auto"/>
            </w:pPr>
            <w:r>
              <w:rPr>
                <w:rFonts w:ascii="Calibri" w:eastAsia="游ゴシック"/>
                <w:sz w:val="18"/>
              </w:rPr>
              <w:t xml:space="preserve">実際の配分は未識別。可能範囲の追加評価を提案中</w:t>
            </w:r>
          </w:p>
        </w:tc>
      </w:tr>
      <w:tr>
        <w:trPr>
          <w:cantSplit/>
        </w:trPr>
        <w:tc>
          <w:tcPr>
            <w:tcW w:w="5050" w:type="dxa"/>
          </w:tcPr>
          <w:p>
            <w:pPr>
              <w:spacing w:after="90" w:line="300" w:lineRule="auto"/>
            </w:pPr>
            <w:r>
              <w:rPr>
                <w:rFonts w:ascii="Calibri" w:eastAsia="游ゴシック"/>
                <w:sz w:val="18"/>
              </w:rPr>
              <w:t xml:space="preserve">過去のCVモデルとの接続・更新</w:t>
            </w:r>
          </w:p>
        </w:tc>
        <w:tc>
          <w:tcPr>
            <w:tcW w:w="5050" w:type="dxa"/>
          </w:tcPr>
          <w:p>
            <w:pPr>
              <w:spacing w:after="90" w:line="300" w:lineRule="auto"/>
            </w:pPr>
            <w:r>
              <w:rPr>
                <w:rFonts w:ascii="Calibri" w:eastAsia="游ゴシック"/>
                <w:sz w:val="18"/>
              </w:rPr>
              <w:t xml:space="preserve">必要な式と論点を整理。モデル更新・数値実験は未実施</w:t>
            </w:r>
          </w:p>
        </w:tc>
      </w:tr>
    </w:tbl>
    <w:p>
      <w:pPr>
        <w:spacing w:after="90" w:line="300" w:lineRule="auto"/>
      </w:pPr>
      <w:r>
        <w:rPr>
          <w:rFonts w:ascii="Calibri" w:eastAsia="游ゴシック"/>
          <w:sz w:val="6"/>
        </w:rPr>
        <w:t xml:space="preserve"/>
      </w:r>
    </w:p>
    <w:p>
      <w:pPr>
        <w:spacing w:after="90" w:line="300" w:lineRule="auto"/>
        <w:keepNext/>
        <w:outlineLvl w:val="1"/>
      </w:pPr>
      <w:r>
        <w:rPr>
          <w:rFonts w:ascii="Calibri" w:eastAsia="游ゴシック"/>
          <w:sz w:val="24"/>
          <w:b/>
          <w:color w:val="173F5F"/>
        </w:rPr>
        <w:t xml:space="preserve">教授に相談したいこと</w:t>
      </w:r>
    </w:p>
    <w:p>
      <w:pPr>
        <w:spacing w:after="90" w:line="300" w:lineRule="auto"/>
      </w:pPr>
      <w:r>
        <w:rPr>
          <w:rFonts w:ascii="Calibri" w:eastAsia="游ゴシック"/>
          <w:sz w:val="21"/>
        </w:rPr>
        <w:t xml:space="preserve">1. 条件付きの代替可能性と送電枠による違いを、現段階の論文の中心成果とする構成でよいか。</w:t>
      </w:r>
    </w:p>
    <w:p>
      <w:pPr>
        <w:spacing w:after="90" w:line="300" w:lineRule="auto"/>
      </w:pPr>
      <w:r>
        <w:rPr>
          <w:rFonts w:ascii="Calibri" w:eastAsia="游ゴシック"/>
          <w:sz w:val="21"/>
        </w:rPr>
        <w:t xml:space="preserve">2. 代替者の「実際の割合」ではなく、域内供給・純輸入の「可能範囲」を補足する必要があるか。</w:t>
      </w:r>
    </w:p>
    <w:p>
      <w:pPr>
        <w:spacing w:after="90" w:line="300" w:lineRule="auto"/>
      </w:pPr>
      <w:r>
        <w:rPr>
          <w:rFonts w:ascii="Calibri" w:eastAsia="游ゴシック"/>
          <w:sz w:val="21"/>
        </w:rPr>
        <w:t xml:space="preserve">3. CVモデルの拡張は本論文の必須成果とするか、今回の実証結果を踏まえた今後の課題とするか。</w:t>
      </w:r>
    </w:p>
    <w:p>
      <w:pPr>
        <w:spacing w:after="90" w:line="300" w:lineRule="auto"/>
      </w:pPr>
      <w:r>
        <w:rPr>
          <w:rFonts w:ascii="Calibri" w:eastAsia="游ゴシック"/>
          <w:sz w:val="21"/>
        </w:rPr>
        <w:t xml:space="preserve">本文8章のうち、1〜4・7章は既存成果に基づく骨格、5章は完了部分と未識別部分、6・8章は接続計画と残課題を示す。</w:t>
      </w:r>
    </w:p>
    <w:p>
      <w:r>
        <w:br w:type="page"/>
      </w:r>
    </w:p>
    <w:p>
      <w:pPr>
        <w:spacing w:after="90" w:line="300" w:lineRule="auto"/>
        <w:keepNext/>
        <w:outlineLvl w:val="0"/>
      </w:pPr>
      <w:r>
        <w:rPr>
          <w:rFonts w:ascii="Calibri" w:eastAsia="游ゴシック"/>
          <w:sz w:val="29"/>
          <w:b/>
          <w:color w:val="173F5F"/>
        </w:rPr>
        <w:t xml:space="preserve">1．はじめに：誰が他社の供給を代替できるか</w:t>
      </w:r>
    </w:p>
    <w:p>
      <w:pPr>
        <w:spacing w:after="90" w:line="300" w:lineRule="auto"/>
      </w:pPr>
      <w:r>
        <w:rPr>
          <w:rFonts w:ascii="Calibri" w:eastAsia="游ゴシック"/>
          <w:sz w:val="21"/>
        </w:rPr>
        <w:t xml:space="preserve">核となる文章：主要事業者の供給を他者が代替できるかどうかは、全国の供給量だけでなく、その供給を需要地域へ届けられるかに依存する。</w:t>
      </w:r>
    </w:p>
    <w:p>
      <w:pPr>
        <w:spacing w:after="90" w:line="300" w:lineRule="auto"/>
      </w:pPr>
      <w:r>
        <w:rPr>
          <w:rFonts w:ascii="Calibri" w:eastAsia="游ゴシック"/>
          <w:sz w:val="21"/>
        </w:rPr>
        <w:t xml:space="preserve">- 発端となる二つの環境：他者の供給上限が少ない場合と、他者の供給上限はあっても送電枠により届けられない場合。数量抑制の誘因に関係し得る構造的条件だが、利益増加には費用・契約・価格決定等の別条件が要る。</w:t>
      </w:r>
    </w:p>
    <w:p>
      <w:pPr>
        <w:spacing w:after="90" w:line="300" w:lineRule="auto"/>
      </w:pPr>
      <w:r>
        <w:rPr>
          <w:rFonts w:ascii="Calibri" w:eastAsia="游ゴシック"/>
          <w:sz w:val="21"/>
        </w:rPr>
        <w:t xml:space="preserve">- 出発点：既存CV研究で想定する「他社に代替される」という環境が、日本の地域構造の下でどの程度成立し得るかを確認したい。</w:t>
      </w:r>
    </w:p>
    <w:p>
      <w:pPr>
        <w:spacing w:after="90" w:line="300" w:lineRule="auto"/>
      </w:pPr>
      <w:r>
        <w:rPr>
          <w:rFonts w:ascii="Calibri" w:eastAsia="游ゴシック"/>
          <w:sz w:val="21"/>
        </w:rPr>
        <w:t xml:space="preserve">- 問題設定：域内の他者と域外供給をともに考え、域外の送り出し需要・供給と地域間送電条件も同時に扱う。</w:t>
      </w:r>
    </w:p>
    <w:p>
      <w:pPr>
        <w:spacing w:after="90" w:line="300" w:lineRule="auto"/>
      </w:pPr>
      <w:r>
        <w:rPr>
          <w:rFonts w:ascii="Calibri" w:eastAsia="游ゴシック"/>
          <w:sz w:val="21"/>
        </w:rPr>
        <w:t xml:space="preserve">- 本研究の対象：固定PV・風力・原子力実績を残し、対象法人の名参照調整供給のみを除いたときの条件付き需要充足。</w:t>
      </w:r>
    </w:p>
    <w:p>
      <w:pPr>
        <w:spacing w:after="90" w:line="300" w:lineRule="auto"/>
      </w:pPr>
      <w:r>
        <w:rPr>
          <w:rFonts w:ascii="Calibri" w:eastAsia="游ゴシック"/>
          <w:sz w:val="21"/>
        </w:rPr>
        <w:t xml:space="preserve">- 冒頭では「高価格＝不公正」「倍率1未満＝孤立市場」「代替可能＝価格不変」を前提にしない。</w:t>
      </w:r>
    </w:p>
    <w:p>
      <w:pPr>
        <w:spacing w:after="90" w:line="300" w:lineRule="auto"/>
      </w:pPr>
      <w:r>
        <w:rPr>
          <w:rFonts w:ascii="Calibri" w:eastAsia="游ゴシック"/>
          <w:sz w:val="21"/>
        </w:rPr>
        <w:t xml:space="preserve">配置する図：ここで新たな図は置かず、第3章の方法図と第4章の主図へ誘導する。</w:t>
      </w:r>
    </w:p>
    <w:p>
      <w:pPr>
        <w:spacing w:after="90" w:line="300" w:lineRule="auto"/>
        <w:keepNext/>
        <w:outlineLvl w:val="0"/>
      </w:pPr>
      <w:r>
        <w:rPr>
          <w:rFonts w:ascii="Calibri" w:eastAsia="游ゴシック"/>
          <w:sz w:val="29"/>
          <w:b/>
          <w:color w:val="173F5F"/>
        </w:rPr>
        <w:t xml:space="preserve">2．先行研究と研究目的</w:t>
      </w:r>
    </w:p>
    <w:p>
      <w:pPr>
        <w:spacing w:after="90" w:line="300" w:lineRule="auto"/>
        <w:keepNext/>
        <w:outlineLvl w:val="1"/>
      </w:pPr>
      <w:r>
        <w:rPr>
          <w:rFonts w:ascii="Calibri" w:eastAsia="游ゴシック"/>
          <w:sz w:val="24"/>
          <w:b/>
          <w:color w:val="173F5F"/>
        </w:rPr>
        <w:t xml:space="preserve">2.1 何が既存研究で分かっているか</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5050"/>
        <w:gridCol w:w="5050"/>
      </w:tblGrid>
      <w:tr>
        <w:trPr>
          <w:cantSplit/>
          <w:tblHeader/>
        </w:trPr>
        <w:tc>
          <w:tcPr>
            <w:tcW w:w="5050" w:type="dxa"/>
            <w:shd w:fill="E8EFF5"/>
          </w:tcPr>
          <w:p>
            <w:pPr>
              <w:spacing w:after="90" w:line="300" w:lineRule="auto"/>
            </w:pPr>
            <w:r>
              <w:rPr>
                <w:rFonts w:ascii="Calibri" w:eastAsia="游ゴシック"/>
                <w:sz w:val="18"/>
              </w:rPr>
              <w:t xml:space="preserve">先行研究</w:t>
            </w:r>
          </w:p>
        </w:tc>
        <w:tc>
          <w:tcPr>
            <w:tcW w:w="5050" w:type="dxa"/>
            <w:shd w:fill="E8EFF5"/>
          </w:tcPr>
          <w:p>
            <w:pPr>
              <w:spacing w:after="90" w:line="300" w:lineRule="auto"/>
            </w:pPr>
            <w:r>
              <w:rPr>
                <w:rFonts w:ascii="Calibri" w:eastAsia="游ゴシック"/>
                <w:sz w:val="18"/>
              </w:rPr>
              <w:t xml:space="preserve">本研究への接続</w:t>
            </w:r>
          </w:p>
        </w:tc>
      </w:tr>
      <w:tr>
        <w:trPr>
          <w:cantSplit/>
        </w:trPr>
        <w:tc>
          <w:tcPr>
            <w:tcW w:w="5050" w:type="dxa"/>
          </w:tcPr>
          <w:p>
            <w:pPr>
              <w:spacing w:after="90" w:line="300" w:lineRule="auto"/>
            </w:pPr>
            <w:r>
              <w:rPr>
                <w:rFonts w:ascii="Calibri" w:eastAsia="游ゴシック"/>
                <w:sz w:val="18"/>
              </w:rPr>
              <w:t xml:space="preserve">Borenstein・Bushnell・Stoft（2000）[1]</w:t>
            </w:r>
          </w:p>
        </w:tc>
        <w:tc>
          <w:tcPr>
            <w:tcW w:w="5050" w:type="dxa"/>
          </w:tcPr>
          <w:p>
            <w:pPr>
              <w:spacing w:after="90" w:line="300" w:lineRule="auto"/>
            </w:pPr>
            <w:r>
              <w:rPr>
                <w:rFonts w:ascii="Calibri" w:eastAsia="游ゴシック"/>
                <w:sz w:val="18"/>
              </w:rPr>
              <w:t xml:space="preserve">送電能力と競争の関係。送電と市場構造を論じる先行研究は存在する</w:t>
            </w:r>
          </w:p>
        </w:tc>
      </w:tr>
      <w:tr>
        <w:trPr>
          <w:cantSplit/>
        </w:trPr>
        <w:tc>
          <w:tcPr>
            <w:tcW w:w="5050" w:type="dxa"/>
          </w:tcPr>
          <w:p>
            <w:pPr>
              <w:spacing w:after="90" w:line="300" w:lineRule="auto"/>
            </w:pPr>
            <w:r>
              <w:rPr>
                <w:rFonts w:ascii="Calibri" w:eastAsia="游ゴシック"/>
                <w:sz w:val="18"/>
              </w:rPr>
              <w:t xml:space="preserve">Borenstein・Bushnell・Wolak（2002）[2]</w:t>
            </w:r>
          </w:p>
        </w:tc>
        <w:tc>
          <w:tcPr>
            <w:tcW w:w="5050" w:type="dxa"/>
          </w:tcPr>
          <w:p>
            <w:pPr>
              <w:spacing w:after="90" w:line="300" w:lineRule="auto"/>
            </w:pPr>
            <w:r>
              <w:rPr>
                <w:rFonts w:ascii="Calibri" w:eastAsia="游ゴシック"/>
                <w:sz w:val="18"/>
              </w:rPr>
              <w:t xml:space="preserve">観測価格と競争的な費用基準の区別。現在の価格図は同じ識別をしていない</w:t>
            </w:r>
          </w:p>
        </w:tc>
      </w:tr>
      <w:tr>
        <w:trPr>
          <w:cantSplit/>
        </w:trPr>
        <w:tc>
          <w:tcPr>
            <w:tcW w:w="5050" w:type="dxa"/>
          </w:tcPr>
          <w:p>
            <w:pPr>
              <w:spacing w:after="90" w:line="300" w:lineRule="auto"/>
            </w:pPr>
            <w:r>
              <w:rPr>
                <w:rFonts w:ascii="Calibri" w:eastAsia="游ゴシック"/>
                <w:sz w:val="18"/>
              </w:rPr>
              <w:t xml:space="preserve">Bushnell・Mansur・Saravia（2008）[3]</w:t>
            </w:r>
          </w:p>
        </w:tc>
        <w:tc>
          <w:tcPr>
            <w:tcW w:w="5050" w:type="dxa"/>
          </w:tcPr>
          <w:p>
            <w:pPr>
              <w:spacing w:after="90" w:line="300" w:lineRule="auto"/>
            </w:pPr>
            <w:r>
              <w:rPr>
                <w:rFonts w:ascii="Calibri" w:eastAsia="游ゴシック"/>
                <w:sz w:val="18"/>
              </w:rPr>
              <w:t xml:space="preserve">垂直関係・契約が企業の誘因に関係する。台帳名だけで契約帰属を確定しない</w:t>
            </w:r>
          </w:p>
        </w:tc>
      </w:tr>
      <w:tr>
        <w:trPr>
          <w:cantSplit/>
        </w:trPr>
        <w:tc>
          <w:tcPr>
            <w:tcW w:w="5050" w:type="dxa"/>
          </w:tcPr>
          <w:p>
            <w:pPr>
              <w:spacing w:after="90" w:line="300" w:lineRule="auto"/>
            </w:pPr>
            <w:r>
              <w:rPr>
                <w:rFonts w:ascii="Calibri" w:eastAsia="游ゴシック"/>
                <w:sz w:val="18"/>
              </w:rPr>
              <w:t xml:space="preserve">Lee・Baldick・Hur（2011）[4]</w:t>
            </w:r>
          </w:p>
        </w:tc>
        <w:tc>
          <w:tcPr>
            <w:tcW w:w="5050" w:type="dxa"/>
          </w:tcPr>
          <w:p>
            <w:pPr>
              <w:spacing w:after="90" w:line="300" w:lineRule="auto"/>
            </w:pPr>
            <w:r>
              <w:rPr>
                <w:rFonts w:ascii="Calibri" w:eastAsia="游ゴシック"/>
                <w:sz w:val="18"/>
              </w:rPr>
              <w:t xml:space="preserve">企業除去と送電制約の同時評価。原TCRSIと利益側のTCMPIは別</w:t>
            </w:r>
          </w:p>
        </w:tc>
      </w:tr>
    </w:tbl>
    <w:p>
      <w:pPr>
        <w:spacing w:after="90" w:line="300" w:lineRule="auto"/>
      </w:pPr>
      <w:r>
        <w:rPr>
          <w:rFonts w:ascii="Calibri" w:eastAsia="游ゴシック"/>
          <w:sz w:val="6"/>
        </w:rPr>
        <w:t xml:space="preserve"/>
      </w:r>
    </w:p>
    <w:p>
      <w:pPr>
        <w:spacing w:after="90" w:line="300" w:lineRule="auto"/>
      </w:pPr>
      <w:r>
        <w:rPr>
          <w:rFonts w:ascii="Calibri" w:eastAsia="游ゴシック"/>
          <w:sz w:val="21"/>
        </w:rPr>
        <w:t xml:space="preserve">核となる文章：本研究は送電制約と代替可能性を扱う既存研究を踏まえ、日本の公開資料から構成できる条件付き評価と、その入力上の限界を明示する。</w:t>
      </w:r>
    </w:p>
    <w:p>
      <w:pPr>
        <w:spacing w:after="90" w:line="300" w:lineRule="auto"/>
        <w:keepNext/>
        <w:outlineLvl w:val="1"/>
      </w:pPr>
      <w:r>
        <w:rPr>
          <w:rFonts w:ascii="Calibri" w:eastAsia="游ゴシック"/>
          <w:sz w:val="24"/>
          <w:b/>
          <w:color w:val="173F5F"/>
        </w:rPr>
        <w:t xml:space="preserve">2.2 研究目的と検討命題</w:t>
      </w:r>
    </w:p>
    <w:p>
      <w:pPr>
        <w:spacing w:after="90" w:line="300" w:lineRule="auto"/>
      </w:pPr>
      <w:r>
        <w:rPr>
          <w:rFonts w:ascii="Calibri" w:eastAsia="游ゴシック"/>
          <w:sz w:val="21"/>
        </w:rPr>
        <w:t xml:space="preserve">- 目的①：元の純需要を全9地域で同時に満たせるかを企業除去前後で検査し、同じ入力・同じ時刻の送電枠あり／なしを比較する。</w:t>
      </w:r>
    </w:p>
    <w:p>
      <w:pPr>
        <w:spacing w:after="90" w:line="300" w:lineRule="auto"/>
      </w:pPr>
      <w:r>
        <w:rPr>
          <w:rFonts w:ascii="Calibri" w:eastAsia="游ゴシック"/>
          <w:sz w:val="21"/>
        </w:rPr>
        <w:t xml:space="preserve">- 目的②：法人・地域・停止条件による違いと価格の並びを整理し、代替構成やCVへの接続に必要な追加条件を特定する。</w:t>
      </w:r>
    </w:p>
    <w:p>
      <w:pPr>
        <w:spacing w:after="90" w:line="300" w:lineRule="auto"/>
      </w:pPr>
      <w:r>
        <w:rPr>
          <w:rFonts w:ascii="Calibri" w:eastAsia="游ゴシック"/>
          <w:sz w:val="21"/>
        </w:rPr>
        <w:t xml:space="preserve">- 検討命題：保存枠によって成立判定が変わる頻度はどの程度か。その違いは法人間・供給条件間で一様か。</w:t>
      </w:r>
    </w:p>
    <w:p>
      <w:pPr>
        <w:spacing w:after="90" w:line="300" w:lineRule="auto"/>
      </w:pPr>
      <w:r>
        <w:rPr>
          <w:rFonts w:ascii="Calibri" w:eastAsia="游ゴシック"/>
          <w:sz w:val="21"/>
        </w:rPr>
        <w:t xml:space="preserve">- 枠解除で実行可能集合が縮まらないことは数理的性質である。実証結果は差の大きさ・法人間の異質性であり、単なる単調性そのものではない。</w:t>
      </w:r>
    </w:p>
    <w:p>
      <w:pPr>
        <w:spacing w:after="90" w:line="300" w:lineRule="auto"/>
      </w:pPr>
      <w:r>
        <w:rPr>
          <w:rFonts w:ascii="Calibri" w:eastAsia="游ゴシック"/>
          <w:sz w:val="21"/>
        </w:rPr>
        <w:t xml:space="preserve">- 命題は結果観察後の整理であり、事前登録仮説とはしない。「実証の先行研究がない」「国内初」は未確認なので書かない。</w:t>
      </w:r>
    </w:p>
    <w:p>
      <w:r>
        <w:br w:type="page"/>
      </w:r>
    </w:p>
    <w:p>
      <w:pPr>
        <w:spacing w:after="90" w:line="300" w:lineRule="auto"/>
        <w:keepNext/>
        <w:outlineLvl w:val="0"/>
      </w:pPr>
      <w:r>
        <w:rPr>
          <w:rFonts w:ascii="Calibri" w:eastAsia="游ゴシック"/>
          <w:sz w:val="29"/>
          <w:b/>
          <w:color w:val="173F5F"/>
        </w:rPr>
        <w:t xml:space="preserve">3．データと評価方法</w:t>
      </w:r>
    </w:p>
    <w:p>
      <w:pPr>
        <w:spacing w:after="90" w:line="300" w:lineRule="auto"/>
      </w:pPr>
      <w:r>
        <w:rPr>
          <w:rFonts w:ascii="Calibri" w:eastAsia="游ゴシック"/>
          <w:sz w:val="21"/>
        </w:rPr>
        <w:t xml:space="preserve">核となる文章：同じ実績需要・固定実績出力・限定供給上限の下で、対象法人の調整供給だけを全地域から除き、全国9地域の元の純需要を満たす割当ての存在を調べる。</w:t>
      </w:r>
    </w:p>
    <w:p>
      <w:pPr>
        <w:spacing w:after="90" w:line="300" w:lineRule="auto"/>
        <w:keepNext/>
        <w:outlineLvl w:val="1"/>
      </w:pPr>
      <w:r>
        <w:rPr>
          <w:rFonts w:ascii="Calibri" w:eastAsia="游ゴシック"/>
          <w:sz w:val="24"/>
          <w:b/>
          <w:color w:val="173F5F"/>
        </w:rPr>
        <w:t xml:space="preserve">表1案：主要変数と対象範囲</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3366"/>
        <w:gridCol w:w="3366"/>
        <w:gridCol w:w="3366"/>
      </w:tblGrid>
      <w:tr>
        <w:trPr>
          <w:cantSplit/>
          <w:tblHeader/>
        </w:trPr>
        <w:tc>
          <w:tcPr>
            <w:tcW w:w="3366" w:type="dxa"/>
            <w:shd w:fill="E8EFF5"/>
          </w:tcPr>
          <w:p>
            <w:pPr>
              <w:spacing w:after="90" w:line="300" w:lineRule="auto"/>
            </w:pPr>
            <w:r>
              <w:rPr>
                <w:rFonts w:ascii="Calibri" w:eastAsia="游ゴシック"/>
                <w:sz w:val="18"/>
              </w:rPr>
              <w:t xml:space="preserve">記号・項目</w:t>
            </w:r>
          </w:p>
        </w:tc>
        <w:tc>
          <w:tcPr>
            <w:tcW w:w="3366" w:type="dxa"/>
            <w:shd w:fill="E8EFF5"/>
          </w:tcPr>
          <w:p>
            <w:pPr>
              <w:spacing w:after="90" w:line="300" w:lineRule="auto"/>
            </w:pPr>
            <w:r>
              <w:rPr>
                <w:rFonts w:ascii="Calibri" w:eastAsia="游ゴシック"/>
                <w:sz w:val="18"/>
              </w:rPr>
              <w:t xml:space="preserve">定義・資料</w:t>
            </w:r>
          </w:p>
        </w:tc>
        <w:tc>
          <w:tcPr>
            <w:tcW w:w="3366" w:type="dxa"/>
            <w:shd w:fill="E8EFF5"/>
          </w:tcPr>
          <w:p>
            <w:pPr>
              <w:spacing w:after="90" w:line="300" w:lineRule="auto"/>
            </w:pPr>
            <w:r>
              <w:rPr>
                <w:rFonts w:ascii="Calibri" w:eastAsia="游ゴシック"/>
                <w:sz w:val="18"/>
              </w:rPr>
              <w:t xml:space="preserve">単位・範囲</w:t>
            </w:r>
          </w:p>
        </w:tc>
      </w:tr>
      <w:tr>
        <w:trPr>
          <w:cantSplit/>
        </w:trPr>
        <w:tc>
          <w:tcPr>
            <w:tcW w:w="3366" w:type="dxa"/>
          </w:tcPr>
          <w:p>
            <w:pPr>
              <w:spacing w:after="90" w:line="300" w:lineRule="auto"/>
            </w:pPr>
            <w:r>
              <w:rPr>
                <w:rFonts w:ascii="Calibri" w:eastAsia="游ゴシック"/>
                <w:sz w:val="18"/>
              </w:rPr>
              <w:t xml:space="preserve">D</w:t>
            </w:r>
          </w:p>
        </w:tc>
        <w:tc>
          <w:tcPr>
            <w:tcW w:w="3366" w:type="dxa"/>
          </w:tcPr>
          <w:p>
            <w:pPr>
              <w:spacing w:after="90" w:line="300" w:lineRule="auto"/>
            </w:pPr>
            <w:r>
              <w:rPr>
                <w:rFonts w:ascii="Calibri" w:eastAsia="游ゴシック"/>
                <w:sz w:val="18"/>
              </w:rPr>
              <w:t xml:space="preserve">地域公式燃料別資料の実績需要</w:t>
            </w:r>
          </w:p>
        </w:tc>
        <w:tc>
          <w:tcPr>
            <w:tcW w:w="3366" w:type="dxa"/>
          </w:tcPr>
          <w:p>
            <w:pPr>
              <w:spacing w:after="90" w:line="300" w:lineRule="auto"/>
            </w:pPr>
            <w:r>
              <w:rPr>
                <w:rFonts w:ascii="Calibri" w:eastAsia="游ゴシック"/>
                <w:sz w:val="18"/>
              </w:rPr>
              <w:t xml:space="preserve">MW平均・9地域×30分</w:t>
            </w:r>
          </w:p>
        </w:tc>
      </w:tr>
      <w:tr>
        <w:trPr>
          <w:cantSplit/>
        </w:trPr>
        <w:tc>
          <w:tcPr>
            <w:tcW w:w="3366" w:type="dxa"/>
          </w:tcPr>
          <w:p>
            <w:pPr>
              <w:spacing w:after="90" w:line="300" w:lineRule="auto"/>
            </w:pPr>
            <w:r>
              <w:rPr>
                <w:rFonts w:ascii="Calibri" w:eastAsia="游ゴシック"/>
                <w:sz w:val="18"/>
              </w:rPr>
              <w:t xml:space="preserve">R</w:t>
            </w:r>
          </w:p>
        </w:tc>
        <w:tc>
          <w:tcPr>
            <w:tcW w:w="3366" w:type="dxa"/>
          </w:tcPr>
          <w:p>
            <w:pPr>
              <w:spacing w:after="90" w:line="300" w:lineRule="auto"/>
            </w:pPr>
            <w:r>
              <w:rPr>
                <w:rFonts w:ascii="Calibri" w:eastAsia="游ゴシック"/>
                <w:sz w:val="18"/>
              </w:rPr>
              <w:t xml:space="preserve">同じ資料のPV・風力・原子力実績の和</w:t>
            </w:r>
          </w:p>
        </w:tc>
        <w:tc>
          <w:tcPr>
            <w:tcW w:w="3366" w:type="dxa"/>
          </w:tcPr>
          <w:p>
            <w:pPr>
              <w:spacing w:after="90" w:line="300" w:lineRule="auto"/>
            </w:pPr>
            <w:r>
              <w:rPr>
                <w:rFonts w:ascii="Calibri" w:eastAsia="游ゴシック"/>
                <w:sz w:val="18"/>
              </w:rPr>
              <w:t xml:space="preserve">MW平均。企業除去時も残す</w:t>
            </w:r>
          </w:p>
        </w:tc>
      </w:tr>
      <w:tr>
        <w:trPr>
          <w:cantSplit/>
        </w:trPr>
        <w:tc>
          <w:tcPr>
            <w:tcW w:w="3366" w:type="dxa"/>
          </w:tcPr>
          <w:p>
            <w:pPr>
              <w:spacing w:after="90" w:line="300" w:lineRule="auto"/>
            </w:pPr>
            <w:r>
              <w:rPr>
                <w:rFonts w:ascii="Calibri" w:eastAsia="游ゴシック"/>
                <w:sz w:val="18"/>
              </w:rPr>
              <w:t xml:space="preserve">N = D − R</w:t>
            </w:r>
          </w:p>
        </w:tc>
        <w:tc>
          <w:tcPr>
            <w:tcW w:w="3366" w:type="dxa"/>
          </w:tcPr>
          <w:p>
            <w:pPr>
              <w:spacing w:after="90" w:line="300" w:lineRule="auto"/>
            </w:pPr>
            <w:r>
              <w:rPr>
                <w:rFonts w:ascii="Calibri" w:eastAsia="游ゴシック"/>
                <w:sz w:val="18"/>
              </w:rPr>
              <w:t xml:space="preserve">元の純需要。非正値も保持</w:t>
            </w:r>
          </w:p>
        </w:tc>
        <w:tc>
          <w:tcPr>
            <w:tcW w:w="3366" w:type="dxa"/>
          </w:tcPr>
          <w:p>
            <w:pPr>
              <w:spacing w:after="90" w:line="300" w:lineRule="auto"/>
            </w:pPr>
            <w:r>
              <w:rPr>
                <w:rFonts w:ascii="Calibri" w:eastAsia="游ゴシック"/>
                <w:sz w:val="18"/>
              </w:rPr>
              <w:t xml:space="preserve">MW・地域×30分</w:t>
            </w:r>
          </w:p>
        </w:tc>
      </w:tr>
      <w:tr>
        <w:trPr>
          <w:cantSplit/>
        </w:trPr>
        <w:tc>
          <w:tcPr>
            <w:tcW w:w="3366" w:type="dxa"/>
          </w:tcPr>
          <w:p>
            <w:pPr>
              <w:spacing w:after="90" w:line="300" w:lineRule="auto"/>
            </w:pPr>
            <w:r>
              <w:rPr>
                <w:rFonts w:ascii="Calibri" w:eastAsia="游ゴシック"/>
                <w:sz w:val="18"/>
              </w:rPr>
              <w:t xml:space="preserve">U</w:t>
            </w:r>
          </w:p>
        </w:tc>
        <w:tc>
          <w:tcPr>
            <w:tcW w:w="3366" w:type="dxa"/>
          </w:tcPr>
          <w:p>
            <w:pPr>
              <w:spacing w:after="90" w:line="300" w:lineRule="auto"/>
            </w:pPr>
            <w:r>
              <w:rPr>
                <w:rFonts w:ascii="Calibri" w:eastAsia="游ゴシック"/>
                <w:sz w:val="18"/>
              </w:rPr>
              <w:t xml:space="preserve">設備台帳参照上限と既存17供給条件</w:t>
            </w:r>
          </w:p>
        </w:tc>
        <w:tc>
          <w:tcPr>
            <w:tcW w:w="3366" w:type="dxa"/>
          </w:tcPr>
          <w:p>
            <w:pPr>
              <w:spacing w:after="90" w:line="300" w:lineRule="auto"/>
            </w:pPr>
            <w:r>
              <w:rPr>
                <w:rFonts w:ascii="Calibri" w:eastAsia="游ゴシック"/>
                <w:sz w:val="18"/>
              </w:rPr>
              <w:t xml:space="preserve">元kWを1,000で除しMW化</w:t>
            </w:r>
          </w:p>
        </w:tc>
      </w:tr>
      <w:tr>
        <w:trPr>
          <w:cantSplit/>
        </w:trPr>
        <w:tc>
          <w:tcPr>
            <w:tcW w:w="3366" w:type="dxa"/>
          </w:tcPr>
          <w:p>
            <w:pPr>
              <w:spacing w:after="90" w:line="300" w:lineRule="auto"/>
            </w:pPr>
            <w:r>
              <w:rPr>
                <w:rFonts w:ascii="Calibri" w:eastAsia="游ゴシック"/>
                <w:sz w:val="18"/>
              </w:rPr>
              <w:t xml:space="preserve">法人代理</w:t>
            </w:r>
          </w:p>
        </w:tc>
        <w:tc>
          <w:tcPr>
            <w:tcW w:w="3366" w:type="dxa"/>
          </w:tcPr>
          <w:p>
            <w:pPr>
              <w:spacing w:after="90" w:line="300" w:lineRule="auto"/>
            </w:pPr>
            <w:r>
              <w:rPr>
                <w:rFonts w:ascii="Calibri" w:eastAsia="游ゴシック"/>
                <w:sz w:val="18"/>
              </w:rPr>
              <w:t xml:space="preserve">HJKS「発電事業者」名による仮除去</w:t>
            </w:r>
          </w:p>
        </w:tc>
        <w:tc>
          <w:tcPr>
            <w:tcW w:w="3366" w:type="dxa"/>
          </w:tcPr>
          <w:p>
            <w:pPr>
              <w:spacing w:after="90" w:line="300" w:lineRule="auto"/>
            </w:pPr>
            <w:r>
              <w:rPr>
                <w:rFonts w:ascii="Calibri" w:eastAsia="游ゴシック"/>
                <w:sz w:val="18"/>
              </w:rPr>
              <w:t xml:space="preserve">8法人・9地域法人対</w:t>
            </w:r>
          </w:p>
        </w:tc>
      </w:tr>
      <w:tr>
        <w:trPr>
          <w:cantSplit/>
        </w:trPr>
        <w:tc>
          <w:tcPr>
            <w:tcW w:w="3366" w:type="dxa"/>
          </w:tcPr>
          <w:p>
            <w:pPr>
              <w:spacing w:after="90" w:line="300" w:lineRule="auto"/>
            </w:pPr>
            <w:r>
              <w:rPr>
                <w:rFonts w:ascii="Calibri" w:eastAsia="游ゴシック"/>
                <w:sz w:val="18"/>
              </w:rPr>
              <w:t xml:space="preserve">L・H</w:t>
            </w:r>
          </w:p>
        </w:tc>
        <w:tc>
          <w:tcPr>
            <w:tcW w:w="3366" w:type="dxa"/>
          </w:tcPr>
          <w:p>
            <w:pPr>
              <w:spacing w:after="90" w:line="300" w:lineRule="auto"/>
            </w:pPr>
            <w:r>
              <w:rPr>
                <w:rFonts w:ascii="Calibri" w:eastAsia="游ゴシック"/>
                <w:sz w:val="18"/>
              </w:rPr>
              <w:t xml:space="preserve">原符号C−M−Wと個別区間／フェンス</w:t>
            </w:r>
          </w:p>
        </w:tc>
        <w:tc>
          <w:tcPr>
            <w:tcW w:w="3366" w:type="dxa"/>
          </w:tcPr>
          <w:p>
            <w:pPr>
              <w:spacing w:after="90" w:line="300" w:lineRule="auto"/>
            </w:pPr>
            <w:r>
              <w:rPr>
                <w:rFonts w:ascii="Calibri" w:eastAsia="游ゴシック"/>
                <w:sz w:val="18"/>
              </w:rPr>
              <w:t xml:space="preserve">MW。保存留保枠を維持</w:t>
            </w:r>
          </w:p>
        </w:tc>
      </w:tr>
      <w:tr>
        <w:trPr>
          <w:cantSplit/>
        </w:trPr>
        <w:tc>
          <w:tcPr>
            <w:tcW w:w="3366" w:type="dxa"/>
          </w:tcPr>
          <w:p>
            <w:pPr>
              <w:spacing w:after="90" w:line="300" w:lineRule="auto"/>
            </w:pPr>
            <w:r>
              <w:rPr>
                <w:rFonts w:ascii="Calibri" w:eastAsia="游ゴシック"/>
                <w:sz w:val="18"/>
              </w:rPr>
              <w:t xml:space="preserve">P</w:t>
            </w:r>
          </w:p>
        </w:tc>
        <w:tc>
          <w:tcPr>
            <w:tcW w:w="3366" w:type="dxa"/>
          </w:tcPr>
          <w:p>
            <w:pPr>
              <w:spacing w:after="90" w:line="300" w:lineRule="auto"/>
            </w:pPr>
            <w:r>
              <w:rPr>
                <w:rFonts w:ascii="Calibri" w:eastAsia="游ゴシック"/>
                <w:sz w:val="18"/>
              </w:rPr>
              <w:t xml:space="preserve">既存JEPX spotの当該エリア価格</w:t>
            </w:r>
          </w:p>
        </w:tc>
        <w:tc>
          <w:tcPr>
            <w:tcW w:w="3366" w:type="dxa"/>
          </w:tcPr>
          <w:p>
            <w:pPr>
              <w:spacing w:after="90" w:line="300" w:lineRule="auto"/>
            </w:pPr>
            <w:r>
              <w:rPr>
                <w:rFonts w:ascii="Calibri" w:eastAsia="游ゴシック"/>
                <w:sz w:val="18"/>
              </w:rPr>
              <w:t xml:space="preserve">円/kWh。感応度基準と別</w:t>
            </w:r>
          </w:p>
        </w:tc>
      </w:tr>
    </w:tbl>
    <w:p>
      <w:pPr>
        <w:spacing w:after="90" w:line="300" w:lineRule="auto"/>
      </w:pPr>
      <w:r>
        <w:rPr>
          <w:rFonts w:ascii="Calibri" w:eastAsia="游ゴシック"/>
          <w:sz w:val="6"/>
        </w:rPr>
        <w:t xml:space="preserve"/>
      </w:r>
    </w:p>
    <w:p>
      <w:pPr>
        <w:spacing w:after="90" w:line="300" w:lineRule="auto"/>
      </w:pPr>
      <w:r>
        <w:rPr>
          <w:rFonts w:ascii="Calibri" w:eastAsia="游ゴシック"/>
          <w:sz w:val="21"/>
        </w:rPr>
        <w:t xml:space="preserve">- FY2025：2025年4月1日〜2026年3月31日、17,520コマ。D/Rは157,680地域時刻で整備。</w:t>
      </w:r>
    </w:p>
    <w:p>
      <w:pPr>
        <w:spacing w:after="90" w:line="300" w:lineRule="auto"/>
      </w:pPr>
      <w:r>
        <w:rPr>
          <w:rFonts w:ascii="Calibri" w:eastAsia="游ゴシック"/>
          <w:sz w:val="21"/>
        </w:rPr>
        <w:t xml:space="preserve">- 供給は374調整候補のうち各時刻に上限を定義できる部分。固定原子力を調整側から分離。未知能力を0と認定しない。</w:t>
      </w:r>
    </w:p>
    <w:p>
      <w:pPr>
        <w:spacing w:after="90" w:line="300" w:lineRule="auto"/>
      </w:pPr>
      <w:r>
        <w:rPr>
          <w:rFonts w:ascii="Calibri" w:eastAsia="游ゴシック"/>
          <w:sz w:val="21"/>
        </w:rPr>
        <w:t xml:space="preserve">- 9地域を同時に扱う理由：例えば東北で30MW不足し、東京で30MWを出せても、それが東京自身の需要を満たした後の供給か確認する必要がある。他地域の需要を犠牲にしない割当てを全地域で検査する。この30MWは説明用人工例である。</w:t>
      </w:r>
    </w:p>
    <w:p>
      <w:pPr>
        <w:spacing w:after="90" w:line="300" w:lineRule="auto"/>
      </w:pPr>
      <w:r>
        <w:rPr>
          <w:rFonts w:ascii="Calibri" w:eastAsia="游ゴシック"/>
          <w:sz w:val="21"/>
        </w:rPr>
        <w:t xml:space="preserve">- JERAは一法人として東京・中部等の該当調整供給を同時に除き、東京と中部の評価地域は分ける。制度上の10法人・11対は変更せず、EP・ミライズの契約供給力は未評価。</w:t>
      </w:r>
    </w:p>
    <w:p>
      <w:pPr>
        <w:spacing w:after="90" w:line="300" w:lineRule="auto"/>
      </w:pPr>
      <w:r>
        <w:rPr>
          <w:rFonts w:ascii="Calibri" w:eastAsia="游ゴシック"/>
          <w:sz w:val="21"/>
        </w:rPr>
        <w:t xml:space="preserve">- 室蘭100MW・釧路112MWを含む版を統一使用。容量の発電端／送電端・卸供給範囲が統一済みとはしない。</w:t>
      </w:r>
    </w:p>
    <w:p>
      <w:pPr>
        <w:spacing w:after="90" w:line="300" w:lineRule="auto"/>
        <w:keepNext/>
        <w:outlineLvl w:val="1"/>
      </w:pPr>
      <w:r>
        <w:rPr>
          <w:rFonts w:ascii="Calibri" w:eastAsia="游ゴシック"/>
          <w:sz w:val="24"/>
          <w:b/>
          <w:color w:val="173F5F"/>
        </w:rPr>
        <w:t xml:space="preserve">算定する二つの問題</w:t>
      </w:r>
    </w:p>
    <w:p>
      <w:pPr>
        <w:spacing w:after="90" w:line="300" w:lineRule="auto"/>
      </w:pPr>
      <w:r>
        <w:rPr>
          <w:rFonts w:ascii="Calibri" w:eastAsia="游ゴシック"/>
          <w:sz w:val="21"/>
        </w:rPr>
        <w:t xml:space="preserve">- 主評価：g + Af = N、0 ≤ g ≤ V、L ≤ Cf ≤ H を満たすg・fの存在。Vは全法人上限、または対象法人分を除いた同条件の上限。</w:t>
      </w:r>
    </w:p>
    <w:p>
      <w:pPr>
        <w:spacing w:after="90" w:line="300" w:lineRule="auto"/>
      </w:pPr>
      <w:r>
        <w:rPr>
          <w:rFonts w:ascii="Calibri" w:eastAsia="游ゴシック"/>
          <w:sz w:val="21"/>
        </w:rPr>
        <w:t xml:space="preserve">- 補助評価：対象地域rだけg_r + (Af)_r = λN_rとしてλを最大化。他地域N、固定R、上限、送電条件は固定。N_r ≤ 0は通常倍率を保留。</w:t>
      </w:r>
    </w:p>
    <w:p>
      <w:pPr>
        <w:spacing w:after="90" w:line="300" w:lineRule="auto"/>
      </w:pPr>
      <w:r>
        <w:rPr>
          <w:rFonts w:ascii="Calibri" w:eastAsia="游ゴシック"/>
          <w:sz w:val="21"/>
        </w:rPr>
        <w:t xml:space="preserve">- 有効な最大倍率1.5は、他地域Nを守りながら対象地域Nを最大1.5倍まで満たす割当てがあることを表す。企業の価格影響や利益、実際の他社反応の強さを測った値ではない。</w:t>
      </w:r>
    </w:p>
    <w:p>
      <w:pPr>
        <w:spacing w:after="90" w:line="300" w:lineRule="auto"/>
      </w:pPr>
      <w:r>
        <w:rPr>
          <w:rFonts w:ascii="Calibri" w:eastAsia="游ゴシック"/>
          <w:sz w:val="21"/>
        </w:rPr>
        <w:t xml:space="preserve">- 元需要の成立は独立に検査する。最大λ ≥ 1だけから成立と判定しない。診断用過不足変数は本計算へ混ぜない。</w:t>
      </w:r>
    </w:p>
    <w:p>
      <w:pPr>
        <w:spacing w:after="90" w:line="300" w:lineRule="auto"/>
      </w:pPr>
      <w:r>
        <w:rPr>
          <w:rFonts w:ascii="Calibri" w:eastAsia="游ゴシック"/>
          <w:sz w:val="21"/>
        </w:rPr>
        <w:t xml:space="preserve">- 地域輸送モデルでありPTDF潮流モデルではない。原TCRSIは全母線需要に共通倍率を掛けるため、今回の局所倍率とは異なる。</w:t>
      </w:r>
    </w:p>
    <w:p>
      <w:pPr>
        <w:spacing w:after="90" w:line="300" w:lineRule="auto"/>
      </w:pPr>
      <w:r>
        <w:rPr>
          <w:rFonts w:ascii="Calibri" w:eastAsia="游ゴシック"/>
          <w:sz w:val="21"/>
        </w:rPr>
        <w:t xml:space="preserve">図1の位置：次ページに9地域接続・北陸拡大・切替前後の方法図を挿入する。</w:t>
      </w:r>
    </w:p>
    <w:p>
      <w:r>
        <w:br w:type="page"/>
      </w:r>
    </w:p>
    <w:p>
      <w:pPr>
        <w:spacing w:after="90" w:line="300" w:lineRule="auto"/>
        <w:keepNext/>
        <w:outlineLvl w:val="1"/>
      </w:pPr>
      <w:r>
        <w:rPr>
          <w:rFonts w:ascii="Calibri" w:eastAsia="游ゴシック"/>
          <w:sz w:val="24"/>
          <w:b/>
          <w:color w:val="173F5F"/>
        </w:rPr>
        <w:t xml:space="preserve">図1案：評価モデルと送電制約のかけ方</w:t>
      </w:r>
    </w:p>
    <w:p>
      <w:r>
        <w:drawing>
          <wp:inline>
            <wp:extent cx="6400800" cy="5798371"/>
            <wp:docPr id="1" name="01_method_readable"/>
            <a:graphic>
              <a:graphicData uri="http://schemas.openxmlformats.org/drawingml/2006/picture">
                <pic:pic>
                  <pic:nvPicPr>
                    <pic:cNvPr id="1" name="01_method_readable.png"/>
                    <pic:cNvPicPr/>
                  </pic:nvPicPr>
                  <pic:blipFill>
                    <a:blip r:embed="rIdImage1"/>
                    <a:stretch>
                      <a:fillRect/>
                    </a:stretch>
                  </pic:blipFill>
                  <pic:spPr>
                    <a:xfrm>
                      <a:off x="0" y="0"/>
                      <a:ext cx="6400800" cy="5798371"/>
                    </a:xfrm>
                    <a:prstGeom prst="rect">
                      <a:avLst/>
                    </a:prstGeom>
                  </pic:spPr>
                </pic:pic>
              </a:graphicData>
            </a:graphic>
          </wp:inline>
        </w:drawing>
      </w:r>
    </w:p>
    <w:p>
      <w:pPr>
        <w:spacing w:after="90" w:line="300" w:lineRule="auto"/>
      </w:pPr>
      <w:r>
        <w:rPr>
          <w:rFonts w:ascii="Calibri" w:eastAsia="游ゴシック"/>
          <w:sz w:val="21"/>
        </w:rPr>
        <w:t xml:space="preserve">- 読ませたい点：固定Rは残す。対象法人の調整上限のみ全地域から除く。9地域の接続は切断しない。</w:t>
      </w:r>
    </w:p>
    <w:p>
      <w:pPr>
        <w:spacing w:after="90" w:line="300" w:lineRule="auto"/>
      </w:pPr>
      <w:r>
        <w:rPr>
          <w:rFonts w:ascii="Calibri" w:eastAsia="游ゴシック"/>
          <w:sz w:val="21"/>
        </w:rPr>
        <w:t xml:space="preserve">- 北陸では同じ移送変数S・Eに個別包絡とフェンスS−Eを同時適用する。図中の±100・±60MW等は説明用の人工値であり実線容量ではない。</w:t>
      </w:r>
    </w:p>
    <w:p>
      <w:pPr>
        <w:spacing w:after="90" w:line="300" w:lineRule="auto"/>
      </w:pPr>
      <w:r>
        <w:rPr>
          <w:rFonts w:ascii="Calibri" w:eastAsia="游ゴシック"/>
          <w:sz w:val="21"/>
        </w:rPr>
        <w:t xml:space="preserve">- 切替前16,608コマと新フェンスが揃う864コマは別契約。旧中央3区間と新フェンスを独立能力として重ねない。</w:t>
      </w:r>
    </w:p>
    <w:p>
      <w:pPr>
        <w:spacing w:after="90" w:line="300" w:lineRule="auto"/>
      </w:pPr>
      <w:r>
        <w:rPr>
          <w:rFonts w:ascii="Calibri" w:eastAsia="游ゴシック"/>
          <w:sz w:val="21"/>
        </w:rPr>
        <w:t xml:space="preserve">- 2026年3月13日の48コマは入力保留。保存表への適用範囲と物理的切替完了時刻を区別する。</w:t>
      </w:r>
    </w:p>
    <w:p>
      <w:pPr>
        <w:spacing w:after="90" w:line="300" w:lineRule="auto"/>
      </w:pPr>
      <w:r>
        <w:rPr>
          <w:rFonts w:ascii="Calibri" w:eastAsia="游ゴシック"/>
          <w:sz w:val="21"/>
        </w:rPr>
        <w:t xml:space="preserve">- 包絡ありは保存C−M−Wを維持する限定シナリオB。解除比較は同じ接続・D/R/Uから包絡だけを外す。</w:t>
      </w:r>
    </w:p>
    <w:p>
      <w:pPr>
        <w:spacing w:after="90" w:line="300" w:lineRule="auto"/>
      </w:pPr>
      <w:r>
        <w:rPr>
          <w:rFonts w:ascii="Calibri" w:eastAsia="游ゴシック"/>
          <w:sz w:val="21"/>
        </w:rPr>
        <w:t xml:space="preserve">出典：工程28の既存図。係数・元行・公式切替根拠はdocs/annual_diagnostic.md、定式化はdocs/central_spec_audit.md。</w:t>
      </w:r>
    </w:p>
    <w:p>
      <w:r>
        <w:br w:type="page"/>
      </w:r>
    </w:p>
    <w:p>
      <w:pPr>
        <w:spacing w:after="90" w:line="300" w:lineRule="auto"/>
        <w:keepNext/>
        <w:outlineLvl w:val="0"/>
      </w:pPr>
      <w:r>
        <w:rPr>
          <w:rFonts w:ascii="Calibri" w:eastAsia="游ゴシック"/>
          <w:sz w:val="29"/>
          <w:b/>
          <w:color w:val="173F5F"/>
        </w:rPr>
        <w:t xml:space="preserve">4．年間診断結果：保存送電枠による代替可能性の違い</w:t>
      </w:r>
    </w:p>
    <w:p>
      <w:pPr>
        <w:spacing w:after="90" w:line="300" w:lineRule="auto"/>
      </w:pPr>
      <w:r>
        <w:rPr>
          <w:rFonts w:ascii="Calibri" w:eastAsia="游ゴシック"/>
          <w:sz w:val="21"/>
        </w:rPr>
        <w:t xml:space="preserve">核となる文章：共通16,848コマでは、保存送電枠下の不成立が枠解除によって成立へ変わる頻度は、北海道・北陸・JERA・九州で大きく、中国・四国等では小さい。</w:t>
      </w:r>
    </w:p>
    <w:p>
      <w:pPr>
        <w:spacing w:after="90" w:line="300" w:lineRule="auto"/>
        <w:keepNext/>
        <w:outlineLvl w:val="1"/>
      </w:pPr>
      <w:r>
        <w:rPr>
          <w:rFonts w:ascii="Calibri" w:eastAsia="游ゴシック"/>
          <w:sz w:val="24"/>
          <w:b/>
          <w:color w:val="173F5F"/>
        </w:rPr>
        <w:t xml:space="preserve">表2案：同じ時刻・同じ供給条件の排他的3区分</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2525"/>
        <w:gridCol w:w="2525"/>
        <w:gridCol w:w="2525"/>
        <w:gridCol w:w="2525"/>
      </w:tblGrid>
      <w:tr>
        <w:trPr>
          <w:cantSplit/>
          <w:tblHeader/>
        </w:trPr>
        <w:tc>
          <w:tcPr>
            <w:tcW w:w="2525" w:type="dxa"/>
            <w:shd w:fill="E8EFF5"/>
          </w:tcPr>
          <w:p>
            <w:pPr>
              <w:spacing w:after="90" w:line="300" w:lineRule="auto"/>
            </w:pPr>
            <w:r>
              <w:rPr>
                <w:rFonts w:ascii="Calibri" w:eastAsia="游ゴシック"/>
                <w:sz w:val="18"/>
              </w:rPr>
              <w:t xml:space="preserve">除去する法人代理</w:t>
            </w:r>
          </w:p>
        </w:tc>
        <w:tc>
          <w:tcPr>
            <w:tcW w:w="2525" w:type="dxa"/>
            <w:shd w:fill="E8EFF5"/>
          </w:tcPr>
          <w:p>
            <w:pPr>
              <w:spacing w:after="90" w:line="300" w:lineRule="auto"/>
            </w:pPr>
            <w:r>
              <w:rPr>
                <w:rFonts w:ascii="Calibri" w:eastAsia="游ゴシック"/>
                <w:sz w:val="18"/>
              </w:rPr>
              <w:t xml:space="preserve">保存枠でも成立</w:t>
            </w:r>
          </w:p>
        </w:tc>
        <w:tc>
          <w:tcPr>
            <w:tcW w:w="2525" w:type="dxa"/>
            <w:shd w:fill="E8EFF5"/>
          </w:tcPr>
          <w:p>
            <w:pPr>
              <w:spacing w:after="90" w:line="300" w:lineRule="auto"/>
            </w:pPr>
            <w:r>
              <w:rPr>
                <w:rFonts w:ascii="Calibri" w:eastAsia="游ゴシック"/>
                <w:sz w:val="18"/>
              </w:rPr>
              <w:t xml:space="preserve">解除で成立</w:t>
            </w:r>
          </w:p>
        </w:tc>
        <w:tc>
          <w:tcPr>
            <w:tcW w:w="2525" w:type="dxa"/>
            <w:shd w:fill="E8EFF5"/>
          </w:tcPr>
          <w:p>
            <w:pPr>
              <w:spacing w:after="90" w:line="300" w:lineRule="auto"/>
            </w:pPr>
            <w:r>
              <w:rPr>
                <w:rFonts w:ascii="Calibri" w:eastAsia="游ゴシック"/>
                <w:sz w:val="18"/>
              </w:rPr>
              <w:t xml:space="preserve">解除でも不成立</w:t>
            </w:r>
          </w:p>
        </w:tc>
      </w:tr>
      <w:tr>
        <w:trPr>
          <w:cantSplit/>
        </w:trPr>
        <w:tc>
          <w:tcPr>
            <w:tcW w:w="2525" w:type="dxa"/>
          </w:tcPr>
          <w:p>
            <w:pPr>
              <w:spacing w:after="90" w:line="300" w:lineRule="auto"/>
            </w:pPr>
            <w:r>
              <w:rPr>
                <w:rFonts w:ascii="Calibri" w:eastAsia="游ゴシック"/>
                <w:sz w:val="18"/>
              </w:rPr>
              <w:t xml:space="preserve">北海道電力</w:t>
            </w:r>
          </w:p>
        </w:tc>
        <w:tc>
          <w:tcPr>
            <w:tcW w:w="2525" w:type="dxa"/>
          </w:tcPr>
          <w:p>
            <w:pPr>
              <w:spacing w:after="90" w:line="300" w:lineRule="auto"/>
            </w:pPr>
            <w:r>
              <w:rPr>
                <w:rFonts w:ascii="Calibri" w:eastAsia="游ゴシック"/>
                <w:sz w:val="18"/>
              </w:rPr>
              <w:t xml:space="preserve">37（0.22%）</w:t>
            </w:r>
          </w:p>
        </w:tc>
        <w:tc>
          <w:tcPr>
            <w:tcW w:w="2525" w:type="dxa"/>
          </w:tcPr>
          <w:p>
            <w:pPr>
              <w:spacing w:after="90" w:line="300" w:lineRule="auto"/>
            </w:pPr>
            <w:r>
              <w:rPr>
                <w:rFonts w:ascii="Calibri" w:eastAsia="游ゴシック"/>
                <w:sz w:val="18"/>
              </w:rPr>
              <w:t xml:space="preserve">16,811（99.78%）</w:t>
            </w:r>
          </w:p>
        </w:tc>
        <w:tc>
          <w:tcPr>
            <w:tcW w:w="2525" w:type="dxa"/>
          </w:tcPr>
          <w:p>
            <w:pPr>
              <w:spacing w:after="90" w:line="300" w:lineRule="auto"/>
            </w:pPr>
            <w:r>
              <w:rPr>
                <w:rFonts w:ascii="Calibri" w:eastAsia="游ゴシック"/>
                <w:sz w:val="18"/>
              </w:rPr>
              <w:t xml:space="preserve">0（0.00%）</w:t>
            </w:r>
          </w:p>
        </w:tc>
      </w:tr>
      <w:tr>
        <w:trPr>
          <w:cantSplit/>
        </w:trPr>
        <w:tc>
          <w:tcPr>
            <w:tcW w:w="2525" w:type="dxa"/>
          </w:tcPr>
          <w:p>
            <w:pPr>
              <w:spacing w:after="90" w:line="300" w:lineRule="auto"/>
            </w:pPr>
            <w:r>
              <w:rPr>
                <w:rFonts w:ascii="Calibri" w:eastAsia="游ゴシック"/>
                <w:sz w:val="18"/>
              </w:rPr>
              <w:t xml:space="preserve">東北電力</w:t>
            </w:r>
          </w:p>
        </w:tc>
        <w:tc>
          <w:tcPr>
            <w:tcW w:w="2525" w:type="dxa"/>
          </w:tcPr>
          <w:p>
            <w:pPr>
              <w:spacing w:after="90" w:line="300" w:lineRule="auto"/>
            </w:pPr>
            <w:r>
              <w:rPr>
                <w:rFonts w:ascii="Calibri" w:eastAsia="游ゴシック"/>
                <w:sz w:val="18"/>
              </w:rPr>
              <w:t xml:space="preserve">15,646（92.87%）</w:t>
            </w:r>
          </w:p>
        </w:tc>
        <w:tc>
          <w:tcPr>
            <w:tcW w:w="2525" w:type="dxa"/>
          </w:tcPr>
          <w:p>
            <w:pPr>
              <w:spacing w:after="90" w:line="300" w:lineRule="auto"/>
            </w:pPr>
            <w:r>
              <w:rPr>
                <w:rFonts w:ascii="Calibri" w:eastAsia="游ゴシック"/>
                <w:sz w:val="18"/>
              </w:rPr>
              <w:t xml:space="preserve">1,202（7.13%）</w:t>
            </w:r>
          </w:p>
        </w:tc>
        <w:tc>
          <w:tcPr>
            <w:tcW w:w="2525" w:type="dxa"/>
          </w:tcPr>
          <w:p>
            <w:pPr>
              <w:spacing w:after="90" w:line="300" w:lineRule="auto"/>
            </w:pPr>
            <w:r>
              <w:rPr>
                <w:rFonts w:ascii="Calibri" w:eastAsia="游ゴシック"/>
                <w:sz w:val="18"/>
              </w:rPr>
              <w:t xml:space="preserve">0（0.00%）</w:t>
            </w:r>
          </w:p>
        </w:tc>
      </w:tr>
      <w:tr>
        <w:trPr>
          <w:cantSplit/>
        </w:trPr>
        <w:tc>
          <w:tcPr>
            <w:tcW w:w="2525" w:type="dxa"/>
          </w:tcPr>
          <w:p>
            <w:pPr>
              <w:spacing w:after="90" w:line="300" w:lineRule="auto"/>
            </w:pPr>
            <w:r>
              <w:rPr>
                <w:rFonts w:ascii="Calibri" w:eastAsia="游ゴシック"/>
                <w:sz w:val="18"/>
              </w:rPr>
              <w:t xml:space="preserve">JERA</w:t>
            </w:r>
          </w:p>
        </w:tc>
        <w:tc>
          <w:tcPr>
            <w:tcW w:w="2525" w:type="dxa"/>
          </w:tcPr>
          <w:p>
            <w:pPr>
              <w:spacing w:after="90" w:line="300" w:lineRule="auto"/>
            </w:pPr>
            <w:r>
              <w:rPr>
                <w:rFonts w:ascii="Calibri" w:eastAsia="游ゴシック"/>
                <w:sz w:val="18"/>
              </w:rPr>
              <w:t xml:space="preserve">767（4.55%）</w:t>
            </w:r>
          </w:p>
        </w:tc>
        <w:tc>
          <w:tcPr>
            <w:tcW w:w="2525" w:type="dxa"/>
          </w:tcPr>
          <w:p>
            <w:pPr>
              <w:spacing w:after="90" w:line="300" w:lineRule="auto"/>
            </w:pPr>
            <w:r>
              <w:rPr>
                <w:rFonts w:ascii="Calibri" w:eastAsia="游ゴシック"/>
                <w:sz w:val="18"/>
              </w:rPr>
              <w:t xml:space="preserve">14,220（84.40%）</w:t>
            </w:r>
          </w:p>
        </w:tc>
        <w:tc>
          <w:tcPr>
            <w:tcW w:w="2525" w:type="dxa"/>
          </w:tcPr>
          <w:p>
            <w:pPr>
              <w:spacing w:after="90" w:line="300" w:lineRule="auto"/>
            </w:pPr>
            <w:r>
              <w:rPr>
                <w:rFonts w:ascii="Calibri" w:eastAsia="游ゴシック"/>
                <w:sz w:val="18"/>
              </w:rPr>
              <w:t xml:space="preserve">1,861（11.05%）</w:t>
            </w:r>
          </w:p>
        </w:tc>
      </w:tr>
      <w:tr>
        <w:trPr>
          <w:cantSplit/>
        </w:trPr>
        <w:tc>
          <w:tcPr>
            <w:tcW w:w="2525" w:type="dxa"/>
          </w:tcPr>
          <w:p>
            <w:pPr>
              <w:spacing w:after="90" w:line="300" w:lineRule="auto"/>
            </w:pPr>
            <w:r>
              <w:rPr>
                <w:rFonts w:ascii="Calibri" w:eastAsia="游ゴシック"/>
                <w:sz w:val="18"/>
              </w:rPr>
              <w:t xml:space="preserve">北陸電力</w:t>
            </w:r>
          </w:p>
        </w:tc>
        <w:tc>
          <w:tcPr>
            <w:tcW w:w="2525" w:type="dxa"/>
          </w:tcPr>
          <w:p>
            <w:pPr>
              <w:spacing w:after="90" w:line="300" w:lineRule="auto"/>
            </w:pPr>
            <w:r>
              <w:rPr>
                <w:rFonts w:ascii="Calibri" w:eastAsia="游ゴシック"/>
                <w:sz w:val="18"/>
              </w:rPr>
              <w:t xml:space="preserve">127（0.75%）</w:t>
            </w:r>
          </w:p>
        </w:tc>
        <w:tc>
          <w:tcPr>
            <w:tcW w:w="2525" w:type="dxa"/>
          </w:tcPr>
          <w:p>
            <w:pPr>
              <w:spacing w:after="90" w:line="300" w:lineRule="auto"/>
            </w:pPr>
            <w:r>
              <w:rPr>
                <w:rFonts w:ascii="Calibri" w:eastAsia="游ゴシック"/>
                <w:sz w:val="18"/>
              </w:rPr>
              <w:t xml:space="preserve">16,721（99.25%）</w:t>
            </w:r>
          </w:p>
        </w:tc>
        <w:tc>
          <w:tcPr>
            <w:tcW w:w="2525" w:type="dxa"/>
          </w:tcPr>
          <w:p>
            <w:pPr>
              <w:spacing w:after="90" w:line="300" w:lineRule="auto"/>
            </w:pPr>
            <w:r>
              <w:rPr>
                <w:rFonts w:ascii="Calibri" w:eastAsia="游ゴシック"/>
                <w:sz w:val="18"/>
              </w:rPr>
              <w:t xml:space="preserve">0（0.00%）</w:t>
            </w:r>
          </w:p>
        </w:tc>
      </w:tr>
      <w:tr>
        <w:trPr>
          <w:cantSplit/>
        </w:trPr>
        <w:tc>
          <w:tcPr>
            <w:tcW w:w="2525" w:type="dxa"/>
          </w:tcPr>
          <w:p>
            <w:pPr>
              <w:spacing w:after="90" w:line="300" w:lineRule="auto"/>
            </w:pPr>
            <w:r>
              <w:rPr>
                <w:rFonts w:ascii="Calibri" w:eastAsia="游ゴシック"/>
                <w:sz w:val="18"/>
              </w:rPr>
              <w:t xml:space="preserve">関西電力</w:t>
            </w:r>
          </w:p>
        </w:tc>
        <w:tc>
          <w:tcPr>
            <w:tcW w:w="2525" w:type="dxa"/>
          </w:tcPr>
          <w:p>
            <w:pPr>
              <w:spacing w:after="90" w:line="300" w:lineRule="auto"/>
            </w:pPr>
            <w:r>
              <w:rPr>
                <w:rFonts w:ascii="Calibri" w:eastAsia="游ゴシック"/>
                <w:sz w:val="18"/>
              </w:rPr>
              <w:t xml:space="preserve">13,698（81.30%）</w:t>
            </w:r>
          </w:p>
        </w:tc>
        <w:tc>
          <w:tcPr>
            <w:tcW w:w="2525" w:type="dxa"/>
          </w:tcPr>
          <w:p>
            <w:pPr>
              <w:spacing w:after="90" w:line="300" w:lineRule="auto"/>
            </w:pPr>
            <w:r>
              <w:rPr>
                <w:rFonts w:ascii="Calibri" w:eastAsia="游ゴシック"/>
                <w:sz w:val="18"/>
              </w:rPr>
              <w:t xml:space="preserve">3,117（18.50%）</w:t>
            </w:r>
          </w:p>
        </w:tc>
        <w:tc>
          <w:tcPr>
            <w:tcW w:w="2525" w:type="dxa"/>
          </w:tcPr>
          <w:p>
            <w:pPr>
              <w:spacing w:after="90" w:line="300" w:lineRule="auto"/>
            </w:pPr>
            <w:r>
              <w:rPr>
                <w:rFonts w:ascii="Calibri" w:eastAsia="游ゴシック"/>
                <w:sz w:val="18"/>
              </w:rPr>
              <w:t xml:space="preserve">33（0.20%）</w:t>
            </w:r>
          </w:p>
        </w:tc>
      </w:tr>
      <w:tr>
        <w:trPr>
          <w:cantSplit/>
        </w:trPr>
        <w:tc>
          <w:tcPr>
            <w:tcW w:w="2525" w:type="dxa"/>
          </w:tcPr>
          <w:p>
            <w:pPr>
              <w:spacing w:after="90" w:line="300" w:lineRule="auto"/>
            </w:pPr>
            <w:r>
              <w:rPr>
                <w:rFonts w:ascii="Calibri" w:eastAsia="游ゴシック"/>
                <w:sz w:val="18"/>
              </w:rPr>
              <w:t xml:space="preserve">中国電力</w:t>
            </w:r>
          </w:p>
        </w:tc>
        <w:tc>
          <w:tcPr>
            <w:tcW w:w="2525" w:type="dxa"/>
          </w:tcPr>
          <w:p>
            <w:pPr>
              <w:spacing w:after="90" w:line="300" w:lineRule="auto"/>
            </w:pPr>
            <w:r>
              <w:rPr>
                <w:rFonts w:ascii="Calibri" w:eastAsia="游ゴシック"/>
                <w:sz w:val="18"/>
              </w:rPr>
              <w:t xml:space="preserve">16,824（99.86%）</w:t>
            </w:r>
          </w:p>
        </w:tc>
        <w:tc>
          <w:tcPr>
            <w:tcW w:w="2525" w:type="dxa"/>
          </w:tcPr>
          <w:p>
            <w:pPr>
              <w:spacing w:after="90" w:line="300" w:lineRule="auto"/>
            </w:pPr>
            <w:r>
              <w:rPr>
                <w:rFonts w:ascii="Calibri" w:eastAsia="游ゴシック"/>
                <w:sz w:val="18"/>
              </w:rPr>
              <w:t xml:space="preserve">24（0.14%）</w:t>
            </w:r>
          </w:p>
        </w:tc>
        <w:tc>
          <w:tcPr>
            <w:tcW w:w="2525" w:type="dxa"/>
          </w:tcPr>
          <w:p>
            <w:pPr>
              <w:spacing w:after="90" w:line="300" w:lineRule="auto"/>
            </w:pPr>
            <w:r>
              <w:rPr>
                <w:rFonts w:ascii="Calibri" w:eastAsia="游ゴシック"/>
                <w:sz w:val="18"/>
              </w:rPr>
              <w:t xml:space="preserve">0（0.00%）</w:t>
            </w:r>
          </w:p>
        </w:tc>
      </w:tr>
      <w:tr>
        <w:trPr>
          <w:cantSplit/>
        </w:trPr>
        <w:tc>
          <w:tcPr>
            <w:tcW w:w="2525" w:type="dxa"/>
          </w:tcPr>
          <w:p>
            <w:pPr>
              <w:spacing w:after="90" w:line="300" w:lineRule="auto"/>
            </w:pPr>
            <w:r>
              <w:rPr>
                <w:rFonts w:ascii="Calibri" w:eastAsia="游ゴシック"/>
                <w:sz w:val="18"/>
              </w:rPr>
              <w:t xml:space="preserve">四国電力</w:t>
            </w:r>
          </w:p>
        </w:tc>
        <w:tc>
          <w:tcPr>
            <w:tcW w:w="2525" w:type="dxa"/>
          </w:tcPr>
          <w:p>
            <w:pPr>
              <w:spacing w:after="90" w:line="300" w:lineRule="auto"/>
            </w:pPr>
            <w:r>
              <w:rPr>
                <w:rFonts w:ascii="Calibri" w:eastAsia="游ゴシック"/>
                <w:sz w:val="18"/>
              </w:rPr>
              <w:t xml:space="preserve">16,366（97.14%）</w:t>
            </w:r>
          </w:p>
        </w:tc>
        <w:tc>
          <w:tcPr>
            <w:tcW w:w="2525" w:type="dxa"/>
          </w:tcPr>
          <w:p>
            <w:pPr>
              <w:spacing w:after="90" w:line="300" w:lineRule="auto"/>
            </w:pPr>
            <w:r>
              <w:rPr>
                <w:rFonts w:ascii="Calibri" w:eastAsia="游ゴシック"/>
                <w:sz w:val="18"/>
              </w:rPr>
              <w:t xml:space="preserve">482（2.86%）</w:t>
            </w:r>
          </w:p>
        </w:tc>
        <w:tc>
          <w:tcPr>
            <w:tcW w:w="2525" w:type="dxa"/>
          </w:tcPr>
          <w:p>
            <w:pPr>
              <w:spacing w:after="90" w:line="300" w:lineRule="auto"/>
            </w:pPr>
            <w:r>
              <w:rPr>
                <w:rFonts w:ascii="Calibri" w:eastAsia="游ゴシック"/>
                <w:sz w:val="18"/>
              </w:rPr>
              <w:t xml:space="preserve">0（0.00%）</w:t>
            </w:r>
          </w:p>
        </w:tc>
      </w:tr>
      <w:tr>
        <w:trPr>
          <w:cantSplit/>
        </w:trPr>
        <w:tc>
          <w:tcPr>
            <w:tcW w:w="2525" w:type="dxa"/>
          </w:tcPr>
          <w:p>
            <w:pPr>
              <w:spacing w:after="90" w:line="300" w:lineRule="auto"/>
            </w:pPr>
            <w:r>
              <w:rPr>
                <w:rFonts w:ascii="Calibri" w:eastAsia="游ゴシック"/>
                <w:sz w:val="18"/>
              </w:rPr>
              <w:t xml:space="preserve">九州電力</w:t>
            </w:r>
          </w:p>
        </w:tc>
        <w:tc>
          <w:tcPr>
            <w:tcW w:w="2525" w:type="dxa"/>
          </w:tcPr>
          <w:p>
            <w:pPr>
              <w:spacing w:after="90" w:line="300" w:lineRule="auto"/>
            </w:pPr>
            <w:r>
              <w:rPr>
                <w:rFonts w:ascii="Calibri" w:eastAsia="游ゴシック"/>
                <w:sz w:val="18"/>
              </w:rPr>
              <w:t xml:space="preserve">3,894（23.11%）</w:t>
            </w:r>
          </w:p>
        </w:tc>
        <w:tc>
          <w:tcPr>
            <w:tcW w:w="2525" w:type="dxa"/>
          </w:tcPr>
          <w:p>
            <w:pPr>
              <w:spacing w:after="90" w:line="300" w:lineRule="auto"/>
            </w:pPr>
            <w:r>
              <w:rPr>
                <w:rFonts w:ascii="Calibri" w:eastAsia="游ゴシック"/>
                <w:sz w:val="18"/>
              </w:rPr>
              <w:t xml:space="preserve">12,953（76.88%）</w:t>
            </w:r>
          </w:p>
        </w:tc>
        <w:tc>
          <w:tcPr>
            <w:tcW w:w="2525" w:type="dxa"/>
          </w:tcPr>
          <w:p>
            <w:pPr>
              <w:spacing w:after="90" w:line="300" w:lineRule="auto"/>
            </w:pPr>
            <w:r>
              <w:rPr>
                <w:rFonts w:ascii="Calibri" w:eastAsia="游ゴシック"/>
                <w:sz w:val="18"/>
              </w:rPr>
              <w:t xml:space="preserve">1（0.01%）</w:t>
            </w:r>
          </w:p>
        </w:tc>
      </w:tr>
    </w:tbl>
    <w:p>
      <w:pPr>
        <w:spacing w:after="90" w:line="300" w:lineRule="auto"/>
      </w:pPr>
      <w:r>
        <w:rPr>
          <w:rFonts w:ascii="Calibri" w:eastAsia="游ゴシック"/>
          <w:sz w:val="6"/>
        </w:rPr>
        <w:t xml:space="preserve"/>
      </w:r>
    </w:p>
    <w:p>
      <w:pPr>
        <w:spacing w:after="90" w:line="300" w:lineRule="auto"/>
      </w:pPr>
      <w:r>
        <w:rPr>
          <w:rFonts w:ascii="Calibri" w:eastAsia="游ゴシック"/>
          <w:sz w:val="21"/>
        </w:rPr>
        <w:t xml:space="preserve">- 説明用条件は停止控除なし。分母は両送電条件で全法人成立の同じ16,848時刻。除去後の判定・価格によって選んでいない。</w:t>
      </w:r>
    </w:p>
    <w:p>
      <w:pPr>
        <w:spacing w:after="90" w:line="300" w:lineRule="auto"/>
      </w:pPr>
      <w:r>
        <w:rPr>
          <w:rFonts w:ascii="Calibri" w:eastAsia="游ゴシック"/>
          <w:sz w:val="21"/>
        </w:rPr>
        <w:t xml:space="preserve">- 年17,520のうち全法人不成立624、送電入力保留48を除去後不成立に数えない。JERAは一法人として1回のみ集計。</w:t>
      </w:r>
    </w:p>
    <w:p>
      <w:pPr>
        <w:spacing w:after="90" w:line="300" w:lineRule="auto"/>
      </w:pPr>
      <w:r>
        <w:rPr>
          <w:rFonts w:ascii="Calibri" w:eastAsia="游ゴシック"/>
          <w:sz w:val="21"/>
        </w:rPr>
        <w:t xml:space="preserve">- 解除で成立することは、モデル上で包絡が成立可能性を制限したことを示す。どの一本を増強すればよいか、実混雑・増強便益までは示さない。</w:t>
      </w:r>
    </w:p>
    <w:p>
      <w:pPr>
        <w:spacing w:after="90" w:line="300" w:lineRule="auto"/>
      </w:pPr>
      <w:r>
        <w:rPr>
          <w:rFonts w:ascii="Calibri" w:eastAsia="游ゴシック"/>
          <w:sz w:val="21"/>
        </w:rPr>
        <w:t xml:space="preserve">東北の説明例：東北電力の名参照調整供給を除いても、共通16,848コマでは包絡なしで16,848（100%）、保存枠ありで15,646（92.87%）が全9地域同時に成立する。残る1,202（7.13%）は包絡解除で成立する。固定Rは残しており、単なる欠損除外分母でも、東北電力の全供給を消した結果でもない。</w:t>
      </w:r>
    </w:p>
    <w:p>
      <w:pPr>
        <w:spacing w:after="90" w:line="300" w:lineRule="auto"/>
        <w:keepNext/>
        <w:outlineLvl w:val="1"/>
      </w:pPr>
      <w:r>
        <w:rPr>
          <w:rFonts w:ascii="Calibri" w:eastAsia="游ゴシック"/>
          <w:sz w:val="24"/>
          <w:b/>
          <w:color w:val="173F5F"/>
        </w:rPr>
        <w:t xml:space="preserve">4.1 停止条件を変えても何が残るか</w:t>
      </w:r>
    </w:p>
    <w:p>
      <w:pPr>
        <w:spacing w:after="90" w:line="300" w:lineRule="auto"/>
      </w:pPr>
      <w:r>
        <w:rPr>
          <w:rFonts w:ascii="Calibri" w:eastAsia="游ゴシック"/>
          <w:sz w:val="21"/>
        </w:rPr>
        <w:t xml:space="preserve">- 全17条件で全法人成立の共通範囲は12,265時刻。そこで除去後不成立が全条件で一致するのは北海道12,228、北陸12,138、JERA11,498、九州8,780。</w:t>
      </w:r>
    </w:p>
    <w:p>
      <w:pPr>
        <w:spacing w:after="90" w:line="300" w:lineRule="auto"/>
      </w:pPr>
      <w:r>
        <w:rPr>
          <w:rFonts w:ascii="Calibri" w:eastAsia="游ゴシック"/>
          <w:sz w:val="21"/>
        </w:rPr>
        <w:t xml:space="preserve">- 5,207時刻は全法人不成立となる条件を含む。残る48は送電入力保留。主図と分母が異なるため、単純な割合の差を停止効果としない。</w:t>
      </w:r>
    </w:p>
    <w:p>
      <w:pPr>
        <w:spacing w:after="90" w:line="300" w:lineRule="auto"/>
      </w:pPr>
      <w:r>
        <w:rPr>
          <w:rFonts w:ascii="Calibri" w:eastAsia="游ゴシック"/>
          <w:sz w:val="21"/>
        </w:rPr>
        <w:t xml:space="preserve">- 本文ではこの補足を短く記し、全8法人の17条件一致図・月別図・全statusは付録へ置く。</w:t>
      </w:r>
    </w:p>
    <w:p>
      <w:pPr>
        <w:spacing w:after="90" w:line="300" w:lineRule="auto"/>
      </w:pPr>
      <w:r>
        <w:rPr>
          <w:rFonts w:ascii="Calibri" w:eastAsia="游ゴシック"/>
          <w:sz w:val="21"/>
        </w:rPr>
        <w:t xml:space="preserve">- 例えば関西は条件依存3,260時刻があり、停止情報の扱いにかかわらない結論へ一般化しない。</w:t>
      </w:r>
    </w:p>
    <w:p>
      <w:pPr>
        <w:spacing w:after="90" w:line="300" w:lineRule="auto"/>
      </w:pPr>
      <w:r>
        <w:rPr>
          <w:rFonts w:ascii="Calibri" w:eastAsia="游ゴシック"/>
          <w:sz w:val="21"/>
        </w:rPr>
        <w:t xml:space="preserve">図2の位置：次ページの積み上げ棒グラフ。上表と同じ8法人・同じ16,848時刻を示す。</w:t>
      </w:r>
    </w:p>
    <w:p>
      <w:r>
        <w:br w:type="page"/>
      </w:r>
    </w:p>
    <w:p>
      <w:pPr>
        <w:spacing w:after="90" w:line="300" w:lineRule="auto"/>
        <w:keepNext/>
        <w:outlineLvl w:val="1"/>
      </w:pPr>
      <w:r>
        <w:rPr>
          <w:rFonts w:ascii="Calibri" w:eastAsia="游ゴシック"/>
          <w:sz w:val="24"/>
          <w:b/>
          <w:color w:val="173F5F"/>
        </w:rPr>
        <w:t xml:space="preserve">図2案：保存枠の有無による企業除去後の需要充足</w:t>
      </w:r>
    </w:p>
    <w:p>
      <w:r>
        <w:drawing>
          <wp:inline>
            <wp:extent cx="6400800" cy="4531242"/>
            <wp:docPr id="2" name="02_central_three_categories"/>
            <a:graphic>
              <a:graphicData uri="http://schemas.openxmlformats.org/drawingml/2006/picture">
                <pic:pic>
                  <pic:nvPicPr>
                    <pic:cNvPr id="2" name="02_central_three_categories.png"/>
                    <pic:cNvPicPr/>
                  </pic:nvPicPr>
                  <pic:blipFill>
                    <a:blip r:embed="rIdImage2"/>
                    <a:stretch>
                      <a:fillRect/>
                    </a:stretch>
                  </pic:blipFill>
                  <pic:spPr>
                    <a:xfrm>
                      <a:off x="0" y="0"/>
                      <a:ext cx="6400800" cy="4531242"/>
                    </a:xfrm>
                    <a:prstGeom prst="rect">
                      <a:avLst/>
                    </a:prstGeom>
                  </pic:spPr>
                </pic:pic>
              </a:graphicData>
            </a:graphic>
          </wp:inline>
        </w:drawing>
      </w:r>
    </w:p>
    <w:p>
      <w:pPr>
        <w:spacing w:after="90" w:line="300" w:lineRule="auto"/>
      </w:pPr>
      <w:r>
        <w:rPr>
          <w:rFonts w:ascii="Calibri" w:eastAsia="游ゴシック"/>
          <w:sz w:val="21"/>
        </w:rPr>
        <w:t xml:space="preserve">図注案：固定PV・風力・原子力を残し、対象法人の名参照調整供給のみを全地域から除く。停止控除なしの同一入力について、保存送電枠でも成立、保存枠で不成立だが包絡解除で成立、解除後も不成立へ排他的に分類する。分母は両送電条件で企業除去前に全法人成立の共通16,848時刻。比較対象外624＋48は別掲。実際の企業不可欠性・物理的増強効果を示さない。</w:t>
      </w:r>
    </w:p>
    <w:p>
      <w:pPr>
        <w:spacing w:after="90" w:line="300" w:lineRule="auto"/>
      </w:pPr>
      <w:r>
        <w:rPr>
          <w:rFonts w:ascii="Calibri" w:eastAsia="游ゴシック"/>
          <w:sz w:val="21"/>
        </w:rPr>
        <w:t xml:space="preserve">- この1図を主結果に据える。17条件や価格の全図を本文へ並べて中心の問いを散らさない。</w:t>
      </w:r>
    </w:p>
    <w:p>
      <w:pPr>
        <w:spacing w:after="90" w:line="300" w:lineRule="auto"/>
      </w:pPr>
      <w:r>
        <w:rPr>
          <w:rFonts w:ascii="Calibri" w:eastAsia="游ゴシック"/>
          <w:sz w:val="21"/>
        </w:rPr>
        <w:t xml:space="preserve">- JERAは東京用・中部用の別法人として重複させない。</w:t>
      </w:r>
    </w:p>
    <w:p>
      <w:pPr>
        <w:spacing w:after="90" w:line="300" w:lineRule="auto"/>
      </w:pPr>
      <w:r>
        <w:rPr>
          <w:rFonts w:ascii="Calibri" w:eastAsia="游ゴシック"/>
          <w:sz w:val="21"/>
        </w:rPr>
        <w:t xml:space="preserve">- 見やすさのために配色・凡例配置を修正済み。図の数値は既存固定集計と同じ。</w:t>
      </w:r>
    </w:p>
    <w:p>
      <w:pPr>
        <w:spacing w:after="90" w:line="300" w:lineRule="auto"/>
      </w:pPr>
      <w:r>
        <w:rPr>
          <w:rFonts w:ascii="Calibri" w:eastAsia="游ゴシック"/>
          <w:sz w:val="21"/>
        </w:rPr>
        <w:t xml:space="preserve">出典：reports/28_paper_central_result/qa/central_three_categories.csv。PNGを埋め込み、投稿用PDF/SVGは同工程のfiguresに保持。</w:t>
      </w:r>
    </w:p>
    <w:p>
      <w:r>
        <w:br w:type="page"/>
      </w:r>
    </w:p>
    <w:p>
      <w:pPr>
        <w:spacing w:after="90" w:line="300" w:lineRule="auto"/>
        <w:keepNext/>
        <w:outlineLvl w:val="0"/>
      </w:pPr>
      <w:r>
        <w:rPr>
          <w:rFonts w:ascii="Calibri" w:eastAsia="游ゴシック"/>
          <w:sz w:val="29"/>
          <w:b/>
          <w:color w:val="173F5F"/>
        </w:rPr>
        <w:t xml:space="preserve">5．代替供給の内訳と実績価格への接続</w:t>
      </w:r>
    </w:p>
    <w:p>
      <w:pPr>
        <w:spacing w:after="90" w:line="300" w:lineRule="auto"/>
        <w:keepNext/>
        <w:outlineLvl w:val="1"/>
      </w:pPr>
      <w:r>
        <w:rPr>
          <w:rFonts w:ascii="Calibri" w:eastAsia="游ゴシック"/>
          <w:sz w:val="24"/>
          <w:b/>
          <w:color w:val="173F5F"/>
        </w:rPr>
        <w:t xml:space="preserve">5.1 域内と域外の何が分かり、何が分からないか</w:t>
      </w:r>
    </w:p>
    <w:p>
      <w:pPr>
        <w:spacing w:after="90" w:line="300" w:lineRule="auto"/>
      </w:pPr>
      <w:r>
        <w:rPr>
          <w:rFonts w:ascii="Calibri" w:eastAsia="游ゴシック"/>
          <w:sz w:val="21"/>
        </w:rPr>
        <w:t xml:space="preserve">核となる文章：需要を満たす割当てが存在することと、実際にどの法人がどれだけ代替するかを特定することは異なる。</w:t>
      </w:r>
    </w:p>
    <w:p>
      <w:pPr>
        <w:spacing w:after="90" w:line="300" w:lineRule="auto"/>
      </w:pPr>
      <w:r>
        <w:rPr>
          <w:rFonts w:ascii="Calibri" w:eastAsia="游ゴシック"/>
          <w:sz w:val="21"/>
        </w:rPr>
        <w:t xml:space="preserve">- 完了：域内上限・他地域需要・送電条件を同時に課した成立検査。</w:t>
      </w:r>
    </w:p>
    <w:p>
      <w:pPr>
        <w:spacing w:after="90" w:line="300" w:lineRule="auto"/>
      </w:pPr>
      <w:r>
        <w:rPr>
          <w:rFonts w:ascii="Calibri" w:eastAsia="游ゴシック"/>
          <w:sz w:val="21"/>
        </w:rPr>
        <w:t xml:space="preserve">- 未識別：実際の代替者・供給割合。地域集約したgとfの一つの解は唯一の取引・発電計画ではない。</w:t>
      </w:r>
    </w:p>
    <w:p>
      <w:pPr>
        <w:spacing w:after="90" w:line="300" w:lineRule="auto"/>
      </w:pPr>
      <w:r>
        <w:rPr>
          <w:rFonts w:ascii="Calibri" w:eastAsia="游ゴシック"/>
          <w:sz w:val="21"/>
        </w:rPr>
        <w:t xml:space="preserve">- 地理（域内／域外）と法人群（他主要法人／その他）は別軸。制度対象外を競争的フリンジと自動認定しない。</w:t>
      </w:r>
    </w:p>
    <w:p>
      <w:pPr>
        <w:spacing w:after="90" w:line="300" w:lineRule="auto"/>
      </w:pPr>
      <w:r>
        <w:rPr>
          <w:rFonts w:ascii="Calibri" w:eastAsia="游ゴシック"/>
          <w:sz w:val="21"/>
        </w:rPr>
        <w:t xml:space="preserve">- 図3候補・未計算：元Nを満たす成立集合上で、域内他者供給と純輸入の最小・最大を図示する。横軸＝評価地域、縦軸＝MWまたは定義可能時だけNに対する比率。</w:t>
      </w:r>
    </w:p>
    <w:p>
      <w:pPr>
        <w:spacing w:after="90" w:line="300" w:lineRule="auto"/>
      </w:pPr>
      <w:r>
        <w:rPr>
          <w:rFonts w:ascii="Calibri" w:eastAsia="游ゴシック"/>
          <w:sz w:val="21"/>
        </w:rPr>
        <w:t xml:space="preserve">- これは費用仮定なしで可能範囲を示す追加設計。実際の割合ではない。N≤0・除去後不成立は別statusとし、域外法人別の到達割合まで主張しない。</w:t>
      </w:r>
    </w:p>
    <w:p>
      <w:pPr>
        <w:spacing w:after="90" w:line="300" w:lineRule="auto"/>
      </w:pPr>
      <w:r>
        <w:rPr>
          <w:rFonts w:ascii="Calibri" w:eastAsia="游ゴシック"/>
          <w:sz w:val="21"/>
        </w:rPr>
        <w:t xml:space="preserve">- 現段階では図3の架空の棒や割合を描かず、計算・採用とも未実施と表示する。</w:t>
      </w:r>
    </w:p>
    <w:p>
      <w:pPr>
        <w:spacing w:after="90" w:line="300" w:lineRule="auto"/>
        <w:keepNext/>
        <w:outlineLvl w:val="1"/>
      </w:pPr>
      <w:r>
        <w:rPr>
          <w:rFonts w:ascii="Calibri" w:eastAsia="游ゴシック"/>
          <w:sz w:val="24"/>
          <w:b/>
          <w:color w:val="173F5F"/>
        </w:rPr>
        <w:t xml:space="preserve">5.2 価格との関連：完了した記述比較</w:t>
      </w:r>
    </w:p>
    <w:p>
      <w:pPr>
        <w:spacing w:after="90" w:line="300" w:lineRule="auto"/>
      </w:pPr>
      <w:r>
        <w:rPr>
          <w:rFonts w:ascii="Calibri" w:eastAsia="游ゴシック"/>
          <w:sz w:val="21"/>
        </w:rPr>
        <w:t xml:space="preserve">核となる文章：同じ3区分に対応する実績価格は比較できるが、需要・固定供給・時間帯・季節の構成差を含む。</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3366"/>
        <w:gridCol w:w="3366"/>
        <w:gridCol w:w="3366"/>
      </w:tblGrid>
      <w:tr>
        <w:trPr>
          <w:cantSplit/>
          <w:tblHeader/>
        </w:trPr>
        <w:tc>
          <w:tcPr>
            <w:tcW w:w="3366" w:type="dxa"/>
            <w:shd w:fill="E8EFF5"/>
          </w:tcPr>
          <w:p>
            <w:pPr>
              <w:spacing w:after="90" w:line="300" w:lineRule="auto"/>
            </w:pPr>
            <w:r>
              <w:rPr>
                <w:rFonts w:ascii="Calibri" w:eastAsia="游ゴシック"/>
                <w:sz w:val="18"/>
              </w:rPr>
              <w:t xml:space="preserve">JERAの同時成立区分</w:t>
            </w:r>
          </w:p>
        </w:tc>
        <w:tc>
          <w:tcPr>
            <w:tcW w:w="3366" w:type="dxa"/>
            <w:shd w:fill="E8EFF5"/>
          </w:tcPr>
          <w:p>
            <w:pPr>
              <w:spacing w:after="90" w:line="300" w:lineRule="auto"/>
            </w:pPr>
            <w:r>
              <w:rPr>
                <w:rFonts w:ascii="Calibri" w:eastAsia="游ゴシック"/>
                <w:sz w:val="18"/>
              </w:rPr>
              <w:t xml:space="preserve">コマ数</w:t>
            </w:r>
          </w:p>
        </w:tc>
        <w:tc>
          <w:tcPr>
            <w:tcW w:w="3366" w:type="dxa"/>
            <w:shd w:fill="E8EFF5"/>
          </w:tcPr>
          <w:p>
            <w:pPr>
              <w:spacing w:after="90" w:line="300" w:lineRule="auto"/>
            </w:pPr>
            <w:r>
              <w:rPr>
                <w:rFonts w:ascii="Calibri" w:eastAsia="游ゴシック"/>
                <w:sz w:val="18"/>
              </w:rPr>
              <w:t xml:space="preserve">東京価格中央値〔円/kWh〕</w:t>
            </w:r>
          </w:p>
        </w:tc>
      </w:tr>
      <w:tr>
        <w:trPr>
          <w:cantSplit/>
        </w:trPr>
        <w:tc>
          <w:tcPr>
            <w:tcW w:w="3366" w:type="dxa"/>
          </w:tcPr>
          <w:p>
            <w:pPr>
              <w:spacing w:after="90" w:line="300" w:lineRule="auto"/>
            </w:pPr>
            <w:r>
              <w:rPr>
                <w:rFonts w:ascii="Calibri" w:eastAsia="游ゴシック"/>
                <w:sz w:val="18"/>
              </w:rPr>
              <w:t xml:space="preserve">保存枠でも成立</w:t>
            </w:r>
          </w:p>
        </w:tc>
        <w:tc>
          <w:tcPr>
            <w:tcW w:w="3366" w:type="dxa"/>
          </w:tcPr>
          <w:p>
            <w:pPr>
              <w:spacing w:after="90" w:line="300" w:lineRule="auto"/>
            </w:pPr>
            <w:r>
              <w:rPr>
                <w:rFonts w:ascii="Calibri" w:eastAsia="游ゴシック"/>
                <w:sz w:val="18"/>
              </w:rPr>
              <w:t xml:space="preserve">767</w:t>
            </w:r>
          </w:p>
        </w:tc>
        <w:tc>
          <w:tcPr>
            <w:tcW w:w="3366" w:type="dxa"/>
          </w:tcPr>
          <w:p>
            <w:pPr>
              <w:spacing w:after="90" w:line="300" w:lineRule="auto"/>
            </w:pPr>
            <w:r>
              <w:rPr>
                <w:rFonts w:ascii="Calibri" w:eastAsia="游ゴシック"/>
                <w:sz w:val="18"/>
              </w:rPr>
              <w:t xml:space="preserve">6.45</w:t>
            </w:r>
          </w:p>
        </w:tc>
      </w:tr>
      <w:tr>
        <w:trPr>
          <w:cantSplit/>
        </w:trPr>
        <w:tc>
          <w:tcPr>
            <w:tcW w:w="3366" w:type="dxa"/>
          </w:tcPr>
          <w:p>
            <w:pPr>
              <w:spacing w:after="90" w:line="300" w:lineRule="auto"/>
            </w:pPr>
            <w:r>
              <w:rPr>
                <w:rFonts w:ascii="Calibri" w:eastAsia="游ゴシック"/>
                <w:sz w:val="18"/>
              </w:rPr>
              <w:t xml:space="preserve">保存枠で不成立・解除で成立</w:t>
            </w:r>
          </w:p>
        </w:tc>
        <w:tc>
          <w:tcPr>
            <w:tcW w:w="3366" w:type="dxa"/>
          </w:tcPr>
          <w:p>
            <w:pPr>
              <w:spacing w:after="90" w:line="300" w:lineRule="auto"/>
            </w:pPr>
            <w:r>
              <w:rPr>
                <w:rFonts w:ascii="Calibri" w:eastAsia="游ゴシック"/>
                <w:sz w:val="18"/>
              </w:rPr>
              <w:t xml:space="preserve">14,220</w:t>
            </w:r>
          </w:p>
        </w:tc>
        <w:tc>
          <w:tcPr>
            <w:tcW w:w="3366" w:type="dxa"/>
          </w:tcPr>
          <w:p>
            <w:pPr>
              <w:spacing w:after="90" w:line="300" w:lineRule="auto"/>
            </w:pPr>
            <w:r>
              <w:rPr>
                <w:rFonts w:ascii="Calibri" w:eastAsia="游ゴシック"/>
                <w:sz w:val="18"/>
              </w:rPr>
              <w:t xml:space="preserve">11.38</w:t>
            </w:r>
          </w:p>
        </w:tc>
      </w:tr>
      <w:tr>
        <w:trPr>
          <w:cantSplit/>
        </w:trPr>
        <w:tc>
          <w:tcPr>
            <w:tcW w:w="3366" w:type="dxa"/>
          </w:tcPr>
          <w:p>
            <w:pPr>
              <w:spacing w:after="90" w:line="300" w:lineRule="auto"/>
            </w:pPr>
            <w:r>
              <w:rPr>
                <w:rFonts w:ascii="Calibri" w:eastAsia="游ゴシック"/>
                <w:sz w:val="18"/>
              </w:rPr>
              <w:t xml:space="preserve">解除でも不成立</w:t>
            </w:r>
          </w:p>
        </w:tc>
        <w:tc>
          <w:tcPr>
            <w:tcW w:w="3366" w:type="dxa"/>
          </w:tcPr>
          <w:p>
            <w:pPr>
              <w:spacing w:after="90" w:line="300" w:lineRule="auto"/>
            </w:pPr>
            <w:r>
              <w:rPr>
                <w:rFonts w:ascii="Calibri" w:eastAsia="游ゴシック"/>
                <w:sz w:val="18"/>
              </w:rPr>
              <w:t xml:space="preserve">1,861</w:t>
            </w:r>
          </w:p>
        </w:tc>
        <w:tc>
          <w:tcPr>
            <w:tcW w:w="3366" w:type="dxa"/>
          </w:tcPr>
          <w:p>
            <w:pPr>
              <w:spacing w:after="90" w:line="300" w:lineRule="auto"/>
            </w:pPr>
            <w:r>
              <w:rPr>
                <w:rFonts w:ascii="Calibri" w:eastAsia="游ゴシック"/>
                <w:sz w:val="18"/>
              </w:rPr>
              <w:t xml:space="preserve">15.04</w:t>
            </w:r>
          </w:p>
        </w:tc>
      </w:tr>
    </w:tbl>
    <w:p>
      <w:pPr>
        <w:spacing w:after="90" w:line="300" w:lineRule="auto"/>
      </w:pPr>
      <w:r>
        <w:rPr>
          <w:rFonts w:ascii="Calibri" w:eastAsia="游ゴシック"/>
          <w:sz w:val="6"/>
        </w:rPr>
        <w:t xml:space="preserve"/>
      </w:r>
    </w:p>
    <w:p>
      <w:pPr>
        <w:spacing w:after="90" w:line="300" w:lineRule="auto"/>
      </w:pPr>
      <w:r>
        <w:rPr>
          <w:rFonts w:ascii="Calibri" w:eastAsia="游ゴシック"/>
          <w:sz w:val="21"/>
        </w:rPr>
        <w:t xml:space="preserve">- この並びを送電制約の価格への因果効果としない。費用・契約・入札の変化は識別していない。</w:t>
      </w:r>
    </w:p>
    <w:p>
      <w:pPr>
        <w:spacing w:after="90" w:line="300" w:lineRule="auto"/>
      </w:pPr>
      <w:r>
        <w:rPr>
          <w:rFonts w:ascii="Calibri" w:eastAsia="游ゴシック"/>
          <w:sz w:val="21"/>
        </w:rPr>
        <w:t xml:space="preserve">- JERAの地域倍率は東京940/17,520、中部1,943/17,520だけ有効。未算定16,580、15,577を点群と併記し、有効点の中央値を法人全体の代表としない。</w:t>
      </w:r>
    </w:p>
    <w:p>
      <w:pPr>
        <w:spacing w:after="90" w:line="300" w:lineRule="auto"/>
      </w:pPr>
      <w:r>
        <w:rPr>
          <w:rFonts w:ascii="Calibri" w:eastAsia="游ゴシック"/>
          <w:sz w:val="21"/>
        </w:rPr>
        <w:t xml:space="preserve">- 付録図A1・完成済み：同じ3区分の価格中央値・四分位範囲とD/R/時間帯/季節の構成。工程28のA01_price_same_categories_candidateを使用。</w:t>
      </w:r>
    </w:p>
    <w:p>
      <w:pPr>
        <w:spacing w:after="90" w:line="300" w:lineRule="auto"/>
      </w:pPr>
      <w:r>
        <w:rPr>
          <w:rFonts w:ascii="Calibri" w:eastAsia="游ゴシック"/>
          <w:sz w:val="21"/>
        </w:rPr>
        <w:t xml:space="preserve">- 付録図A2・完成済み：倍率と価格の全範囲散布図。全statusと有効件数を併記。共通軸の閲覧図もノートブック09に保持。</w:t>
      </w:r>
    </w:p>
    <w:p>
      <w:pPr>
        <w:spacing w:after="90" w:line="300" w:lineRule="auto"/>
      </w:pPr>
      <w:r>
        <w:rPr>
          <w:rFonts w:ascii="Calibri" w:eastAsia="游ゴシック"/>
          <w:sz w:val="21"/>
        </w:rPr>
        <w:t xml:space="preserve">- エリア価格とsystem priceの差だけで単独孤立を認定しない。本LPはJEPX入札・ブロック採否・清算価格を再現しない。</w:t>
      </w:r>
    </w:p>
    <w:p>
      <w:r>
        <w:br w:type="page"/>
      </w:r>
    </w:p>
    <w:p>
      <w:pPr>
        <w:spacing w:after="90" w:line="300" w:lineRule="auto"/>
        <w:keepNext/>
        <w:outlineLvl w:val="0"/>
      </w:pPr>
      <w:r>
        <w:rPr>
          <w:rFonts w:ascii="Calibri" w:eastAsia="游ゴシック"/>
          <w:sz w:val="29"/>
          <w:b/>
          <w:color w:val="173F5F"/>
        </w:rPr>
        <w:t xml:space="preserve">6．既存CVモデルへの接続と拡張計画</w:t>
      </w:r>
    </w:p>
    <w:p>
      <w:pPr>
        <w:spacing w:after="90" w:line="300" w:lineRule="auto"/>
      </w:pPr>
      <w:r>
        <w:rPr>
          <w:rFonts w:ascii="Calibri" w:eastAsia="游ゴシック"/>
          <w:sz w:val="21"/>
        </w:rPr>
        <w:t xml:space="preserve">核となる文章：今回の結果は他社反応が取り得る供給・送電上の条件を与えるが、他社への推測や局所的な反応係数そのものを推定したものではない。</w:t>
      </w:r>
    </w:p>
    <w:p>
      <w:pPr>
        <w:spacing w:after="90" w:line="300" w:lineRule="auto"/>
        <w:keepNext/>
        <w:outlineLvl w:val="1"/>
      </w:pPr>
      <w:r>
        <w:rPr>
          <w:rFonts w:ascii="Calibri" w:eastAsia="游ゴシック"/>
          <w:sz w:val="24"/>
          <w:b/>
          <w:color w:val="173F5F"/>
        </w:rPr>
        <w:t xml:space="preserve">6.1 既存モデルと照合すべき項目</w:t>
      </w:r>
    </w:p>
    <w:p>
      <w:pPr>
        <w:spacing w:after="90" w:line="300" w:lineRule="auto"/>
      </w:pPr>
      <w:r>
        <w:rPr>
          <w:rFonts w:ascii="Calibri" w:eastAsia="游ゴシック"/>
          <w:sz w:val="21"/>
        </w:rPr>
        <w:t xml:space="preserve">- 過去論文の原式を確認する：逆需要／価格決定、企業別利潤、他社反応の定義、主要法人とその他供給者の集合、契約、容量制約、均衡条件。</w:t>
      </w:r>
    </w:p>
    <w:p>
      <w:pPr>
        <w:spacing w:after="90" w:line="300" w:lineRule="auto"/>
      </w:pPr>
      <w:r>
        <w:rPr>
          <w:rFonts w:ascii="Calibri" w:eastAsia="游ゴシック"/>
          <w:sz w:val="21"/>
        </w:rPr>
        <w:t xml:space="preserve">- 以前の「小規模事業者が増産して数量抑制を規律する」経路との接続は、増産・送達が可能な環境をまず調べることにある。ただし今回残す他者には他の主要法人も含み、小規模事業者だけの効果を分離していない。</w:t>
      </w:r>
    </w:p>
    <w:p>
      <w:pPr>
        <w:spacing w:after="90" w:line="300" w:lineRule="auto"/>
      </w:pPr>
      <w:r>
        <w:rPr>
          <w:rFonts w:ascii="Calibri" w:eastAsia="游ゴシック"/>
          <w:sz w:val="21"/>
        </w:rPr>
        <w:t xml:space="preserve">- 今回確認したWord下書きには過去モデルの原式がない。数式・係数を推測で復元しない。</w:t>
      </w:r>
    </w:p>
    <w:p>
      <w:pPr>
        <w:spacing w:after="90" w:line="300" w:lineRule="auto"/>
      </w:pPr>
      <w:r>
        <w:rPr>
          <w:rFonts w:ascii="Calibri" w:eastAsia="游ゴシック"/>
          <w:sz w:val="21"/>
        </w:rPr>
        <w:t xml:space="preserve">- 全調整供給除去の可否と、少量減産への局所反応を区別する。倍率1未満から他主要法人に対する推測係数0とは置かない。</w:t>
      </w:r>
    </w:p>
    <w:p>
      <w:pPr>
        <w:spacing w:after="90" w:line="300" w:lineRule="auto"/>
      </w:pPr>
      <w:r>
        <w:rPr>
          <w:rFonts w:ascii="Calibri" w:eastAsia="游ゴシック"/>
          <w:sz w:val="21"/>
        </w:rPr>
        <w:t xml:space="preserve">- 代替可能でも、より高い費用・入札価格の供給へ移れば価格は変わり得る。成立判定だけで数量抑制の利益が増えないとは言えない。</w:t>
      </w:r>
    </w:p>
    <w:p>
      <w:pPr>
        <w:spacing w:after="90" w:line="300" w:lineRule="auto"/>
        <w:keepNext/>
        <w:outlineLvl w:val="1"/>
      </w:pPr>
      <w:r>
        <w:rPr>
          <w:rFonts w:ascii="Calibri" w:eastAsia="游ゴシック"/>
          <w:sz w:val="24"/>
          <w:b/>
          <w:color w:val="173F5F"/>
        </w:rPr>
        <w:t xml:space="preserve">6.2 更新する場合の比較設計案【未採用・未実施】</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3366"/>
        <w:gridCol w:w="3366"/>
        <w:gridCol w:w="3366"/>
      </w:tblGrid>
      <w:tr>
        <w:trPr>
          <w:cantSplit/>
          <w:tblHeader/>
        </w:trPr>
        <w:tc>
          <w:tcPr>
            <w:tcW w:w="3366" w:type="dxa"/>
            <w:shd w:fill="E8EFF5"/>
          </w:tcPr>
          <w:p>
            <w:pPr>
              <w:spacing w:after="90" w:line="300" w:lineRule="auto"/>
            </w:pPr>
            <w:r>
              <w:rPr>
                <w:rFonts w:ascii="Calibri" w:eastAsia="游ゴシック"/>
                <w:sz w:val="18"/>
              </w:rPr>
              <w:t xml:space="preserve">比較するもの</w:t>
            </w:r>
          </w:p>
        </w:tc>
        <w:tc>
          <w:tcPr>
            <w:tcW w:w="3366" w:type="dxa"/>
            <w:shd w:fill="E8EFF5"/>
          </w:tcPr>
          <w:p>
            <w:pPr>
              <w:spacing w:after="90" w:line="300" w:lineRule="auto"/>
            </w:pPr>
            <w:r>
              <w:rPr>
                <w:rFonts w:ascii="Calibri" w:eastAsia="游ゴシック"/>
                <w:sz w:val="18"/>
              </w:rPr>
              <w:t xml:space="preserve">固定して比較したい条件</w:t>
            </w:r>
          </w:p>
        </w:tc>
        <w:tc>
          <w:tcPr>
            <w:tcW w:w="3366" w:type="dxa"/>
            <w:shd w:fill="E8EFF5"/>
          </w:tcPr>
          <w:p>
            <w:pPr>
              <w:spacing w:after="90" w:line="300" w:lineRule="auto"/>
            </w:pPr>
            <w:r>
              <w:rPr>
                <w:rFonts w:ascii="Calibri" w:eastAsia="游ゴシック"/>
                <w:sz w:val="18"/>
              </w:rPr>
              <w:t xml:space="preserve">現在の進捗</w:t>
            </w:r>
          </w:p>
        </w:tc>
      </w:tr>
      <w:tr>
        <w:trPr>
          <w:cantSplit/>
        </w:trPr>
        <w:tc>
          <w:tcPr>
            <w:tcW w:w="3366" w:type="dxa"/>
          </w:tcPr>
          <w:p>
            <w:pPr>
              <w:spacing w:after="90" w:line="300" w:lineRule="auto"/>
            </w:pPr>
            <w:r>
              <w:rPr>
                <w:rFonts w:ascii="Calibri" w:eastAsia="游ゴシック"/>
                <w:sz w:val="18"/>
              </w:rPr>
              <w:t xml:space="preserve">従来の全国一市場のモデル</w:t>
            </w:r>
          </w:p>
        </w:tc>
        <w:tc>
          <w:tcPr>
            <w:tcW w:w="3366" w:type="dxa"/>
          </w:tcPr>
          <w:p>
            <w:pPr>
              <w:spacing w:after="90" w:line="300" w:lineRule="auto"/>
            </w:pPr>
            <w:r>
              <w:rPr>
                <w:rFonts w:ascii="Calibri" w:eastAsia="游ゴシック"/>
                <w:sz w:val="18"/>
              </w:rPr>
              <w:t xml:space="preserve">需要・費用・契約等の元仕様</w:t>
            </w:r>
          </w:p>
        </w:tc>
        <w:tc>
          <w:tcPr>
            <w:tcW w:w="3366" w:type="dxa"/>
          </w:tcPr>
          <w:p>
            <w:pPr>
              <w:spacing w:after="90" w:line="300" w:lineRule="auto"/>
            </w:pPr>
            <w:r>
              <w:rPr>
                <w:rFonts w:ascii="Calibri" w:eastAsia="游ゴシック"/>
                <w:sz w:val="18"/>
              </w:rPr>
              <w:t xml:space="preserve">原式の提示・照合が必要</w:t>
            </w:r>
          </w:p>
        </w:tc>
      </w:tr>
      <w:tr>
        <w:trPr>
          <w:cantSplit/>
        </w:trPr>
        <w:tc>
          <w:tcPr>
            <w:tcW w:w="3366" w:type="dxa"/>
          </w:tcPr>
          <w:p>
            <w:pPr>
              <w:spacing w:after="90" w:line="300" w:lineRule="auto"/>
            </w:pPr>
            <w:r>
              <w:rPr>
                <w:rFonts w:ascii="Calibri" w:eastAsia="游ゴシック"/>
                <w:sz w:val="18"/>
              </w:rPr>
              <w:t xml:space="preserve">地域接続を明示したモデル</w:t>
            </w:r>
          </w:p>
        </w:tc>
        <w:tc>
          <w:tcPr>
            <w:tcW w:w="3366" w:type="dxa"/>
          </w:tcPr>
          <w:p>
            <w:pPr>
              <w:spacing w:after="90" w:line="300" w:lineRule="auto"/>
            </w:pPr>
            <w:r>
              <w:rPr>
                <w:rFonts w:ascii="Calibri" w:eastAsia="游ゴシック"/>
                <w:sz w:val="18"/>
              </w:rPr>
              <w:t xml:space="preserve">企業集合等を揃え、ネットワークのみ区別</w:t>
            </w:r>
          </w:p>
        </w:tc>
        <w:tc>
          <w:tcPr>
            <w:tcW w:w="3366" w:type="dxa"/>
          </w:tcPr>
          <w:p>
            <w:pPr>
              <w:spacing w:after="90" w:line="300" w:lineRule="auto"/>
            </w:pPr>
            <w:r>
              <w:rPr>
                <w:rFonts w:ascii="Calibri" w:eastAsia="游ゴシック"/>
                <w:sz w:val="18"/>
              </w:rPr>
              <w:t xml:space="preserve">設計案。均衡モデルは未実装</w:t>
            </w:r>
          </w:p>
        </w:tc>
      </w:tr>
      <w:tr>
        <w:trPr>
          <w:cantSplit/>
        </w:trPr>
        <w:tc>
          <w:tcPr>
            <w:tcW w:w="3366" w:type="dxa"/>
          </w:tcPr>
          <w:p>
            <w:pPr>
              <w:spacing w:after="90" w:line="300" w:lineRule="auto"/>
            </w:pPr>
            <w:r>
              <w:rPr>
                <w:rFonts w:ascii="Calibri" w:eastAsia="游ゴシック"/>
                <w:sz w:val="18"/>
              </w:rPr>
              <w:t xml:space="preserve">推測を変えたモデル</w:t>
            </w:r>
          </w:p>
        </w:tc>
        <w:tc>
          <w:tcPr>
            <w:tcW w:w="3366" w:type="dxa"/>
          </w:tcPr>
          <w:p>
            <w:pPr>
              <w:spacing w:after="90" w:line="300" w:lineRule="auto"/>
            </w:pPr>
            <w:r>
              <w:rPr>
                <w:rFonts w:ascii="Calibri" w:eastAsia="游ゴシック"/>
                <w:sz w:val="18"/>
              </w:rPr>
              <w:t xml:space="preserve">同じ市場環境で推測仮定だけを変更</w:t>
            </w:r>
          </w:p>
        </w:tc>
        <w:tc>
          <w:tcPr>
            <w:tcW w:w="3366" w:type="dxa"/>
          </w:tcPr>
          <w:p>
            <w:pPr>
              <w:spacing w:after="90" w:line="300" w:lineRule="auto"/>
            </w:pPr>
            <w:r>
              <w:rPr>
                <w:rFonts w:ascii="Calibri" w:eastAsia="游ゴシック"/>
                <w:sz w:val="18"/>
              </w:rPr>
              <w:t xml:space="preserve">係数定義と仮定の採用が必要</w:t>
            </w:r>
          </w:p>
        </w:tc>
      </w:tr>
    </w:tbl>
    <w:p>
      <w:pPr>
        <w:spacing w:after="90" w:line="300" w:lineRule="auto"/>
      </w:pPr>
      <w:r>
        <w:rPr>
          <w:rFonts w:ascii="Calibri" w:eastAsia="游ゴシック"/>
          <w:sz w:val="6"/>
        </w:rPr>
        <w:t xml:space="preserve"/>
      </w:r>
    </w:p>
    <w:p>
      <w:pPr>
        <w:spacing w:after="90" w:line="300" w:lineRule="auto"/>
      </w:pPr>
      <w:r>
        <w:rPr>
          <w:rFonts w:ascii="Calibri" w:eastAsia="游ゴシック"/>
          <w:sz w:val="21"/>
        </w:rPr>
        <w:t xml:space="preserve">- 図4候補・未作成：同じ市場環境で、モデル仕様／推測仮定だけを変えた結果の比較。価格・数量・利潤は必要な入力と均衡計算が揃ってから表示する。</w:t>
      </w:r>
    </w:p>
    <w:p>
      <w:pPr>
        <w:spacing w:after="90" w:line="300" w:lineRule="auto"/>
      </w:pPr>
      <w:r>
        <w:rPr>
          <w:rFonts w:ascii="Calibri" w:eastAsia="游ゴシック"/>
          <w:sz w:val="21"/>
        </w:rPr>
        <w:t xml:space="preserve">- 現在のLPをそのまま費用最小化や戦略均衡の解として使わない。現段階で更新結果を記した章は作らない。</w:t>
      </w:r>
    </w:p>
    <w:p>
      <w:pPr>
        <w:spacing w:after="90" w:line="300" w:lineRule="auto"/>
        <w:keepNext/>
        <w:outlineLvl w:val="0"/>
      </w:pPr>
      <w:r>
        <w:rPr>
          <w:rFonts w:ascii="Calibri" w:eastAsia="游ゴシック"/>
          <w:sz w:val="29"/>
          <w:b/>
          <w:color w:val="173F5F"/>
        </w:rPr>
        <w:t xml:space="preserve">7．まとめ：現段階で述べられる結論</w:t>
      </w:r>
    </w:p>
    <w:p>
      <w:pPr>
        <w:spacing w:after="90" w:line="300" w:lineRule="auto"/>
      </w:pPr>
      <w:r>
        <w:rPr>
          <w:rFonts w:ascii="Calibri" w:eastAsia="游ゴシック"/>
          <w:sz w:val="21"/>
        </w:rPr>
        <w:t xml:space="preserve">- 固定Rを残す限定診断では、主要法人の調整供給の代替可能性は、保存送電枠の有無によって大きく変わり、法人間の違いも大きい。</w:t>
      </w:r>
    </w:p>
    <w:p>
      <w:pPr>
        <w:spacing w:after="90" w:line="300" w:lineRule="auto"/>
      </w:pPr>
      <w:r>
        <w:rPr>
          <w:rFonts w:ascii="Calibri" w:eastAsia="游ゴシック"/>
          <w:sz w:val="21"/>
        </w:rPr>
        <w:t xml:space="preserve">- 全国合計が足りることだけでは、各地域へ届けられることは保証されない。</w:t>
      </w:r>
    </w:p>
    <w:p>
      <w:pPr>
        <w:spacing w:after="90" w:line="300" w:lineRule="auto"/>
      </w:pPr>
      <w:r>
        <w:rPr>
          <w:rFonts w:ascii="Calibri" w:eastAsia="游ゴシック"/>
          <w:sz w:val="21"/>
        </w:rPr>
        <w:t xml:space="preserve">- JERAでは地域倍率の未算定が多い。9地域同時成立を主に示し、東京・中部の限られた有効点だけから結論しない。</w:t>
      </w:r>
    </w:p>
    <w:p>
      <w:pPr>
        <w:spacing w:after="90" w:line="300" w:lineRule="auto"/>
      </w:pPr>
      <w:r>
        <w:rPr>
          <w:rFonts w:ascii="Calibri" w:eastAsia="游ゴシック"/>
          <w:sz w:val="21"/>
        </w:rPr>
        <w:t xml:space="preserve">- 価格との記述的な並びは示したが、行使・利益・価格への因果効果は未識別。</w:t>
      </w:r>
    </w:p>
    <w:p>
      <w:pPr>
        <w:spacing w:after="90" w:line="300" w:lineRule="auto"/>
      </w:pPr>
      <w:r>
        <w:rPr>
          <w:rFonts w:ascii="Calibri" w:eastAsia="游ゴシック"/>
          <w:sz w:val="21"/>
        </w:rPr>
        <w:t xml:space="preserve">- CVへの接続に有用なのは反応可能集合の条件であり、主観的推測の実証値ではない。</w:t>
      </w:r>
    </w:p>
    <w:p>
      <w:r>
        <w:br w:type="page"/>
      </w:r>
    </w:p>
    <w:p>
      <w:pPr>
        <w:spacing w:after="90" w:line="300" w:lineRule="auto"/>
        <w:keepNext/>
        <w:outlineLvl w:val="0"/>
      </w:pPr>
      <w:r>
        <w:rPr>
          <w:rFonts w:ascii="Calibri" w:eastAsia="游ゴシック"/>
          <w:sz w:val="29"/>
          <w:b/>
          <w:color w:val="173F5F"/>
        </w:rPr>
        <w:t xml:space="preserve">8．限界と次の研究判断</w:t>
      </w:r>
    </w:p>
    <w:p>
      <w:pPr>
        <w:spacing w:after="90" w:line="300" w:lineRule="auto"/>
        <w:keepNext/>
        <w:outlineLvl w:val="1"/>
      </w:pPr>
      <w:r>
        <w:rPr>
          <w:rFonts w:ascii="Calibri" w:eastAsia="游ゴシック"/>
          <w:sz w:val="24"/>
          <w:b/>
          <w:color w:val="173F5F"/>
        </w:rPr>
        <w:t xml:space="preserve">表3案：主な仮定・結果への影響・残る課題</w:t>
      </w:r>
    </w:p>
    <w:tbl>
      <w:tblPr>
        <w:tblW w:w="10100" w:type="dxa"/>
        <w:tblBorders>
          <w:top w:val="single" w:sz="4" w:color="CBD5DF"/>
          <w:left w:val="single" w:sz="4" w:color="CBD5DF"/>
          <w:bottom w:val="single" w:sz="4" w:color="CBD5DF"/>
          <w:right w:val="single" w:sz="4" w:color="CBD5DF"/>
          <w:insideH w:val="single" w:sz="4" w:color="CBD5DF"/>
          <w:insideV w:val="single" w:sz="4" w:color="CBD5DF"/>
        </w:tblBorders>
      </w:tblPr>
      <w:tblGrid>
        <w:gridCol w:w="3366"/>
        <w:gridCol w:w="3366"/>
        <w:gridCol w:w="3366"/>
      </w:tblGrid>
      <w:tr>
        <w:trPr>
          <w:cantSplit/>
          <w:tblHeader/>
        </w:trPr>
        <w:tc>
          <w:tcPr>
            <w:tcW w:w="3366" w:type="dxa"/>
            <w:shd w:fill="E8EFF5"/>
          </w:tcPr>
          <w:p>
            <w:pPr>
              <w:spacing w:after="90" w:line="300" w:lineRule="auto"/>
            </w:pPr>
            <w:r>
              <w:rPr>
                <w:rFonts w:ascii="Calibri" w:eastAsia="游ゴシック"/>
                <w:sz w:val="18"/>
              </w:rPr>
              <w:t xml:space="preserve">項目</w:t>
            </w:r>
          </w:p>
        </w:tc>
        <w:tc>
          <w:tcPr>
            <w:tcW w:w="3366" w:type="dxa"/>
            <w:shd w:fill="E8EFF5"/>
          </w:tcPr>
          <w:p>
            <w:pPr>
              <w:spacing w:after="90" w:line="300" w:lineRule="auto"/>
            </w:pPr>
            <w:r>
              <w:rPr>
                <w:rFonts w:ascii="Calibri" w:eastAsia="游ゴシック"/>
                <w:sz w:val="18"/>
              </w:rPr>
              <w:t xml:space="preserve">結果・解釈への影響</w:t>
            </w:r>
          </w:p>
        </w:tc>
        <w:tc>
          <w:tcPr>
            <w:tcW w:w="3366" w:type="dxa"/>
            <w:shd w:fill="E8EFF5"/>
          </w:tcPr>
          <w:p>
            <w:pPr>
              <w:spacing w:after="90" w:line="300" w:lineRule="auto"/>
            </w:pPr>
            <w:r>
              <w:rPr>
                <w:rFonts w:ascii="Calibri" w:eastAsia="游ゴシック"/>
                <w:sz w:val="18"/>
              </w:rPr>
              <w:t xml:space="preserve">現在の扱い</w:t>
            </w:r>
          </w:p>
        </w:tc>
      </w:tr>
      <w:tr>
        <w:trPr>
          <w:cantSplit/>
        </w:trPr>
        <w:tc>
          <w:tcPr>
            <w:tcW w:w="3366" w:type="dxa"/>
          </w:tcPr>
          <w:p>
            <w:pPr>
              <w:spacing w:after="90" w:line="300" w:lineRule="auto"/>
            </w:pPr>
            <w:r>
              <w:rPr>
                <w:rFonts w:ascii="Calibri" w:eastAsia="游ゴシック"/>
                <w:sz w:val="18"/>
              </w:rPr>
              <w:t xml:space="preserve">限定設備・台帳名代理</w:t>
            </w:r>
          </w:p>
        </w:tc>
        <w:tc>
          <w:tcPr>
            <w:tcW w:w="3366" w:type="dxa"/>
          </w:tcPr>
          <w:p>
            <w:pPr>
              <w:spacing w:after="90" w:line="300" w:lineRule="auto"/>
            </w:pPr>
            <w:r>
              <w:rPr>
                <w:rFonts w:ascii="Calibri" w:eastAsia="游ゴシック"/>
                <w:sz w:val="18"/>
              </w:rPr>
              <w:t xml:space="preserve">未収録能力や契約供給を含む真の企業不可欠性は認定できない</w:t>
            </w:r>
          </w:p>
        </w:tc>
        <w:tc>
          <w:tcPr>
            <w:tcW w:w="3366" w:type="dxa"/>
          </w:tcPr>
          <w:p>
            <w:pPr>
              <w:spacing w:after="90" w:line="300" w:lineRule="auto"/>
            </w:pPr>
            <w:r>
              <w:rPr>
                <w:rFonts w:ascii="Calibri" w:eastAsia="游ゴシック"/>
                <w:sz w:val="18"/>
              </w:rPr>
              <w:t xml:space="preserve">元行・集合外・帰属留保を保持</w:t>
            </w:r>
          </w:p>
        </w:tc>
      </w:tr>
      <w:tr>
        <w:trPr>
          <w:cantSplit/>
        </w:trPr>
        <w:tc>
          <w:tcPr>
            <w:tcW w:w="3366" w:type="dxa"/>
          </w:tcPr>
          <w:p>
            <w:pPr>
              <w:spacing w:after="90" w:line="300" w:lineRule="auto"/>
            </w:pPr>
            <w:r>
              <w:rPr>
                <w:rFonts w:ascii="Calibri" w:eastAsia="游ゴシック"/>
                <w:sz w:val="18"/>
              </w:rPr>
              <w:t xml:space="preserve">室蘭100／釧路112MW</w:t>
            </w:r>
          </w:p>
        </w:tc>
        <w:tc>
          <w:tcPr>
            <w:tcW w:w="3366" w:type="dxa"/>
          </w:tcPr>
          <w:p>
            <w:pPr>
              <w:spacing w:after="90" w:line="300" w:lineRule="auto"/>
            </w:pPr>
            <w:r>
              <w:rPr>
                <w:rFonts w:ascii="Calibri" w:eastAsia="游ゴシック"/>
                <w:sz w:val="18"/>
              </w:rPr>
              <w:t xml:space="preserve">調整集合に含めた統一版。容量基準は完全には揃わない</w:t>
            </w:r>
          </w:p>
        </w:tc>
        <w:tc>
          <w:tcPr>
            <w:tcW w:w="3366" w:type="dxa"/>
          </w:tcPr>
          <w:p>
            <w:pPr>
              <w:spacing w:after="90" w:line="300" w:lineRule="auto"/>
            </w:pPr>
            <w:r>
              <w:rPr>
                <w:rFonts w:ascii="Calibri" w:eastAsia="游ゴシック"/>
                <w:sz w:val="18"/>
              </w:rPr>
              <w:t xml:space="preserve">旧4月比較を保存。無断置換なし</w:t>
            </w:r>
          </w:p>
        </w:tc>
      </w:tr>
      <w:tr>
        <w:trPr>
          <w:cantSplit/>
        </w:trPr>
        <w:tc>
          <w:tcPr>
            <w:tcW w:w="3366" w:type="dxa"/>
          </w:tcPr>
          <w:p>
            <w:pPr>
              <w:spacing w:after="90" w:line="300" w:lineRule="auto"/>
            </w:pPr>
            <w:r>
              <w:rPr>
                <w:rFonts w:ascii="Calibri" w:eastAsia="游ゴシック"/>
                <w:sz w:val="18"/>
              </w:rPr>
              <w:t xml:space="preserve">停止保留</w:t>
            </w:r>
          </w:p>
        </w:tc>
        <w:tc>
          <w:tcPr>
            <w:tcW w:w="3366" w:type="dxa"/>
          </w:tcPr>
          <w:p>
            <w:pPr>
              <w:spacing w:after="90" w:line="300" w:lineRule="auto"/>
            </w:pPr>
            <w:r>
              <w:rPr>
                <w:rFonts w:ascii="Calibri" w:eastAsia="游ゴシック"/>
                <w:sz w:val="18"/>
              </w:rPr>
              <w:t xml:space="preserve">条件によって成立範囲・有効時刻が変化</w:t>
            </w:r>
          </w:p>
        </w:tc>
        <w:tc>
          <w:tcPr>
            <w:tcW w:w="3366" w:type="dxa"/>
          </w:tcPr>
          <w:p>
            <w:pPr>
              <w:spacing w:after="90" w:line="300" w:lineRule="auto"/>
            </w:pPr>
            <w:r>
              <w:rPr>
                <w:rFonts w:ascii="Calibri" w:eastAsia="游ゴシック"/>
                <w:sz w:val="18"/>
              </w:rPr>
              <w:t xml:space="preserve">全17条件・同時刻対比較を付録化</w:t>
            </w:r>
          </w:p>
        </w:tc>
      </w:tr>
      <w:tr>
        <w:trPr>
          <w:cantSplit/>
        </w:trPr>
        <w:tc>
          <w:tcPr>
            <w:tcW w:w="3366" w:type="dxa"/>
          </w:tcPr>
          <w:p>
            <w:pPr>
              <w:spacing w:after="90" w:line="300" w:lineRule="auto"/>
            </w:pPr>
            <w:r>
              <w:rPr>
                <w:rFonts w:ascii="Calibri" w:eastAsia="游ゴシック"/>
                <w:sz w:val="18"/>
              </w:rPr>
              <w:t xml:space="preserve">保存留保枠B</w:t>
            </w:r>
          </w:p>
        </w:tc>
        <w:tc>
          <w:tcPr>
            <w:tcW w:w="3366" w:type="dxa"/>
          </w:tcPr>
          <w:p>
            <w:pPr>
              <w:spacing w:after="90" w:line="300" w:lineRule="auto"/>
            </w:pPr>
            <w:r>
              <w:rPr>
                <w:rFonts w:ascii="Calibri" w:eastAsia="游ゴシック"/>
                <w:sz w:val="18"/>
              </w:rPr>
              <w:t xml:space="preserve">枠解除で成立する大きさを左右する</w:t>
            </w:r>
          </w:p>
        </w:tc>
        <w:tc>
          <w:tcPr>
            <w:tcW w:w="3366" w:type="dxa"/>
          </w:tcPr>
          <w:p>
            <w:pPr>
              <w:spacing w:after="90" w:line="300" w:lineRule="auto"/>
            </w:pPr>
            <w:r>
              <w:rPr>
                <w:rFonts w:ascii="Calibri" w:eastAsia="游ゴシック"/>
                <w:sz w:val="18"/>
              </w:rPr>
              <w:t xml:space="preserve">実送電能力や増強効果としない</w:t>
            </w:r>
          </w:p>
        </w:tc>
      </w:tr>
      <w:tr>
        <w:trPr>
          <w:cantSplit/>
        </w:trPr>
        <w:tc>
          <w:tcPr>
            <w:tcW w:w="3366" w:type="dxa"/>
          </w:tcPr>
          <w:p>
            <w:pPr>
              <w:spacing w:after="90" w:line="300" w:lineRule="auto"/>
            </w:pPr>
            <w:r>
              <w:rPr>
                <w:rFonts w:ascii="Calibri" w:eastAsia="游ゴシック"/>
                <w:sz w:val="18"/>
              </w:rPr>
              <w:t xml:space="preserve">公表需要の会計</w:t>
            </w:r>
          </w:p>
        </w:tc>
        <w:tc>
          <w:tcPr>
            <w:tcW w:w="3366" w:type="dxa"/>
          </w:tcPr>
          <w:p>
            <w:pPr>
              <w:spacing w:after="90" w:line="300" w:lineRule="auto"/>
            </w:pPr>
            <w:r>
              <w:rPr>
                <w:rFonts w:ascii="Calibri" w:eastAsia="游ゴシック"/>
                <w:sz w:val="18"/>
              </w:rPr>
              <w:t xml:space="preserve">観測充電を再現せず、固定出力の吸収制約が残り得る</w:t>
            </w:r>
          </w:p>
        </w:tc>
        <w:tc>
          <w:tcPr>
            <w:tcW w:w="3366" w:type="dxa"/>
          </w:tcPr>
          <w:p>
            <w:pPr>
              <w:spacing w:after="90" w:line="300" w:lineRule="auto"/>
            </w:pPr>
            <w:r>
              <w:rPr>
                <w:rFonts w:ascii="Calibri" w:eastAsia="游ゴシック"/>
                <w:sz w:val="18"/>
              </w:rPr>
              <w:t xml:space="preserve">総充電を推定生成しない</w:t>
            </w:r>
          </w:p>
        </w:tc>
      </w:tr>
      <w:tr>
        <w:trPr>
          <w:cantSplit/>
        </w:trPr>
        <w:tc>
          <w:tcPr>
            <w:tcW w:w="3366" w:type="dxa"/>
          </w:tcPr>
          <w:p>
            <w:pPr>
              <w:spacing w:after="90" w:line="300" w:lineRule="auto"/>
            </w:pPr>
            <w:r>
              <w:rPr>
                <w:rFonts w:ascii="Calibri" w:eastAsia="游ゴシック"/>
                <w:sz w:val="18"/>
              </w:rPr>
              <w:t xml:space="preserve">価格と代替構成</w:t>
            </w:r>
          </w:p>
        </w:tc>
        <w:tc>
          <w:tcPr>
            <w:tcW w:w="3366" w:type="dxa"/>
          </w:tcPr>
          <w:p>
            <w:pPr>
              <w:spacing w:after="90" w:line="300" w:lineRule="auto"/>
            </w:pPr>
            <w:r>
              <w:rPr>
                <w:rFonts w:ascii="Calibri" w:eastAsia="游ゴシック"/>
                <w:sz w:val="18"/>
              </w:rPr>
              <w:t xml:space="preserve">構成差、費用・契約・戦略、非一意性</w:t>
            </w:r>
          </w:p>
        </w:tc>
        <w:tc>
          <w:tcPr>
            <w:tcW w:w="3366" w:type="dxa"/>
          </w:tcPr>
          <w:p>
            <w:pPr>
              <w:spacing w:after="90" w:line="300" w:lineRule="auto"/>
            </w:pPr>
            <w:r>
              <w:rPr>
                <w:rFonts w:ascii="Calibri" w:eastAsia="游ゴシック"/>
                <w:sz w:val="18"/>
              </w:rPr>
              <w:t xml:space="preserve">記述と未識別を明示</w:t>
            </w:r>
          </w:p>
        </w:tc>
      </w:tr>
    </w:tbl>
    <w:p>
      <w:pPr>
        <w:spacing w:after="90" w:line="300" w:lineRule="auto"/>
      </w:pPr>
      <w:r>
        <w:rPr>
          <w:rFonts w:ascii="Calibri" w:eastAsia="游ゴシック"/>
          <w:sz w:val="6"/>
        </w:rPr>
        <w:t xml:space="preserve"/>
      </w:r>
    </w:p>
    <w:p>
      <w:pPr>
        <w:spacing w:after="90" w:line="300" w:lineRule="auto"/>
        <w:keepNext/>
        <w:outlineLvl w:val="1"/>
      </w:pPr>
      <w:r>
        <w:rPr>
          <w:rFonts w:ascii="Calibri" w:eastAsia="游ゴシック"/>
          <w:sz w:val="24"/>
          <w:b/>
          <w:color w:val="173F5F"/>
        </w:rPr>
        <w:t xml:space="preserve">優先順位付きの次工程</w:t>
      </w:r>
    </w:p>
    <w:p>
      <w:pPr>
        <w:spacing w:after="90" w:line="300" w:lineRule="auto"/>
      </w:pPr>
      <w:r>
        <w:rPr>
          <w:rFonts w:ascii="Calibri" w:eastAsia="游ゴシック"/>
          <w:sz w:val="21"/>
        </w:rPr>
        <w:t xml:space="preserve">1. 最優先・研究判断：本文の中心を条件付き構造評価に置くか、CV更新まで必須とするか。後者なら既存モデル原式・費用／契約等が必要。</w:t>
      </w:r>
    </w:p>
    <w:p>
      <w:pPr>
        <w:spacing w:after="90" w:line="300" w:lineRule="auto"/>
      </w:pPr>
      <w:r>
        <w:rPr>
          <w:rFonts w:ascii="Calibri" w:eastAsia="游ゴシック"/>
          <w:sz w:val="21"/>
        </w:rPr>
        <w:t xml:space="preserve">2. 研究判断：誰が代替するかを可能範囲として補足するか。採用する場合だけ域内供給／純輸入の最小・最大を設計する。</w:t>
      </w:r>
    </w:p>
    <w:p>
      <w:pPr>
        <w:spacing w:after="90" w:line="300" w:lineRule="auto"/>
      </w:pPr>
      <w:r>
        <w:rPr>
          <w:rFonts w:ascii="Calibri" w:eastAsia="游ゴシック"/>
          <w:sz w:val="21"/>
        </w:rPr>
        <w:t xml:space="preserve">3. 研究判断：説明用の停止控除なし条件を最終中心仕様へ採用するか。17条件の一致と条件依存を見て判断し、今回確定しない。</w:t>
      </w:r>
    </w:p>
    <w:p>
      <w:pPr>
        <w:spacing w:after="90" w:line="300" w:lineRule="auto"/>
      </w:pPr>
      <w:r>
        <w:rPr>
          <w:rFonts w:ascii="Calibri" w:eastAsia="游ゴシック"/>
          <w:sz w:val="21"/>
        </w:rPr>
        <w:t xml:space="preserve">4. 執筆作業：章1〜4・7を既存結果で文章化し、本文に方法図・3区分主図を配置。17条件・月別・価格・監査を付録へ整理する。</w:t>
      </w:r>
    </w:p>
    <w:p>
      <w:pPr>
        <w:spacing w:after="90" w:line="300" w:lineRule="auto"/>
        <w:keepNext/>
        <w:outlineLvl w:val="1"/>
      </w:pPr>
      <w:r>
        <w:rPr>
          <w:rFonts w:ascii="Calibri" w:eastAsia="游ゴシック"/>
          <w:sz w:val="24"/>
          <w:b/>
          <w:color w:val="173F5F"/>
        </w:rPr>
        <w:t xml:space="preserve">付録・再現資料の配置案</w:t>
      </w:r>
    </w:p>
    <w:p>
      <w:pPr>
        <w:spacing w:after="90" w:line="300" w:lineRule="auto"/>
      </w:pPr>
      <w:r>
        <w:rPr>
          <w:rFonts w:ascii="Calibri" w:eastAsia="游ゴシック"/>
          <w:sz w:val="21"/>
        </w:rPr>
        <w:t xml:space="preserve">- 付録A：17条件の一致／条件依存、停止保留を戻す対比較、月別結果。</w:t>
      </w:r>
    </w:p>
    <w:p>
      <w:pPr>
        <w:spacing w:after="90" w:line="300" w:lineRule="auto"/>
      </w:pPr>
      <w:r>
        <w:rPr>
          <w:rFonts w:ascii="Calibri" w:eastAsia="游ゴシック"/>
          <w:sz w:val="21"/>
        </w:rPr>
        <w:t xml:space="preserve">- 付録B：価格とD/R/時間帯/季節の構成、地域倍率・未算定表・全範囲図。</w:t>
      </w:r>
    </w:p>
    <w:p>
      <w:pPr>
        <w:spacing w:after="90" w:line="300" w:lineRule="auto"/>
      </w:pPr>
      <w:r>
        <w:rPr>
          <w:rFonts w:ascii="Calibri" w:eastAsia="游ゴシック"/>
          <w:sz w:val="21"/>
        </w:rPr>
        <w:t xml:space="preserve">- 再現資料：元入力・全時刻・全status、数式→コード→データ、代表時刻の行列、SHA・独立検証。</w:t>
      </w:r>
    </w:p>
    <w:p>
      <w:pPr>
        <w:spacing w:after="90" w:line="300" w:lineRule="auto"/>
      </w:pPr>
      <w:r>
        <w:rPr>
          <w:rFonts w:ascii="Calibri" w:eastAsia="游ゴシック"/>
          <w:sz w:val="21"/>
        </w:rPr>
        <w:t xml:space="preserve">- 本文図1・図2は完成済み。図3・図4は未計算／未実施の候補であり、枚数を満たすためには作らない。</w:t>
      </w:r>
    </w:p>
    <w:p>
      <w:pPr>
        <w:spacing w:after="90" w:line="300" w:lineRule="auto"/>
        <w:keepNext/>
        <w:outlineLvl w:val="1"/>
      </w:pPr>
      <w:r>
        <w:rPr>
          <w:rFonts w:ascii="Calibri" w:eastAsia="游ゴシック"/>
          <w:sz w:val="24"/>
          <w:b/>
          <w:color w:val="173F5F"/>
        </w:rPr>
        <w:t xml:space="preserve">元下書きから修正した主張</w:t>
      </w:r>
    </w:p>
    <w:p>
      <w:pPr>
        <w:spacing w:after="90" w:line="300" w:lineRule="auto"/>
      </w:pPr>
      <w:r>
        <w:rPr>
          <w:rFonts w:ascii="Calibri" w:eastAsia="游ゴシック"/>
          <w:sz w:val="21"/>
        </w:rPr>
        <w:t xml:space="preserve">- 「先行研究にはない」→関連研究を明記し、今回の変更点と未確認の新規性を区別。</w:t>
      </w:r>
    </w:p>
    <w:p>
      <w:pPr>
        <w:spacing w:after="90" w:line="300" w:lineRule="auto"/>
      </w:pPr>
      <w:r>
        <w:rPr>
          <w:rFonts w:ascii="Calibri" w:eastAsia="游ゴシック"/>
          <w:sz w:val="21"/>
        </w:rPr>
        <w:t xml:space="preserve">- 「CVの前提が議論されていない」→自身の既存モデルの仮定と実市場の接続を検討する、と限定。</w:t>
      </w:r>
    </w:p>
    <w:p>
      <w:pPr>
        <w:spacing w:after="90" w:line="300" w:lineRule="auto"/>
      </w:pPr>
      <w:r>
        <w:rPr>
          <w:rFonts w:ascii="Calibri" w:eastAsia="游ゴシック"/>
          <w:sz w:val="21"/>
        </w:rPr>
        <w:t xml:space="preserve">- 「モデルを更新して結果を示した」→現状は接続条件と比較設計まで。未実施を明示。</w:t>
      </w:r>
    </w:p>
    <w:p>
      <w:r>
        <w:br w:type="page"/>
      </w:r>
    </w:p>
    <w:p>
      <w:pPr>
        <w:spacing w:after="90" w:line="300" w:lineRule="auto"/>
        <w:keepNext/>
        <w:outlineLvl w:val="0"/>
      </w:pPr>
      <w:r>
        <w:rPr>
          <w:rFonts w:ascii="Calibri" w:eastAsia="游ゴシック"/>
          <w:sz w:val="29"/>
          <w:b/>
          <w:color w:val="173F5F"/>
        </w:rPr>
        <w:t xml:space="preserve">参考文献・結果の参照先</w:t>
      </w:r>
    </w:p>
    <w:p>
      <w:pPr>
        <w:spacing w:after="90" w:line="300" w:lineRule="auto"/>
        <w:keepNext/>
        <w:outlineLvl w:val="1"/>
      </w:pPr>
      <w:r>
        <w:rPr>
          <w:rFonts w:ascii="Calibri" w:eastAsia="游ゴシック"/>
          <w:sz w:val="24"/>
          <w:b/>
          <w:color w:val="173F5F"/>
        </w:rPr>
        <w:t xml:space="preserve">確認済みの主な先行研究</w:t>
      </w:r>
    </w:p>
    <w:p>
      <w:pPr>
        <w:spacing w:after="90" w:line="300" w:lineRule="auto"/>
      </w:pPr>
      <w:r>
        <w:rPr>
          <w:rFonts w:ascii="Calibri" w:eastAsia="游ゴシック"/>
          <w:sz w:val="21"/>
        </w:rPr>
        <w:t xml:space="preserve">[1] Borenstein, S., Bushnell, J. and Stoft, S. (2000). The competitive effects of transmission capacity in a deregulated electricity industry. RAND Journal of Economics, 31(2), 294–325. 確認箇所：刊行pp.294–299。</w:t>
      </w:r>
    </w:p>
    <w:p>
      <w:pPr>
        <w:spacing w:after="90" w:line="300" w:lineRule="auto"/>
      </w:pPr>
      <w:r>
        <w:rPr>
          <w:rFonts w:ascii="Calibri" w:eastAsia="游ゴシック"/>
          <w:sz w:val="21"/>
        </w:rPr>
        <w:t xml:space="preserve">[2] Borenstein, S., Bushnell, J. and Wolak, F. (2002). Measuring Market Inefficiencies in California’s Restructured Wholesale Electricity Market. American Economic Review, 92(5), 1376–1405. 確認箇所：pp.1376, 1384–1386, 1399。</w:t>
      </w:r>
    </w:p>
    <w:p>
      <w:pPr>
        <w:spacing w:after="90" w:line="300" w:lineRule="auto"/>
      </w:pPr>
      <w:r>
        <w:rPr>
          <w:rFonts w:ascii="Calibri" w:eastAsia="游ゴシック"/>
          <w:sz w:val="21"/>
        </w:rPr>
        <w:t xml:space="preserve">[3] Bushnell, J., Mansur, E. and Saravia, C. (2008). Vertical Arrangements, Market Structure, and Competition: An Analysis of Restructured US Electricity Markets. American Economic Review, 98(1), 237–266. 確認箇所：pp.238–239, 244–246。</w:t>
      </w:r>
    </w:p>
    <w:p>
      <w:pPr>
        <w:spacing w:after="90" w:line="300" w:lineRule="auto"/>
      </w:pPr>
      <w:r>
        <w:rPr>
          <w:rFonts w:ascii="Calibri" w:eastAsia="游ゴシック"/>
          <w:sz w:val="21"/>
        </w:rPr>
        <w:t xml:space="preserve">[4] Lee, Y.-Y., Baldick, R. and Hur, J. (2011). Firm-based Measurements of Market Power in Transmission-Constrained Electricity Markets: Technical Reference. 著者公開版、2011-05-10。式(14)：p.16、図6／表3：p.19、TCMPIとの比較：pp.21–22。</w:t>
      </w:r>
    </w:p>
    <w:p>
      <w:pPr>
        <w:spacing w:after="90" w:line="300" w:lineRule="auto"/>
      </w:pPr>
      <w:r>
        <w:rPr>
          <w:rFonts w:ascii="Calibri" w:eastAsia="游ゴシック"/>
          <w:sz w:val="21"/>
        </w:rPr>
        <w:t xml:space="preserve">- 上記の書誌・確認水準は既存の一次資料確認記録を再利用。広範な新規性調査は行っていない。</w:t>
      </w:r>
    </w:p>
    <w:p>
      <w:pPr>
        <w:spacing w:after="90" w:line="300" w:lineRule="auto"/>
      </w:pPr>
      <w:r>
        <w:rPr>
          <w:rFonts w:ascii="Calibri" w:eastAsia="游ゴシック"/>
          <w:sz w:val="21"/>
        </w:rPr>
        <w:t xml:space="preserve">- 過去の自身のCV論文：原式・正確な書誌を確認後に追記する。添付画像や下書きだけから論文名・刊行先・モデル式を確定しない。</w:t>
      </w:r>
    </w:p>
    <w:p>
      <w:pPr>
        <w:spacing w:after="90" w:line="300" w:lineRule="auto"/>
        <w:keepNext/>
        <w:outlineLvl w:val="1"/>
      </w:pPr>
      <w:r>
        <w:rPr>
          <w:rFonts w:ascii="Calibri" w:eastAsia="游ゴシック"/>
          <w:sz w:val="24"/>
          <w:b/>
          <w:color w:val="173F5F"/>
        </w:rPr>
        <w:t xml:space="preserve">図表・数値の所在</w:t>
      </w:r>
    </w:p>
    <w:p>
      <w:pPr>
        <w:spacing w:after="90" w:line="300" w:lineRule="auto"/>
      </w:pPr>
      <w:r>
        <w:rPr>
          <w:rFonts w:ascii="Calibri" w:eastAsia="游ゴシック"/>
          <w:sz w:val="21"/>
        </w:rPr>
        <w:t xml:space="preserve">- 表2・図2：reports/28_paper_central_result/qa/central_three_categories.csv と同工程figures/02_central_three_categories。</w:t>
      </w:r>
    </w:p>
    <w:p>
      <w:pPr>
        <w:spacing w:after="90" w:line="300" w:lineRule="auto"/>
      </w:pPr>
      <w:r>
        <w:rPr>
          <w:rFonts w:ascii="Calibri" w:eastAsia="游ゴシック"/>
          <w:sz w:val="21"/>
        </w:rPr>
        <w:t xml:space="preserve">- 図1：reports/28_paper_central_result/figures/01_method_readable。</w:t>
      </w:r>
    </w:p>
    <w:p>
      <w:pPr>
        <w:spacing w:after="90" w:line="300" w:lineRule="auto"/>
      </w:pPr>
      <w:r>
        <w:rPr>
          <w:rFonts w:ascii="Calibri" w:eastAsia="游ゴシック"/>
          <w:sz w:val="21"/>
        </w:rPr>
        <w:t xml:space="preserve">- 17条件・月別：reports/27_fy2025_annual/qa/condition_consistency_annual.csv、同monthly.csv等。</w:t>
      </w:r>
    </w:p>
    <w:p>
      <w:pPr>
        <w:spacing w:after="90" w:line="300" w:lineRule="auto"/>
      </w:pPr>
      <w:r>
        <w:rPr>
          <w:rFonts w:ascii="Calibri" w:eastAsia="游ゴシック"/>
          <w:sz w:val="21"/>
        </w:rPr>
        <w:t xml:space="preserve">- JERA未算定：reports/28_paper_central_result/qa/multiplier_missing_in_same_view.csv。</w:t>
      </w:r>
    </w:p>
    <w:p>
      <w:pPr>
        <w:spacing w:after="90" w:line="300" w:lineRule="auto"/>
      </w:pPr>
      <w:r>
        <w:rPr>
          <w:rFonts w:ascii="Calibri" w:eastAsia="游ゴシック"/>
          <w:sz w:val="21"/>
        </w:rPr>
        <w:t xml:space="preserve">- 価格：同qa/price_demand_fixed_output_by_category.csv。構成差表を伴う記述集計。</w:t>
      </w:r>
    </w:p>
    <w:p>
      <w:pPr>
        <w:spacing w:after="90" w:line="300" w:lineRule="auto"/>
      </w:pPr>
      <w:r>
        <w:rPr>
          <w:rFonts w:ascii="Calibri" w:eastAsia="游ゴシック"/>
          <w:sz w:val="21"/>
        </w:rPr>
        <w:t xml:space="preserve">- 定式化・実装監査：docs/central_spec_audit.md、docs/annual_diagnostic.md。</w:t>
      </w:r>
    </w:p>
    <w:p>
      <w:pPr>
        <w:spacing w:after="90" w:line="300" w:lineRule="auto"/>
      </w:pPr>
      <w:r>
        <w:rPr>
          <w:rFonts w:ascii="Calibri" w:eastAsia="游ゴシック"/>
          <w:sz w:val="21"/>
        </w:rPr>
        <w:t xml:space="preserve">- 先行研究根拠：metadata/research/research_identification_sources_20261016.yml、reports/28_paper_central_result/literature_contrast.md。</w:t>
      </w:r>
    </w:p>
    <w:p>
      <w:pPr>
        <w:spacing w:after="90" w:line="300" w:lineRule="auto"/>
        <w:keepNext/>
        <w:outlineLvl w:val="1"/>
      </w:pPr>
      <w:r>
        <w:rPr>
          <w:rFonts w:ascii="Calibri" w:eastAsia="游ゴシック"/>
          <w:sz w:val="24"/>
          <w:b/>
          <w:color w:val="173F5F"/>
        </w:rPr>
        <w:t xml:space="preserve">進捗報告の締めに伝えること</w:t>
      </w:r>
    </w:p>
    <w:p>
      <w:pPr>
        <w:spacing w:after="90" w:line="300" w:lineRule="auto"/>
      </w:pPr>
      <w:r>
        <w:rPr>
          <w:rFonts w:ascii="Calibri" w:eastAsia="游ゴシック"/>
          <w:sz w:val="21"/>
        </w:rPr>
        <w:t xml:space="preserve">「年間データと代替可能性の条件付き評価は完了しました。主結果は、保存送電枠を考慮するかどうかで企業除去後の需要充足が大きく変わり、その程度が法人によって異なることです。現在は、これを論文の中心に据え、代替構成の可能範囲とCVへの接続をどこまで追加するかを相談したい段階です。」</w:t>
      </w:r>
    </w:p>
    <w:p>
      <w:pPr>
        <w:spacing w:after="90" w:line="300" w:lineRule="auto"/>
      </w:pPr>
      <w:r>
        <w:rPr>
          <w:rFonts w:ascii="Calibri" w:eastAsia="游ゴシック"/>
          <w:sz w:val="21"/>
        </w:rPr>
        <w:t xml:space="preserve">原本・既存固定版・ユーザーのWord下書きは変更しない。本成果物では新規LP、データ取得、価格再分析、最終baseline採用を行っていない。</w:t>
      </w:r>
    </w:p>
    <w:sectPr>
      <w:footerReference w:type="default" r:id="rIdFooter"/>
      <w:pgSz w:w="11906" w:h="16838"/>
      <w:pgMar w:top="850" w:bottom="850" w:left="900" w:right="900"/>
    </w:sectPr>
  </w:body>
</w:document>
</file>

<file path=word/footer1.xml><?xml version="1.0" encoding="utf-8"?>
<w:ftr xmlns:w="http://schemas.openxmlformats.org/wordprocessingml/2006/main">
  <w:p>
    <w:pPr>
      <w:jc w:val="center"/>
    </w:pPr>
    <w:fldSimple w:instr="PAGE">
      <w:r>
        <w:t>1</w:t>
      </w:r>
    </w:fldSimple>
  </w:p>
</w:ftr>
</file>

<file path=word/_rels/document.xml.rels><Relationships xmlns="http://schemas.openxmlformats.org/package/2006/relationships"><Relationship Id="rIdFooter" Type="http://schemas.openxmlformats.org/officeDocument/2006/relationships/footer" Target="footer1.xml" /><Relationship Id="rIdImage1" Type="http://schemas.openxmlformats.org/officeDocument/2006/relationships/image" Target="media/image1.png" /><Relationship Id="rIdImage2" Type="http://schemas.openxmlformats.org/officeDocument/2006/relationships/image" Target="media/image2.png" /></Relationships>
</file>