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160" w:after="160"/>
      </w:pPr>
      <w:r>
        <w:rPr>
          <w:rFonts w:ascii="Aptos Display" w:hAnsi="Aptos Display"/>
          <w:b/>
          <w:color w:val="17324D"/>
          <w:sz w:val="56"/>
        </w:rPr>
        <w:t>ACCOUNTING SYSTEM RESTRUCTURING</w:t>
      </w:r>
    </w:p>
    <w:p>
      <w:pPr>
        <w:widowControl/>
        <w:spacing w:after="400"/>
      </w:pPr>
      <w:r>
        <w:rPr>
          <w:rFonts w:ascii="Aptos Display" w:hAnsi="Aptos Display"/>
          <w:b/>
          <w:color w:val="2A7F85"/>
          <w:sz w:val="42"/>
        </w:rPr>
        <w:t>&amp; BUSY MIGRATION GOVERNANCE PLAN</w:t>
      </w:r>
    </w:p>
    <w:p>
      <w:pPr>
        <w:widowControl/>
        <w:spacing w:after="640"/>
      </w:pPr>
      <w:r>
        <w:rPr>
          <w:rFonts w:ascii="Aptos" w:hAnsi="Aptos"/>
          <w:color w:val="5C6670"/>
          <w:sz w:val="27"/>
        </w:rPr>
        <w:t>A controlled roadmap for clean opening balances, disciplined daily accounting and transparent management review</w:t>
      </w:r>
    </w:p>
    <w:tbl>
      <w:tblPr>
        <w:tblW w:type="dxa" w:w="9360"/>
        <w:tblLayout w:type="fixed"/>
        <w:tblLook w:firstColumn="1" w:firstRow="1" w:lastColumn="0" w:lastRow="0" w:noHBand="0" w:noVBand="1" w:val="04A0"/>
        <w:tblInd w:w="120" w:type="dxa"/>
      </w:tblPr>
      <w:tblGrid>
        <w:gridCol w:w="1900"/>
        <w:gridCol w:w="7460"/>
      </w:tblGrid>
      <w:tr>
        <w:trPr>
          <w:cantSplit w:val="true"/>
          <w:tblHeader w:val="true"/>
        </w:trPr>
        <w:tc>
          <w:tcPr>
            <w:tcW w:type="dxa" w:w="1900"/>
            <w:shd w:fill="EAF3F3"/>
            <w:tcMar>
              <w:top w:w="120" w:type="dxa"/>
              <w:start w:w="120" w:type="dxa"/>
              <w:bottom w:w="120"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pPr>
            <w:r/>
            <w:r>
              <w:rPr>
                <w:rFonts w:ascii="Aptos" w:hAnsi="Aptos"/>
                <w:b/>
                <w:color w:val="17324D"/>
                <w:sz w:val="21"/>
              </w:rPr>
              <w:t>Prepared for</w:t>
            </w:r>
          </w:p>
        </w:tc>
        <w:tc>
          <w:tcPr>
            <w:tcW w:type="dxa" w:w="7460"/>
            <w:shd w:fill="FFFFFF"/>
            <w:tcMar>
              <w:top w:w="120" w:type="dxa"/>
              <w:start w:w="120" w:type="dxa"/>
              <w:bottom w:w="120"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pPr>
            <w:r/>
            <w:r>
              <w:rPr>
                <w:rFonts w:ascii="Aptos" w:hAnsi="Aptos"/>
                <w:b w:val="0"/>
                <w:color w:val="20262D"/>
                <w:sz w:val="21"/>
              </w:rPr>
              <w:t>Management and Accounts Team</w:t>
            </w:r>
          </w:p>
        </w:tc>
      </w:tr>
      <w:tr>
        <w:trPr>
          <w:cantSplit w:val="true"/>
        </w:trPr>
        <w:tc>
          <w:tcPr>
            <w:tcW w:type="dxa" w:w="1900"/>
            <w:shd w:fill="EAF3F3"/>
            <w:tcMar>
              <w:top w:w="120" w:type="dxa"/>
              <w:start w:w="120" w:type="dxa"/>
              <w:bottom w:w="120"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pPr>
            <w:r/>
            <w:r>
              <w:rPr>
                <w:rFonts w:ascii="Aptos" w:hAnsi="Aptos"/>
                <w:b/>
                <w:color w:val="17324D"/>
                <w:sz w:val="21"/>
              </w:rPr>
              <w:t>Effective cutover</w:t>
            </w:r>
          </w:p>
        </w:tc>
        <w:tc>
          <w:tcPr>
            <w:tcW w:type="dxa" w:w="7460"/>
            <w:shd w:fill="FFFFFF"/>
            <w:tcMar>
              <w:top w:w="120" w:type="dxa"/>
              <w:start w:w="120" w:type="dxa"/>
              <w:bottom w:w="120"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pPr>
            <w:r/>
            <w:r>
              <w:rPr>
                <w:rFonts w:ascii="Aptos" w:hAnsi="Aptos"/>
                <w:b w:val="0"/>
                <w:color w:val="20262D"/>
                <w:sz w:val="21"/>
              </w:rPr>
              <w:t>1 October 2026</w:t>
            </w:r>
          </w:p>
        </w:tc>
      </w:tr>
      <w:tr>
        <w:trPr>
          <w:cantSplit w:val="true"/>
        </w:trPr>
        <w:tc>
          <w:tcPr>
            <w:tcW w:type="dxa" w:w="1900"/>
            <w:shd w:fill="EAF3F3"/>
            <w:tcMar>
              <w:top w:w="120" w:type="dxa"/>
              <w:start w:w="120" w:type="dxa"/>
              <w:bottom w:w="120"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pPr>
            <w:r/>
            <w:r>
              <w:rPr>
                <w:rFonts w:ascii="Aptos" w:hAnsi="Aptos"/>
                <w:b/>
                <w:color w:val="17324D"/>
                <w:sz w:val="21"/>
              </w:rPr>
              <w:t>Planning horizon</w:t>
            </w:r>
          </w:p>
        </w:tc>
        <w:tc>
          <w:tcPr>
            <w:tcW w:type="dxa" w:w="7460"/>
            <w:shd w:fill="FFFFFF"/>
            <w:tcMar>
              <w:top w:w="120" w:type="dxa"/>
              <w:start w:w="120" w:type="dxa"/>
              <w:bottom w:w="120"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pPr>
            <w:r/>
            <w:r>
              <w:rPr>
                <w:rFonts w:ascii="Aptos" w:hAnsi="Aptos"/>
                <w:b w:val="0"/>
                <w:color w:val="20262D"/>
                <w:sz w:val="21"/>
              </w:rPr>
              <w:t>Pre-cutover clean-up, go-live and first-month stabilisation</w:t>
            </w:r>
          </w:p>
        </w:tc>
      </w:tr>
      <w:tr>
        <w:trPr>
          <w:cantSplit w:val="true"/>
        </w:trPr>
        <w:tc>
          <w:tcPr>
            <w:tcW w:type="dxa" w:w="1900"/>
            <w:shd w:fill="EAF3F3"/>
            <w:tcMar>
              <w:top w:w="120" w:type="dxa"/>
              <w:start w:w="120" w:type="dxa"/>
              <w:bottom w:w="120"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pPr>
            <w:r/>
            <w:r>
              <w:rPr>
                <w:rFonts w:ascii="Aptos" w:hAnsi="Aptos"/>
                <w:b/>
                <w:color w:val="17324D"/>
                <w:sz w:val="21"/>
              </w:rPr>
              <w:t>Document status</w:t>
            </w:r>
          </w:p>
        </w:tc>
        <w:tc>
          <w:tcPr>
            <w:tcW w:type="dxa" w:w="7460"/>
            <w:shd w:fill="FFFFFF"/>
            <w:tcMar>
              <w:top w:w="120" w:type="dxa"/>
              <w:start w:w="120" w:type="dxa"/>
              <w:bottom w:w="120"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pPr>
            <w:r/>
            <w:r>
              <w:rPr>
                <w:rFonts w:ascii="Aptos" w:hAnsi="Aptos"/>
                <w:b w:val="0"/>
                <w:color w:val="20262D"/>
                <w:sz w:val="21"/>
              </w:rPr>
              <w:t>Management implementation blueprint</w:t>
            </w:r>
          </w:p>
        </w:tc>
      </w:tr>
    </w:tbl>
    <w:p>
      <w:pPr>
        <w:widowControl/>
      </w:pPr>
    </w:p>
    <w:p>
      <w:pPr>
        <w:pStyle w:val="DecisionCallout"/>
        <w:widowControl/>
      </w:pPr>
      <w:r>
        <w:rPr>
          <w:rFonts w:ascii="Aptos" w:hAnsi="Aptos"/>
          <w:b/>
          <w:color w:val="17324D"/>
        </w:rPr>
        <w:t xml:space="preserve">Central recommendation  </w:t>
      </w:r>
      <w:r>
        <w:rPr>
          <w:rFonts w:ascii="Aptos" w:hAnsi="Aptos"/>
          <w:color w:val="17324D"/>
        </w:rPr>
        <w:t>Run the new BUSY account through a jointly approved structure. The client-side accountant should remain the day-to-day accounting owner; our team should act as the design authority, senior review layer and migration governance partner. No major reclassification, opening balance or master creation should be finalised without mutual discussion and a recorded decision.</w:t>
      </w:r>
    </w:p>
    <w:p>
      <w:pPr>
        <w:widowControl/>
        <w:spacing w:before="680"/>
      </w:pPr>
      <w:r>
        <w:rPr>
          <w:rFonts w:ascii="Aptos" w:hAnsi="Aptos"/>
          <w:b/>
          <w:color w:val="9B2C2C"/>
          <w:sz w:val="18"/>
        </w:rPr>
        <w:t>CONFIDENTIAL - FOR MANAGEMENT AND AUTHORISED ACCOUNTING PERSONNEL ONLY</w:t>
      </w:r>
    </w:p>
    <w:p>
      <w:pPr>
        <w:pStyle w:val="Heading1"/>
        <w:keepNext/>
        <w:pageBreakBefore/>
        <w:widowControl/>
      </w:pPr>
      <w:r>
        <w:t>Document purpose and management outcome</w:t>
      </w:r>
    </w:p>
    <w:p>
      <w:pPr>
        <w:widowControl/>
      </w:pPr>
      <w:r>
        <w:rPr>
          <w:rFonts w:ascii="Aptos" w:hAnsi="Aptos"/>
          <w:i w:val="0"/>
        </w:rPr>
        <w:t>This document converts the findings from the present trial balance and ledger review into a practical implementation plan. It is not intended to criticise any individual or reduce the role of the client-side accountant. It provides one agreed structure within which the accountant, management and our review team can work together.</w:t>
      </w:r>
    </w:p>
    <w:p>
      <w:pPr>
        <w:pStyle w:val="LeadCallout"/>
        <w:widowControl/>
      </w:pPr>
      <w:r>
        <w:rPr>
          <w:rFonts w:ascii="Aptos" w:hAnsi="Aptos"/>
          <w:b/>
          <w:color w:val="17324D"/>
        </w:rPr>
        <w:t xml:space="preserve">Expected outcome  </w:t>
      </w:r>
      <w:r>
        <w:rPr>
          <w:rFonts w:ascii="Aptos" w:hAnsi="Aptos"/>
          <w:color w:val="17324D"/>
        </w:rPr>
        <w:t>From 1 October 2026, every transaction should have a clear business purpose, a correct account head, supporting evidence and an identifiable owner. The system should make it easy to answer four questions: What happened? Why did it happen? Which branch or person is responsible? Has it been verified?</w:t>
      </w:r>
    </w:p>
    <w:p>
      <w:pPr>
        <w:pStyle w:val="Heading2"/>
        <w:keepNext/>
        <w:widowControl/>
      </w:pPr>
      <w:r>
        <w:t>What this plan covers</w:t>
      </w:r>
    </w:p>
    <w:p>
      <w:pPr>
        <w:widowControl/>
        <w:numPr>
          <w:ilvl w:val="0"/>
          <w:numId w:val="10"/>
        </w:numPr>
        <w:spacing w:after="80" w:line="269" w:lineRule="auto"/>
        <w:ind w:left="720" w:hanging="360"/>
      </w:pPr>
      <w:r>
        <w:rPr>
          <w:rFonts w:ascii="Aptos" w:hAnsi="Aptos"/>
        </w:rPr>
        <w:t>Immediate actionables before 1 October 2026.</w:t>
      </w:r>
    </w:p>
    <w:p>
      <w:pPr>
        <w:widowControl/>
        <w:numPr>
          <w:ilvl w:val="0"/>
          <w:numId w:val="10"/>
        </w:numPr>
        <w:spacing w:after="80" w:line="269" w:lineRule="auto"/>
        <w:ind w:left="720" w:hanging="360"/>
      </w:pPr>
      <w:r>
        <w:rPr>
          <w:rFonts w:ascii="Aptos" w:hAnsi="Aptos"/>
        </w:rPr>
        <w:t>The ideal chart of accounts and naming structure for the new BUSY company.</w:t>
      </w:r>
    </w:p>
    <w:p>
      <w:pPr>
        <w:widowControl/>
        <w:numPr>
          <w:ilvl w:val="0"/>
          <w:numId w:val="10"/>
        </w:numPr>
        <w:spacing w:after="80" w:line="269" w:lineRule="auto"/>
        <w:ind w:left="720" w:hanging="360"/>
      </w:pPr>
      <w:r>
        <w:rPr>
          <w:rFonts w:ascii="Aptos" w:hAnsi="Aptos"/>
        </w:rPr>
        <w:t>How fresh transactions will be entered from the cutover date.</w:t>
      </w:r>
    </w:p>
    <w:p>
      <w:pPr>
        <w:widowControl/>
        <w:numPr>
          <w:ilvl w:val="0"/>
          <w:numId w:val="10"/>
        </w:numPr>
        <w:spacing w:after="80" w:line="269" w:lineRule="auto"/>
        <w:ind w:left="720" w:hanging="360"/>
      </w:pPr>
      <w:r>
        <w:rPr>
          <w:rFonts w:ascii="Aptos" w:hAnsi="Aptos"/>
        </w:rPr>
        <w:t>How older, scrambled records will be traced, corrected and migrated without disturbing live work.</w:t>
      </w:r>
    </w:p>
    <w:p>
      <w:pPr>
        <w:widowControl/>
        <w:numPr>
          <w:ilvl w:val="0"/>
          <w:numId w:val="10"/>
        </w:numPr>
        <w:spacing w:after="80" w:line="269" w:lineRule="auto"/>
        <w:ind w:left="720" w:hanging="360"/>
      </w:pPr>
      <w:r>
        <w:rPr>
          <w:rFonts w:ascii="Aptos" w:hAnsi="Aptos"/>
        </w:rPr>
        <w:t>The red flags that require management-level attention.</w:t>
      </w:r>
    </w:p>
    <w:p>
      <w:pPr>
        <w:widowControl/>
        <w:numPr>
          <w:ilvl w:val="0"/>
          <w:numId w:val="10"/>
        </w:numPr>
        <w:spacing w:after="80" w:line="269" w:lineRule="auto"/>
        <w:ind w:left="720" w:hanging="360"/>
      </w:pPr>
      <w:r>
        <w:rPr>
          <w:rFonts w:ascii="Aptos" w:hAnsi="Aptos"/>
        </w:rPr>
        <w:t>The working relationship between the client-side accountant and our senior accounting team.</w:t>
      </w:r>
    </w:p>
    <w:p>
      <w:pPr>
        <w:widowControl/>
        <w:numPr>
          <w:ilvl w:val="0"/>
          <w:numId w:val="10"/>
        </w:numPr>
        <w:spacing w:after="80" w:line="269" w:lineRule="auto"/>
        <w:ind w:left="720" w:hanging="360"/>
      </w:pPr>
      <w:r>
        <w:rPr>
          <w:rFonts w:ascii="Aptos" w:hAnsi="Aptos"/>
        </w:rPr>
        <w:t>Weekly visits, review checkpoints, approvals and final sign-off.</w:t>
      </w:r>
    </w:p>
    <w:p>
      <w:pPr>
        <w:pStyle w:val="Heading2"/>
        <w:keepNext/>
        <w:widowControl/>
      </w:pPr>
      <w:r>
        <w:t>Contents at a glance</w:t>
      </w:r>
    </w:p>
    <w:tbl>
      <w:tblPr>
        <w:tblW w:type="dxa" w:w="9360"/>
        <w:jc w:val="left"/>
        <w:tblLayout w:type="fixed"/>
        <w:tblLook w:firstColumn="1" w:firstRow="1" w:lastColumn="0" w:lastRow="0" w:noHBand="0" w:noVBand="1" w:val="04A0"/>
        <w:tblInd w:w="120" w:type="dxa"/>
      </w:tblPr>
      <w:tblGrid>
        <w:gridCol w:w="1450"/>
        <w:gridCol w:w="7910"/>
      </w:tblGrid>
      <w:tr>
        <w:trPr>
          <w:tblHeader w:val="true"/>
          <w:cantSplit w:val="true"/>
        </w:trPr>
        <w:tc>
          <w:tcPr>
            <w:tcW w:type="dxa" w:w="1450"/>
            <w:vAlign w:val="center"/>
            <w:shd w:fill="2A7F85"/>
            <w:tcMar>
              <w:top w:w="100" w:type="dxa"/>
              <w:start w:w="120" w:type="dxa"/>
              <w:bottom w:w="100" w:type="dxa"/>
              <w:end w:w="120" w:type="dxa"/>
            </w:tcMar>
            <w:tcBorders>
              <w:top w:val="single" w:sz="6" w:color="2A7F85"/>
              <w:left w:val="single" w:sz="6" w:color="2A7F85"/>
              <w:bottom w:val="single" w:sz="6" w:color="2A7F85"/>
              <w:right w:val="single" w:sz="6" w:color="2A7F85"/>
              <w:insideH w:val="single" w:sz="6" w:color="2A7F85"/>
              <w:insideV w:val="single" w:sz="6" w:color="2A7F85"/>
            </w:tcBorders>
          </w:tcPr>
          <w:p>
            <w:pPr>
              <w:keepLines/>
              <w:widowControl/>
              <w:spacing w:after="0" w:line="240" w:lineRule="auto"/>
            </w:pPr>
            <w:r/>
            <w:r>
              <w:rPr>
                <w:rFonts w:ascii="Aptos" w:hAnsi="Aptos"/>
                <w:b/>
                <w:color w:val="FFFFFF"/>
                <w:sz w:val="19"/>
              </w:rPr>
              <w:t>Section</w:t>
            </w:r>
          </w:p>
        </w:tc>
        <w:tc>
          <w:tcPr>
            <w:tcW w:type="dxa" w:w="7910"/>
            <w:vAlign w:val="center"/>
            <w:shd w:fill="2A7F85"/>
            <w:tcMar>
              <w:top w:w="100" w:type="dxa"/>
              <w:start w:w="120" w:type="dxa"/>
              <w:bottom w:w="100" w:type="dxa"/>
              <w:end w:w="120" w:type="dxa"/>
            </w:tcMar>
            <w:tcBorders>
              <w:top w:val="single" w:sz="6" w:color="2A7F85"/>
              <w:left w:val="single" w:sz="6" w:color="2A7F85"/>
              <w:bottom w:val="single" w:sz="6" w:color="2A7F85"/>
              <w:right w:val="single" w:sz="6" w:color="2A7F85"/>
              <w:insideH w:val="single" w:sz="6" w:color="2A7F85"/>
              <w:insideV w:val="single" w:sz="6" w:color="2A7F85"/>
            </w:tcBorders>
          </w:tcPr>
          <w:p>
            <w:pPr>
              <w:keepLines/>
              <w:widowControl/>
              <w:spacing w:after="0" w:line="240" w:lineRule="auto"/>
            </w:pPr>
            <w:r/>
            <w:r>
              <w:rPr>
                <w:rFonts w:ascii="Aptos" w:hAnsi="Aptos"/>
                <w:b/>
                <w:color w:val="FFFFFF"/>
                <w:sz w:val="19"/>
              </w:rPr>
              <w:t>Purpose</w:t>
            </w:r>
          </w:p>
        </w:tc>
      </w:tr>
      <w:tr>
        <w:trPr>
          <w:cantSplit w:val="true"/>
        </w:trPr>
        <w:tc>
          <w:tcPr>
            <w:tcW w:type="dxa" w:w="14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color w:val="20262D"/>
                <w:sz w:val="19"/>
              </w:rPr>
              <w:t>Part 1</w:t>
            </w:r>
          </w:p>
        </w:tc>
        <w:tc>
          <w:tcPr>
            <w:tcW w:type="dxa" w:w="791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9"/>
              </w:rPr>
              <w:t>Operating principles and success criteria</w:t>
            </w:r>
          </w:p>
        </w:tc>
      </w:tr>
      <w:tr>
        <w:trPr>
          <w:cantSplit w:val="true"/>
        </w:trPr>
        <w:tc>
          <w:tcPr>
            <w:tcW w:type="dxa" w:w="14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color w:val="20262D"/>
                <w:sz w:val="19"/>
              </w:rPr>
              <w:t>Part 2</w:t>
            </w:r>
          </w:p>
        </w:tc>
        <w:tc>
          <w:tcPr>
            <w:tcW w:type="dxa" w:w="791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9"/>
              </w:rPr>
              <w:t>Governance, roles and our involvement</w:t>
            </w:r>
          </w:p>
        </w:tc>
      </w:tr>
      <w:tr>
        <w:trPr>
          <w:cantSplit w:val="true"/>
        </w:trPr>
        <w:tc>
          <w:tcPr>
            <w:tcW w:type="dxa" w:w="14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color w:val="20262D"/>
                <w:sz w:val="19"/>
              </w:rPr>
              <w:t>Part 3</w:t>
            </w:r>
          </w:p>
        </w:tc>
        <w:tc>
          <w:tcPr>
            <w:tcW w:type="dxa" w:w="791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9"/>
              </w:rPr>
              <w:t>Cutover strategy and phased implementation</w:t>
            </w:r>
          </w:p>
        </w:tc>
      </w:tr>
      <w:tr>
        <w:trPr>
          <w:cantSplit w:val="true"/>
        </w:trPr>
        <w:tc>
          <w:tcPr>
            <w:tcW w:type="dxa" w:w="14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color w:val="20262D"/>
                <w:sz w:val="19"/>
              </w:rPr>
              <w:t>Part 4</w:t>
            </w:r>
          </w:p>
        </w:tc>
        <w:tc>
          <w:tcPr>
            <w:tcW w:type="dxa" w:w="791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9"/>
              </w:rPr>
              <w:t>Pre-cutover actionables and information required</w:t>
            </w:r>
          </w:p>
        </w:tc>
      </w:tr>
      <w:tr>
        <w:trPr>
          <w:cantSplit w:val="true"/>
        </w:trPr>
        <w:tc>
          <w:tcPr>
            <w:tcW w:type="dxa" w:w="14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color w:val="20262D"/>
                <w:sz w:val="19"/>
              </w:rPr>
              <w:t>Part 5</w:t>
            </w:r>
          </w:p>
        </w:tc>
        <w:tc>
          <w:tcPr>
            <w:tcW w:type="dxa" w:w="791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9"/>
              </w:rPr>
              <w:t>Ideal structure of the new accounting system</w:t>
            </w:r>
          </w:p>
        </w:tc>
      </w:tr>
      <w:tr>
        <w:trPr>
          <w:cantSplit w:val="true"/>
        </w:trPr>
        <w:tc>
          <w:tcPr>
            <w:tcW w:type="dxa" w:w="14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color w:val="20262D"/>
                <w:sz w:val="19"/>
              </w:rPr>
              <w:t>Part 6</w:t>
            </w:r>
          </w:p>
        </w:tc>
        <w:tc>
          <w:tcPr>
            <w:tcW w:type="dxa" w:w="791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9"/>
              </w:rPr>
              <w:t>Plain-language entry workflows</w:t>
            </w:r>
          </w:p>
        </w:tc>
      </w:tr>
      <w:tr>
        <w:trPr>
          <w:cantSplit w:val="true"/>
        </w:trPr>
        <w:tc>
          <w:tcPr>
            <w:tcW w:type="dxa" w:w="14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color w:val="20262D"/>
                <w:sz w:val="19"/>
              </w:rPr>
              <w:t>Part 7</w:t>
            </w:r>
          </w:p>
        </w:tc>
        <w:tc>
          <w:tcPr>
            <w:tcW w:type="dxa" w:w="791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9"/>
              </w:rPr>
              <w:t>Cleaning and settling the previous data</w:t>
            </w:r>
          </w:p>
        </w:tc>
      </w:tr>
      <w:tr>
        <w:trPr>
          <w:cantSplit w:val="true"/>
        </w:trPr>
        <w:tc>
          <w:tcPr>
            <w:tcW w:type="dxa" w:w="14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color w:val="20262D"/>
                <w:sz w:val="19"/>
              </w:rPr>
              <w:t>Part 8</w:t>
            </w:r>
          </w:p>
        </w:tc>
        <w:tc>
          <w:tcPr>
            <w:tcW w:type="dxa" w:w="791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9"/>
              </w:rPr>
              <w:t>Red flags, control checks and prohibited practices</w:t>
            </w:r>
          </w:p>
        </w:tc>
      </w:tr>
      <w:tr>
        <w:trPr>
          <w:cantSplit w:val="true"/>
        </w:trPr>
        <w:tc>
          <w:tcPr>
            <w:tcW w:type="dxa" w:w="14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color w:val="20262D"/>
                <w:sz w:val="19"/>
              </w:rPr>
              <w:t>Part 9</w:t>
            </w:r>
          </w:p>
        </w:tc>
        <w:tc>
          <w:tcPr>
            <w:tcW w:type="dxa" w:w="791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9"/>
              </w:rPr>
              <w:t>Weekly review plan, completion tests and sign-off</w:t>
            </w:r>
          </w:p>
        </w:tc>
      </w:tr>
      <w:tr>
        <w:trPr>
          <w:cantSplit w:val="true"/>
        </w:trPr>
        <w:tc>
          <w:tcPr>
            <w:tcW w:type="dxa" w:w="14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color w:val="20262D"/>
                <w:sz w:val="19"/>
              </w:rPr>
              <w:t>Annexures</w:t>
            </w:r>
          </w:p>
        </w:tc>
        <w:tc>
          <w:tcPr>
            <w:tcW w:type="dxa" w:w="791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9"/>
              </w:rPr>
              <w:t>Detailed mapping, evidence pack and working templates</w:t>
            </w:r>
          </w:p>
        </w:tc>
      </w:tr>
    </w:tbl>
    <w:p>
      <w:pPr>
        <w:widowControl/>
        <w:spacing w:after="20"/>
      </w:pPr>
    </w:p>
    <w:p>
      <w:pPr>
        <w:pStyle w:val="Heading1"/>
        <w:keepNext/>
        <w:widowControl/>
      </w:pPr>
      <w:r>
        <w:t>Part 1 - Operating principles and success criteria</w:t>
      </w:r>
    </w:p>
    <w:p>
      <w:pPr>
        <w:pStyle w:val="Heading2"/>
        <w:keepNext/>
        <w:widowControl/>
      </w:pPr>
      <w:r>
        <w:t>1.1 The rules that will govern the new system</w:t>
      </w:r>
    </w:p>
    <w:p>
      <w:pPr>
        <w:widowControl/>
        <w:numPr>
          <w:ilvl w:val="0"/>
          <w:numId w:val="10"/>
        </w:numPr>
        <w:spacing w:after="80" w:line="269" w:lineRule="auto"/>
        <w:ind w:left="720" w:hanging="360"/>
      </w:pPr>
      <w:r>
        <w:rPr>
          <w:rFonts w:ascii="Aptos" w:hAnsi="Aptos"/>
          <w:b/>
        </w:rPr>
        <w:t>Business and personal must remain separate.</w:t>
      </w:r>
      <w:r>
        <w:rPr>
          <w:rFonts w:ascii="Aptos" w:hAnsi="Aptos"/>
        </w:rPr>
        <w:t xml:space="preserve"> Personal bank accounts, home loans, LIC, personal income tax and private withdrawals do not belong in business expense or business bank groups.</w:t>
      </w:r>
    </w:p>
    <w:p>
      <w:pPr>
        <w:widowControl/>
        <w:numPr>
          <w:ilvl w:val="0"/>
          <w:numId w:val="10"/>
        </w:numPr>
        <w:spacing w:after="80" w:line="269" w:lineRule="auto"/>
        <w:ind w:left="720" w:hanging="360"/>
      </w:pPr>
      <w:r>
        <w:rPr>
          <w:rFonts w:ascii="Aptos" w:hAnsi="Aptos"/>
          <w:b/>
        </w:rPr>
        <w:t>One real party, one master ledger.</w:t>
      </w:r>
      <w:r>
        <w:rPr>
          <w:rFonts w:ascii="Aptos" w:hAnsi="Aptos"/>
        </w:rPr>
        <w:t xml:space="preserve"> A supplier or customer should ordinarily have one master for each GSTIN/legal identity. Branch/location belongs in cost centre, material centre or branch tags.</w:t>
      </w:r>
    </w:p>
    <w:p>
      <w:pPr>
        <w:widowControl/>
        <w:numPr>
          <w:ilvl w:val="0"/>
          <w:numId w:val="10"/>
        </w:numPr>
        <w:spacing w:after="80" w:line="269" w:lineRule="auto"/>
        <w:ind w:left="720" w:hanging="360"/>
      </w:pPr>
      <w:r>
        <w:rPr>
          <w:rFonts w:ascii="Aptos" w:hAnsi="Aptos"/>
          <w:b/>
        </w:rPr>
        <w:t>Every balance must be explainable.</w:t>
      </w:r>
      <w:r>
        <w:rPr>
          <w:rFonts w:ascii="Aptos" w:hAnsi="Aptos"/>
        </w:rPr>
        <w:t xml:space="preserve"> No amount should be parked in Suspense, X-series, employee-name or vague discount ledgers merely to make a voucher balance.</w:t>
      </w:r>
    </w:p>
    <w:p>
      <w:pPr>
        <w:widowControl/>
        <w:numPr>
          <w:ilvl w:val="0"/>
          <w:numId w:val="10"/>
        </w:numPr>
        <w:spacing w:after="80" w:line="269" w:lineRule="auto"/>
        <w:ind w:left="720" w:hanging="360"/>
      </w:pPr>
      <w:r>
        <w:rPr>
          <w:rFonts w:ascii="Aptos" w:hAnsi="Aptos"/>
          <w:b/>
        </w:rPr>
        <w:t>Evidence comes before reclassification.</w:t>
      </w:r>
      <w:r>
        <w:rPr>
          <w:rFonts w:ascii="Aptos" w:hAnsi="Aptos"/>
        </w:rPr>
        <w:t xml:space="preserve"> Bank statements, loan schedules, invoices, credit notes, cash sheets and written management confirmation must support corrections.</w:t>
      </w:r>
    </w:p>
    <w:p>
      <w:pPr>
        <w:widowControl/>
        <w:numPr>
          <w:ilvl w:val="0"/>
          <w:numId w:val="10"/>
        </w:numPr>
        <w:spacing w:after="80" w:line="269" w:lineRule="auto"/>
        <w:ind w:left="720" w:hanging="360"/>
      </w:pPr>
      <w:r>
        <w:rPr>
          <w:rFonts w:ascii="Aptos" w:hAnsi="Aptos"/>
          <w:b/>
        </w:rPr>
        <w:t>The old system must remain preserved.</w:t>
      </w:r>
      <w:r>
        <w:rPr>
          <w:rFonts w:ascii="Aptos" w:hAnsi="Aptos"/>
        </w:rPr>
        <w:t xml:space="preserve"> Legacy ledgers should not be deleted from the historical company where vouchers already exist. The legacy file will be backed up, locked and retained for audit trail.</w:t>
      </w:r>
    </w:p>
    <w:p>
      <w:pPr>
        <w:widowControl/>
        <w:numPr>
          <w:ilvl w:val="0"/>
          <w:numId w:val="10"/>
        </w:numPr>
        <w:spacing w:after="80" w:line="269" w:lineRule="auto"/>
        <w:ind w:left="720" w:hanging="360"/>
      </w:pPr>
      <w:r>
        <w:rPr>
          <w:rFonts w:ascii="Aptos" w:hAnsi="Aptos"/>
          <w:b/>
        </w:rPr>
        <w:t>No unilateral changes.</w:t>
      </w:r>
      <w:r>
        <w:rPr>
          <w:rFonts w:ascii="Aptos" w:hAnsi="Aptos"/>
        </w:rPr>
        <w:t xml:space="preserve"> Material ledger creation, opening balance, write-off, prior-period adjustment and tax treatment will be discussed between the client accountant and our senior reviewer before posting.</w:t>
      </w:r>
    </w:p>
    <w:p>
      <w:pPr>
        <w:widowControl/>
        <w:numPr>
          <w:ilvl w:val="0"/>
          <w:numId w:val="10"/>
        </w:numPr>
        <w:spacing w:after="80" w:line="269" w:lineRule="auto"/>
        <w:ind w:left="720" w:hanging="360"/>
      </w:pPr>
      <w:r>
        <w:rPr>
          <w:rFonts w:ascii="Aptos" w:hAnsi="Aptos"/>
          <w:b/>
        </w:rPr>
        <w:t>Branch identity will be analytical, not a ledger suffix.</w:t>
      </w:r>
      <w:r>
        <w:rPr>
          <w:rFonts w:ascii="Aptos" w:hAnsi="Aptos"/>
        </w:rPr>
        <w:t xml:space="preserve"> Branches will be reported through BUSY branch/cost/material-centre features, subject to the installed edition and final configuration.</w:t>
      </w:r>
    </w:p>
    <w:p>
      <w:pPr>
        <w:pStyle w:val="Heading2"/>
        <w:keepNext/>
        <w:widowControl/>
      </w:pPr>
      <w:r>
        <w:t>1.2 What “success” will look like</w:t>
      </w:r>
    </w:p>
    <w:tbl>
      <w:tblPr>
        <w:tblW w:type="dxa" w:w="9360"/>
        <w:jc w:val="left"/>
        <w:tblLayout w:type="fixed"/>
        <w:tblLook w:firstColumn="1" w:firstRow="1" w:lastColumn="0" w:lastRow="0" w:noHBand="0" w:noVBand="1" w:val="04A0"/>
        <w:tblInd w:w="120" w:type="dxa"/>
      </w:tblPr>
      <w:tblGrid>
        <w:gridCol w:w="1800"/>
        <w:gridCol w:w="7560"/>
      </w:tblGrid>
      <w:tr>
        <w:trPr>
          <w:tblHeader w:val="true"/>
          <w:cantSplit w:val="true"/>
        </w:trPr>
        <w:tc>
          <w:tcPr>
            <w:tcW w:type="dxa" w:w="1800"/>
            <w:vAlign w:val="center"/>
            <w:shd w:fill="17324D"/>
            <w:tcMar>
              <w:top w:w="100" w:type="dxa"/>
              <w:start w:w="120" w:type="dxa"/>
              <w:bottom w:w="100" w:type="dxa"/>
              <w:end w:w="120" w:type="dxa"/>
            </w:tcMar>
            <w:tcBorders>
              <w:top w:val="single" w:sz="6" w:color="17324D"/>
              <w:left w:val="single" w:sz="6" w:color="17324D"/>
              <w:bottom w:val="single" w:sz="6" w:color="17324D"/>
              <w:right w:val="single" w:sz="6" w:color="17324D"/>
              <w:insideH w:val="single" w:sz="6" w:color="17324D"/>
              <w:insideV w:val="single" w:sz="6" w:color="17324D"/>
            </w:tcBorders>
          </w:tcPr>
          <w:p>
            <w:pPr>
              <w:keepLines/>
              <w:widowControl/>
              <w:spacing w:after="0" w:line="240" w:lineRule="auto"/>
            </w:pPr>
            <w:r/>
            <w:r>
              <w:rPr>
                <w:rFonts w:ascii="Aptos" w:hAnsi="Aptos"/>
                <w:b/>
                <w:color w:val="FFFFFF"/>
                <w:sz w:val="18"/>
              </w:rPr>
              <w:t>Area</w:t>
            </w:r>
          </w:p>
        </w:tc>
        <w:tc>
          <w:tcPr>
            <w:tcW w:type="dxa" w:w="7560"/>
            <w:vAlign w:val="center"/>
            <w:shd w:fill="17324D"/>
            <w:tcMar>
              <w:top w:w="100" w:type="dxa"/>
              <w:start w:w="120" w:type="dxa"/>
              <w:bottom w:w="100" w:type="dxa"/>
              <w:end w:w="120" w:type="dxa"/>
            </w:tcMar>
            <w:tcBorders>
              <w:top w:val="single" w:sz="6" w:color="17324D"/>
              <w:left w:val="single" w:sz="6" w:color="17324D"/>
              <w:bottom w:val="single" w:sz="6" w:color="17324D"/>
              <w:right w:val="single" w:sz="6" w:color="17324D"/>
              <w:insideH w:val="single" w:sz="6" w:color="17324D"/>
              <w:insideV w:val="single" w:sz="6" w:color="17324D"/>
            </w:tcBorders>
          </w:tcPr>
          <w:p>
            <w:pPr>
              <w:keepLines/>
              <w:widowControl/>
              <w:spacing w:after="0" w:line="240" w:lineRule="auto"/>
            </w:pPr>
            <w:r/>
            <w:r>
              <w:rPr>
                <w:rFonts w:ascii="Aptos" w:hAnsi="Aptos"/>
                <w:b/>
                <w:color w:val="FFFFFF"/>
                <w:sz w:val="18"/>
              </w:rPr>
              <w:t>Completion test</w:t>
            </w:r>
          </w:p>
        </w:tc>
      </w:tr>
      <w:tr>
        <w:trPr>
          <w:cantSplit w:val="true"/>
        </w:trPr>
        <w:tc>
          <w:tcPr>
            <w:tcW w:type="dxa" w:w="18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color w:val="20262D"/>
                <w:sz w:val="18"/>
              </w:rPr>
              <w:t>Opening balances</w:t>
            </w:r>
          </w:p>
        </w:tc>
        <w:tc>
          <w:tcPr>
            <w:tcW w:type="dxa" w:w="756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8"/>
              </w:rPr>
              <w:t>All material balances as at 30 September are tied to evidence and signed off.</w:t>
            </w:r>
          </w:p>
        </w:tc>
      </w:tr>
      <w:tr>
        <w:trPr>
          <w:cantSplit w:val="true"/>
        </w:trPr>
        <w:tc>
          <w:tcPr>
            <w:tcW w:type="dxa" w:w="18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color w:val="20262D"/>
                <w:sz w:val="18"/>
              </w:rPr>
              <w:t>Bank and cash</w:t>
            </w:r>
          </w:p>
        </w:tc>
        <w:tc>
          <w:tcPr>
            <w:tcW w:type="dxa" w:w="756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8"/>
              </w:rPr>
              <w:t>Each bank is reconciled; no unexplained negative cash ledger exists.</w:t>
            </w:r>
          </w:p>
        </w:tc>
      </w:tr>
      <w:tr>
        <w:trPr>
          <w:cantSplit w:val="true"/>
        </w:trPr>
        <w:tc>
          <w:tcPr>
            <w:tcW w:type="dxa" w:w="18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color w:val="20262D"/>
                <w:sz w:val="18"/>
              </w:rPr>
              <w:t>Loans</w:t>
            </w:r>
          </w:p>
        </w:tc>
        <w:tc>
          <w:tcPr>
            <w:tcW w:type="dxa" w:w="756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8"/>
              </w:rPr>
              <w:t>Each business loan carries its principal outstanding as a credit liability; EMI is split between principal and interest.</w:t>
            </w:r>
          </w:p>
        </w:tc>
      </w:tr>
      <w:tr>
        <w:trPr>
          <w:cantSplit w:val="true"/>
        </w:trPr>
        <w:tc>
          <w:tcPr>
            <w:tcW w:type="dxa" w:w="18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color w:val="20262D"/>
                <w:sz w:val="18"/>
              </w:rPr>
              <w:t>Parties</w:t>
            </w:r>
          </w:p>
        </w:tc>
        <w:tc>
          <w:tcPr>
            <w:tcW w:type="dxa" w:w="756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8"/>
              </w:rPr>
              <w:t>Duplicate suppliers/customers are replaced with one GSTIN-based master and bill-wise tracking.</w:t>
            </w:r>
          </w:p>
        </w:tc>
      </w:tr>
      <w:tr>
        <w:trPr>
          <w:cantSplit w:val="true"/>
        </w:trPr>
        <w:tc>
          <w:tcPr>
            <w:tcW w:type="dxa" w:w="18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color w:val="20262D"/>
                <w:sz w:val="18"/>
              </w:rPr>
              <w:t>Branches</w:t>
            </w:r>
          </w:p>
        </w:tc>
        <w:tc>
          <w:tcPr>
            <w:tcW w:type="dxa" w:w="756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8"/>
              </w:rPr>
              <w:t>Branch and employee funds are visible through branch cash and imprest, not informal wallet/day-sheet ledgers.</w:t>
            </w:r>
          </w:p>
        </w:tc>
      </w:tr>
      <w:tr>
        <w:trPr>
          <w:cantSplit w:val="true"/>
        </w:trPr>
        <w:tc>
          <w:tcPr>
            <w:tcW w:type="dxa" w:w="18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color w:val="20262D"/>
                <w:sz w:val="18"/>
              </w:rPr>
              <w:t>Tax</w:t>
            </w:r>
          </w:p>
        </w:tc>
        <w:tc>
          <w:tcPr>
            <w:tcW w:type="dxa" w:w="756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8"/>
              </w:rPr>
              <w:t>GST/TDS treatment is configured and reviewed; freight RCM is applied only where the legal conditions are met.</w:t>
            </w:r>
          </w:p>
        </w:tc>
      </w:tr>
      <w:tr>
        <w:trPr>
          <w:cantSplit w:val="true"/>
        </w:trPr>
        <w:tc>
          <w:tcPr>
            <w:tcW w:type="dxa" w:w="18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color w:val="20262D"/>
                <w:sz w:val="18"/>
              </w:rPr>
              <w:t>Review</w:t>
            </w:r>
          </w:p>
        </w:tc>
        <w:tc>
          <w:tcPr>
            <w:tcW w:type="dxa" w:w="756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8"/>
              </w:rPr>
              <w:t>The October month-end close is completed with exception reports, reconciliations and joint sign-off.</w:t>
            </w:r>
          </w:p>
        </w:tc>
      </w:tr>
    </w:tbl>
    <w:p>
      <w:pPr>
        <w:widowControl/>
        <w:spacing w:after="20"/>
      </w:pPr>
    </w:p>
    <w:p>
      <w:pPr>
        <w:pStyle w:val="Heading1"/>
        <w:keepNext/>
        <w:widowControl/>
      </w:pPr>
      <w:r>
        <w:t>Part 2 - Governance, roles and our involvement</w:t>
      </w:r>
    </w:p>
    <w:p>
      <w:pPr>
        <w:widowControl/>
      </w:pPr>
      <w:r>
        <w:rPr>
          <w:rFonts w:ascii="Aptos" w:hAnsi="Aptos"/>
          <w:i w:val="0"/>
        </w:rPr>
        <w:t>The strongest model is collaborative: the client-side accountant brings detailed operational knowledge and executes the day-to-day work; our team owns the architecture, provides senior review, challenges unsupported treatment and keeps the transition on schedule. Management remains the final authority for commercial facts, write-offs and policy decisions.</w:t>
      </w:r>
    </w:p>
    <w:p>
      <w:pPr>
        <w:pStyle w:val="Heading2"/>
        <w:keepNext/>
        <w:widowControl/>
      </w:pPr>
      <w:r>
        <w:t>2.1 Role of each participant</w:t>
      </w:r>
    </w:p>
    <w:tbl>
      <w:tblPr>
        <w:tblW w:type="dxa" w:w="9360"/>
        <w:jc w:val="left"/>
        <w:tblLayout w:type="fixed"/>
        <w:tblLook w:firstColumn="1" w:firstRow="1" w:lastColumn="0" w:lastRow="0" w:noHBand="0" w:noVBand="1" w:val="04A0"/>
        <w:tblInd w:w="120" w:type="dxa"/>
      </w:tblPr>
      <w:tblGrid>
        <w:gridCol w:w="2300"/>
        <w:gridCol w:w="7060"/>
      </w:tblGrid>
      <w:tr>
        <w:trPr>
          <w:tblHeader w:val="true"/>
          <w:cantSplit w:val="true"/>
        </w:trPr>
        <w:tc>
          <w:tcPr>
            <w:tcW w:type="dxa" w:w="2300"/>
            <w:vAlign w:val="center"/>
            <w:shd w:fill="17324D"/>
            <w:tcMar>
              <w:top w:w="100" w:type="dxa"/>
              <w:start w:w="120" w:type="dxa"/>
              <w:bottom w:w="100" w:type="dxa"/>
              <w:end w:w="120" w:type="dxa"/>
            </w:tcMar>
            <w:tcBorders>
              <w:top w:val="single" w:sz="6" w:color="17324D"/>
              <w:left w:val="single" w:sz="6" w:color="17324D"/>
              <w:bottom w:val="single" w:sz="6" w:color="17324D"/>
              <w:right w:val="single" w:sz="6" w:color="17324D"/>
              <w:insideH w:val="single" w:sz="6" w:color="17324D"/>
              <w:insideV w:val="single" w:sz="6" w:color="17324D"/>
            </w:tcBorders>
          </w:tcPr>
          <w:p>
            <w:pPr>
              <w:keepLines/>
              <w:widowControl/>
              <w:spacing w:after="0" w:line="240" w:lineRule="auto"/>
            </w:pPr>
            <w:r/>
            <w:r>
              <w:rPr>
                <w:rFonts w:ascii="Aptos" w:hAnsi="Aptos"/>
                <w:b/>
                <w:color w:val="FFFFFF"/>
                <w:sz w:val="18"/>
              </w:rPr>
              <w:t>Participant</w:t>
            </w:r>
          </w:p>
        </w:tc>
        <w:tc>
          <w:tcPr>
            <w:tcW w:type="dxa" w:w="7060"/>
            <w:vAlign w:val="center"/>
            <w:shd w:fill="17324D"/>
            <w:tcMar>
              <w:top w:w="100" w:type="dxa"/>
              <w:start w:w="120" w:type="dxa"/>
              <w:bottom w:w="100" w:type="dxa"/>
              <w:end w:w="120" w:type="dxa"/>
            </w:tcMar>
            <w:tcBorders>
              <w:top w:val="single" w:sz="6" w:color="17324D"/>
              <w:left w:val="single" w:sz="6" w:color="17324D"/>
              <w:bottom w:val="single" w:sz="6" w:color="17324D"/>
              <w:right w:val="single" w:sz="6" w:color="17324D"/>
              <w:insideH w:val="single" w:sz="6" w:color="17324D"/>
              <w:insideV w:val="single" w:sz="6" w:color="17324D"/>
            </w:tcBorders>
          </w:tcPr>
          <w:p>
            <w:pPr>
              <w:keepLines/>
              <w:widowControl/>
              <w:spacing w:after="0" w:line="240" w:lineRule="auto"/>
            </w:pPr>
            <w:r/>
            <w:r>
              <w:rPr>
                <w:rFonts w:ascii="Aptos" w:hAnsi="Aptos"/>
                <w:b/>
                <w:color w:val="FFFFFF"/>
                <w:sz w:val="18"/>
              </w:rPr>
              <w:t>Primary responsibility</w:t>
            </w:r>
          </w:p>
        </w:tc>
      </w:tr>
      <w:tr>
        <w:trPr>
          <w:cantSplit w:val="true"/>
        </w:trPr>
        <w:tc>
          <w:tcPr>
            <w:tcW w:type="dxa" w:w="23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color w:val="20262D"/>
                <w:sz w:val="18"/>
              </w:rPr>
              <w:t>Client management / proprietor</w:t>
            </w:r>
          </w:p>
        </w:tc>
        <w:tc>
          <w:tcPr>
            <w:tcW w:type="dxa" w:w="706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8"/>
              </w:rPr>
              <w:t>Confirm business facts; approve write-offs, capital adjustments and final opening balances; resolve long-pending exceptions.</w:t>
            </w:r>
          </w:p>
        </w:tc>
      </w:tr>
      <w:tr>
        <w:trPr>
          <w:cantSplit w:val="true"/>
        </w:trPr>
        <w:tc>
          <w:tcPr>
            <w:tcW w:type="dxa" w:w="23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color w:val="20262D"/>
                <w:sz w:val="18"/>
              </w:rPr>
              <w:t>Client-side accountant</w:t>
            </w:r>
          </w:p>
        </w:tc>
        <w:tc>
          <w:tcPr>
            <w:tcW w:type="dxa" w:w="706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8"/>
              </w:rPr>
              <w:t>Maintain daily books, produce schedules, explain existing entries, collect evidence and implement jointly approved corrections.</w:t>
            </w:r>
          </w:p>
        </w:tc>
      </w:tr>
      <w:tr>
        <w:trPr>
          <w:cantSplit w:val="true"/>
        </w:trPr>
        <w:tc>
          <w:tcPr>
            <w:tcW w:type="dxa" w:w="23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color w:val="20262D"/>
                <w:sz w:val="18"/>
              </w:rPr>
              <w:t>Our engagement lead</w:t>
            </w:r>
          </w:p>
        </w:tc>
        <w:tc>
          <w:tcPr>
            <w:tcW w:type="dxa" w:w="706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8"/>
              </w:rPr>
              <w:t>Own the migration plan, chair weekly reviews, maintain decision and exception logs, and report progress to management.</w:t>
            </w:r>
          </w:p>
        </w:tc>
      </w:tr>
      <w:tr>
        <w:trPr>
          <w:cantSplit w:val="true"/>
        </w:trPr>
        <w:tc>
          <w:tcPr>
            <w:tcW w:type="dxa" w:w="23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color w:val="20262D"/>
                <w:sz w:val="18"/>
              </w:rPr>
              <w:t>Our senior accountant</w:t>
            </w:r>
          </w:p>
        </w:tc>
        <w:tc>
          <w:tcPr>
            <w:tcW w:type="dxa" w:w="706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8"/>
              </w:rPr>
              <w:t>Approve ledger architecture, review accounting treatment, test reconciliations, examine red flags and certify readiness.</w:t>
            </w:r>
          </w:p>
        </w:tc>
      </w:tr>
      <w:tr>
        <w:trPr>
          <w:cantSplit w:val="true"/>
        </w:trPr>
        <w:tc>
          <w:tcPr>
            <w:tcW w:type="dxa" w:w="23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color w:val="20262D"/>
                <w:sz w:val="18"/>
              </w:rPr>
              <w:t>BUSY implementation support</w:t>
            </w:r>
          </w:p>
        </w:tc>
        <w:tc>
          <w:tcPr>
            <w:tcW w:type="dxa" w:w="706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8"/>
              </w:rPr>
              <w:t>Configure masters, rights, series, branch/cost/material-centre options, backups and reports after approval.</w:t>
            </w:r>
          </w:p>
        </w:tc>
      </w:tr>
      <w:tr>
        <w:trPr>
          <w:cantSplit w:val="true"/>
        </w:trPr>
        <w:tc>
          <w:tcPr>
            <w:tcW w:type="dxa" w:w="23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color w:val="20262D"/>
                <w:sz w:val="18"/>
              </w:rPr>
              <w:t>Branch / operational users</w:t>
            </w:r>
          </w:p>
        </w:tc>
        <w:tc>
          <w:tcPr>
            <w:tcW w:type="dxa" w:w="706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8"/>
              </w:rPr>
              <w:t>Submit cash sheets, invoices, vouchers and expense proofs within the agreed time and use only approved masters.</w:t>
            </w:r>
          </w:p>
        </w:tc>
      </w:tr>
    </w:tbl>
    <w:p>
      <w:pPr>
        <w:widowControl/>
        <w:spacing w:after="20"/>
      </w:pPr>
    </w:p>
    <w:p>
      <w:pPr>
        <w:pStyle w:val="Heading2"/>
        <w:keepNext/>
        <w:widowControl/>
      </w:pPr>
      <w:r>
        <w:t>2.2 Decision and approval discipline</w:t>
      </w:r>
    </w:p>
    <w:p>
      <w:pPr>
        <w:widowControl/>
        <w:numPr>
          <w:ilvl w:val="0"/>
          <w:numId w:val="11"/>
        </w:numPr>
        <w:spacing w:after="100"/>
        <w:ind w:left="720" w:hanging="360"/>
      </w:pPr>
      <w:r>
        <w:rPr>
          <w:rFonts w:ascii="Aptos" w:hAnsi="Aptos"/>
        </w:rPr>
        <w:t>The client-side accountant prepares the proposed treatment and supporting schedule.</w:t>
      </w:r>
    </w:p>
    <w:p>
      <w:pPr>
        <w:widowControl/>
        <w:numPr>
          <w:ilvl w:val="0"/>
          <w:numId w:val="11"/>
        </w:numPr>
        <w:spacing w:after="100"/>
        <w:ind w:left="720" w:hanging="360"/>
      </w:pPr>
      <w:r>
        <w:rPr>
          <w:rFonts w:ascii="Aptos" w:hAnsi="Aptos"/>
        </w:rPr>
        <w:t>Our senior accountant reviews the accounting logic, mapping, documentary support and tax impact.</w:t>
      </w:r>
    </w:p>
    <w:p>
      <w:pPr>
        <w:widowControl/>
        <w:numPr>
          <w:ilvl w:val="0"/>
          <w:numId w:val="11"/>
        </w:numPr>
        <w:spacing w:after="100"/>
        <w:ind w:left="720" w:hanging="360"/>
      </w:pPr>
      <w:r>
        <w:rPr>
          <w:rFonts w:ascii="Aptos" w:hAnsi="Aptos"/>
        </w:rPr>
        <w:t>Material differences are discussed jointly; the reason and final decision are recorded in the Decision Log.</w:t>
      </w:r>
    </w:p>
    <w:p>
      <w:pPr>
        <w:widowControl/>
        <w:numPr>
          <w:ilvl w:val="0"/>
          <w:numId w:val="11"/>
        </w:numPr>
        <w:spacing w:after="100"/>
        <w:ind w:left="720" w:hanging="360"/>
      </w:pPr>
      <w:r>
        <w:rPr>
          <w:rFonts w:ascii="Aptos" w:hAnsi="Aptos"/>
        </w:rPr>
        <w:t>Management approval is obtained for write-offs, proprietor-related adjustments, balances lacking evidence, or matters that may affect tax or reported profit.</w:t>
      </w:r>
    </w:p>
    <w:p>
      <w:pPr>
        <w:widowControl/>
        <w:numPr>
          <w:ilvl w:val="0"/>
          <w:numId w:val="11"/>
        </w:numPr>
        <w:spacing w:after="100"/>
        <w:ind w:left="720" w:hanging="360"/>
      </w:pPr>
      <w:r>
        <w:rPr>
          <w:rFonts w:ascii="Aptos" w:hAnsi="Aptos"/>
        </w:rPr>
        <w:t>Only the approved person posts the entry. A different reviewer checks the entry and marks it complete.</w:t>
      </w:r>
    </w:p>
    <w:p>
      <w:pPr>
        <w:pStyle w:val="DecisionCallout"/>
        <w:widowControl/>
      </w:pPr>
      <w:r>
        <w:rPr>
          <w:rFonts w:ascii="Aptos" w:hAnsi="Aptos"/>
          <w:b/>
          <w:color w:val="17324D"/>
        </w:rPr>
        <w:t xml:space="preserve">Our position in the assignment  </w:t>
      </w:r>
      <w:r>
        <w:rPr>
          <w:rFonts w:ascii="Aptos" w:hAnsi="Aptos"/>
          <w:color w:val="17324D"/>
        </w:rPr>
        <w:t>Our team is not an extra data-entry layer. We are responsible for system design, accounting-quality review, migration control, management reporting and completion certification. The client-side accountant is a professional counterpart and the operating custodian of the books.</w:t>
      </w:r>
    </w:p>
    <w:p>
      <w:pPr>
        <w:pStyle w:val="Heading2"/>
        <w:keepNext/>
        <w:widowControl/>
      </w:pPr>
      <w:r>
        <w:t>2.3 Weekly on-site working model</w:t>
      </w:r>
    </w:p>
    <w:p>
      <w:pPr>
        <w:widowControl/>
      </w:pPr>
      <w:r>
        <w:rPr>
          <w:rFonts w:ascii="Aptos" w:hAnsi="Aptos"/>
          <w:i w:val="0"/>
        </w:rPr>
        <w:t>Our team will visit weekly, with a senior accountant participating in the critical review sessions. Between visits, the client accountant will work from an agreed action list. Urgent issues can be discussed remotely, but decisions affecting opening balances or tax will be confirmed in writing.</w:t>
      </w:r>
    </w:p>
    <w:tbl>
      <w:tblPr>
        <w:tblW w:type="dxa" w:w="9360"/>
        <w:jc w:val="left"/>
        <w:tblLayout w:type="fixed"/>
        <w:tblLook w:firstColumn="1" w:firstRow="1" w:lastColumn="0" w:lastRow="0" w:noHBand="0" w:noVBand="1" w:val="04A0"/>
        <w:tblInd w:w="120" w:type="dxa"/>
      </w:tblPr>
      <w:tblGrid>
        <w:gridCol w:w="1800"/>
        <w:gridCol w:w="7560"/>
      </w:tblGrid>
      <w:tr>
        <w:trPr>
          <w:tblHeader w:val="true"/>
          <w:cantSplit w:val="true"/>
        </w:trPr>
        <w:tc>
          <w:tcPr>
            <w:tcW w:type="dxa" w:w="1800"/>
            <w:vAlign w:val="center"/>
            <w:shd w:fill="17324D"/>
            <w:tcMar>
              <w:top w:w="100" w:type="dxa"/>
              <w:start w:w="120" w:type="dxa"/>
              <w:bottom w:w="100" w:type="dxa"/>
              <w:end w:w="120" w:type="dxa"/>
            </w:tcMar>
            <w:tcBorders>
              <w:top w:val="single" w:sz="6" w:color="17324D"/>
              <w:left w:val="single" w:sz="6" w:color="17324D"/>
              <w:bottom w:val="single" w:sz="6" w:color="17324D"/>
              <w:right w:val="single" w:sz="6" w:color="17324D"/>
              <w:insideH w:val="single" w:sz="6" w:color="17324D"/>
              <w:insideV w:val="single" w:sz="6" w:color="17324D"/>
            </w:tcBorders>
          </w:tcPr>
          <w:p>
            <w:pPr>
              <w:keepLines/>
              <w:widowControl/>
              <w:spacing w:after="0" w:line="240" w:lineRule="auto"/>
            </w:pPr>
            <w:r/>
            <w:r>
              <w:rPr>
                <w:rFonts w:ascii="Aptos" w:hAnsi="Aptos"/>
                <w:b/>
                <w:color w:val="FFFFFF"/>
                <w:sz w:val="18"/>
              </w:rPr>
              <w:t>Stage</w:t>
            </w:r>
          </w:p>
        </w:tc>
        <w:tc>
          <w:tcPr>
            <w:tcW w:type="dxa" w:w="7560"/>
            <w:vAlign w:val="center"/>
            <w:shd w:fill="17324D"/>
            <w:tcMar>
              <w:top w:w="100" w:type="dxa"/>
              <w:start w:w="120" w:type="dxa"/>
              <w:bottom w:w="100" w:type="dxa"/>
              <w:end w:w="120" w:type="dxa"/>
            </w:tcMar>
            <w:tcBorders>
              <w:top w:val="single" w:sz="6" w:color="17324D"/>
              <w:left w:val="single" w:sz="6" w:color="17324D"/>
              <w:bottom w:val="single" w:sz="6" w:color="17324D"/>
              <w:right w:val="single" w:sz="6" w:color="17324D"/>
              <w:insideH w:val="single" w:sz="6" w:color="17324D"/>
              <w:insideV w:val="single" w:sz="6" w:color="17324D"/>
            </w:tcBorders>
          </w:tcPr>
          <w:p>
            <w:pPr>
              <w:keepLines/>
              <w:widowControl/>
              <w:spacing w:after="0" w:line="240" w:lineRule="auto"/>
            </w:pPr>
            <w:r/>
            <w:r>
              <w:rPr>
                <w:rFonts w:ascii="Aptos" w:hAnsi="Aptos"/>
                <w:b/>
                <w:color w:val="FFFFFF"/>
                <w:sz w:val="18"/>
              </w:rPr>
              <w:t>Expected output</w:t>
            </w:r>
          </w:p>
        </w:tc>
      </w:tr>
      <w:tr>
        <w:trPr>
          <w:cantSplit w:val="true"/>
        </w:trPr>
        <w:tc>
          <w:tcPr>
            <w:tcW w:type="dxa" w:w="18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color w:val="20262D"/>
                <w:sz w:val="18"/>
              </w:rPr>
              <w:t>Before visit</w:t>
            </w:r>
          </w:p>
        </w:tc>
        <w:tc>
          <w:tcPr>
            <w:tcW w:type="dxa" w:w="756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8"/>
              </w:rPr>
              <w:t>Updated trial balance, bank reconciliations, exception log and evidence files shared.</w:t>
            </w:r>
          </w:p>
        </w:tc>
      </w:tr>
      <w:tr>
        <w:trPr>
          <w:cantSplit w:val="true"/>
        </w:trPr>
        <w:tc>
          <w:tcPr>
            <w:tcW w:type="dxa" w:w="18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color w:val="20262D"/>
                <w:sz w:val="18"/>
              </w:rPr>
              <w:t>During visit</w:t>
            </w:r>
          </w:p>
        </w:tc>
        <w:tc>
          <w:tcPr>
            <w:tcW w:type="dxa" w:w="756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8"/>
              </w:rPr>
              <w:t>Review prior actions, clear difficult items, test sample vouchers, approve mappings and agree next priorities.</w:t>
            </w:r>
          </w:p>
        </w:tc>
      </w:tr>
      <w:tr>
        <w:trPr>
          <w:cantSplit w:val="true"/>
        </w:trPr>
        <w:tc>
          <w:tcPr>
            <w:tcW w:type="dxa" w:w="18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color w:val="20262D"/>
                <w:sz w:val="18"/>
              </w:rPr>
              <w:t>After visit</w:t>
            </w:r>
          </w:p>
        </w:tc>
        <w:tc>
          <w:tcPr>
            <w:tcW w:type="dxa" w:w="756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8"/>
              </w:rPr>
              <w:t>Issue minutes, decision log, responsibility list and RAG status within one working day.</w:t>
            </w:r>
          </w:p>
        </w:tc>
      </w:tr>
      <w:tr>
        <w:trPr>
          <w:cantSplit w:val="true"/>
        </w:trPr>
        <w:tc>
          <w:tcPr>
            <w:tcW w:type="dxa" w:w="18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color w:val="20262D"/>
                <w:sz w:val="18"/>
              </w:rPr>
              <w:t>Escalation</w:t>
            </w:r>
          </w:p>
        </w:tc>
        <w:tc>
          <w:tcPr>
            <w:tcW w:type="dxa" w:w="756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8"/>
              </w:rPr>
              <w:t>Items unresolved for two review cycles or above the materiality set by management move to sponsor review.</w:t>
            </w:r>
          </w:p>
        </w:tc>
      </w:tr>
    </w:tbl>
    <w:p>
      <w:pPr>
        <w:widowControl/>
        <w:spacing w:after="20"/>
      </w:pPr>
    </w:p>
    <w:p>
      <w:pPr>
        <w:pStyle w:val="Heading1"/>
        <w:keepNext/>
        <w:widowControl/>
      </w:pPr>
      <w:r>
        <w:t>Part 3 - Cutover strategy and phased implementation</w:t>
      </w:r>
    </w:p>
    <w:p>
      <w:pPr>
        <w:pStyle w:val="LeadCallout"/>
        <w:widowControl/>
      </w:pPr>
      <w:r>
        <w:rPr>
          <w:rFonts w:ascii="Aptos" w:hAnsi="Aptos"/>
          <w:b/>
          <w:color w:val="17324D"/>
        </w:rPr>
        <w:t xml:space="preserve">Recommended cutover model  </w:t>
      </w:r>
      <w:r>
        <w:rPr>
          <w:rFonts w:ascii="Aptos" w:hAnsi="Aptos"/>
          <w:color w:val="17324D"/>
        </w:rPr>
        <w:t>Run two controlled workstreams in parallel: (A) clean live accounting from 1 October onward, and (B) legacy clean-up up to 30 September. They meet only through an approved opening-balance pack and, if management chooses, a controlled reconstruction/import of earlier 2026-27 transactions.</w:t>
      </w:r>
    </w:p>
    <w:p>
      <w:pPr>
        <w:pStyle w:val="Heading2"/>
        <w:keepNext/>
        <w:widowControl/>
      </w:pPr>
      <w:r>
        <w:t>3.1 Workstream A - Fresh accounting from 1 October 2026</w:t>
      </w:r>
    </w:p>
    <w:p>
      <w:pPr>
        <w:widowControl/>
        <w:numPr>
          <w:ilvl w:val="0"/>
          <w:numId w:val="10"/>
        </w:numPr>
        <w:spacing w:after="80" w:line="269" w:lineRule="auto"/>
        <w:ind w:left="720" w:hanging="360"/>
      </w:pPr>
      <w:r>
        <w:rPr>
          <w:rFonts w:ascii="Aptos" w:hAnsi="Aptos"/>
        </w:rPr>
        <w:t>Use only the approved chart of accounts and master naming rules.</w:t>
      </w:r>
    </w:p>
    <w:p>
      <w:pPr>
        <w:widowControl/>
        <w:numPr>
          <w:ilvl w:val="0"/>
          <w:numId w:val="10"/>
        </w:numPr>
        <w:spacing w:after="80" w:line="269" w:lineRule="auto"/>
        <w:ind w:left="720" w:hanging="360"/>
      </w:pPr>
      <w:r>
        <w:rPr>
          <w:rFonts w:ascii="Aptos" w:hAnsi="Aptos"/>
        </w:rPr>
        <w:t>Restrict master creation rights to authorised users.</w:t>
      </w:r>
    </w:p>
    <w:p>
      <w:pPr>
        <w:widowControl/>
        <w:numPr>
          <w:ilvl w:val="0"/>
          <w:numId w:val="10"/>
        </w:numPr>
        <w:spacing w:after="80" w:line="269" w:lineRule="auto"/>
        <w:ind w:left="720" w:hanging="360"/>
      </w:pPr>
      <w:r>
        <w:rPr>
          <w:rFonts w:ascii="Aptos" w:hAnsi="Aptos"/>
        </w:rPr>
        <w:t>Attach or reference supporting evidence in every material voucher.</w:t>
      </w:r>
    </w:p>
    <w:p>
      <w:pPr>
        <w:widowControl/>
        <w:numPr>
          <w:ilvl w:val="0"/>
          <w:numId w:val="10"/>
        </w:numPr>
        <w:spacing w:after="80" w:line="269" w:lineRule="auto"/>
        <w:ind w:left="720" w:hanging="360"/>
      </w:pPr>
      <w:r>
        <w:rPr>
          <w:rFonts w:ascii="Aptos" w:hAnsi="Aptos"/>
        </w:rPr>
        <w:t>Complete daily bank/POS matching and branch cash closing.</w:t>
      </w:r>
    </w:p>
    <w:p>
      <w:pPr>
        <w:widowControl/>
        <w:numPr>
          <w:ilvl w:val="0"/>
          <w:numId w:val="10"/>
        </w:numPr>
        <w:spacing w:after="80" w:line="269" w:lineRule="auto"/>
        <w:ind w:left="720" w:hanging="360"/>
      </w:pPr>
      <w:r>
        <w:rPr>
          <w:rFonts w:ascii="Aptos" w:hAnsi="Aptos"/>
        </w:rPr>
        <w:t>Maintain a temporary opening-balance control ledger only if unavoidable; it must be cleared immediately after final opening balances are signed. A general Suspense ledger must not be used.</w:t>
      </w:r>
    </w:p>
    <w:p>
      <w:pPr>
        <w:pStyle w:val="Heading2"/>
        <w:keepNext/>
        <w:widowControl/>
      </w:pPr>
      <w:r>
        <w:t>3.2 Workstream B - Legacy clean-up up to 30 September 2026</w:t>
      </w:r>
    </w:p>
    <w:p>
      <w:pPr>
        <w:widowControl/>
        <w:numPr>
          <w:ilvl w:val="0"/>
          <w:numId w:val="10"/>
        </w:numPr>
        <w:spacing w:after="80" w:line="269" w:lineRule="auto"/>
        <w:ind w:left="720" w:hanging="360"/>
      </w:pPr>
      <w:r>
        <w:rPr>
          <w:rFonts w:ascii="Aptos" w:hAnsi="Aptos"/>
        </w:rPr>
        <w:t>Freeze and back up the historical company before any bulk correction.</w:t>
      </w:r>
    </w:p>
    <w:p>
      <w:pPr>
        <w:widowControl/>
        <w:numPr>
          <w:ilvl w:val="0"/>
          <w:numId w:val="10"/>
        </w:numPr>
        <w:spacing w:after="80" w:line="269" w:lineRule="auto"/>
        <w:ind w:left="720" w:hanging="360"/>
      </w:pPr>
      <w:r>
        <w:rPr>
          <w:rFonts w:ascii="Aptos" w:hAnsi="Aptos"/>
        </w:rPr>
        <w:t>Export the full ledger list, trial balance, voucher register and outstanding bills.</w:t>
      </w:r>
    </w:p>
    <w:p>
      <w:pPr>
        <w:widowControl/>
        <w:numPr>
          <w:ilvl w:val="0"/>
          <w:numId w:val="10"/>
        </w:numPr>
        <w:spacing w:after="80" w:line="269" w:lineRule="auto"/>
        <w:ind w:left="720" w:hanging="360"/>
      </w:pPr>
      <w:r>
        <w:rPr>
          <w:rFonts w:ascii="Aptos" w:hAnsi="Aptos"/>
        </w:rPr>
        <w:t>Clean in risk order: banks and loans first, then cash/branches, suspense, discounts, parties, taxes and remaining expenses.</w:t>
      </w:r>
    </w:p>
    <w:p>
      <w:pPr>
        <w:widowControl/>
        <w:numPr>
          <w:ilvl w:val="0"/>
          <w:numId w:val="10"/>
        </w:numPr>
        <w:spacing w:after="80" w:line="269" w:lineRule="auto"/>
        <w:ind w:left="720" w:hanging="360"/>
      </w:pPr>
      <w:r>
        <w:rPr>
          <w:rFonts w:ascii="Aptos" w:hAnsi="Aptos"/>
        </w:rPr>
        <w:t>Support every correction through an evidence file and an item number in the Exception Register.</w:t>
      </w:r>
    </w:p>
    <w:p>
      <w:pPr>
        <w:widowControl/>
        <w:numPr>
          <w:ilvl w:val="0"/>
          <w:numId w:val="10"/>
        </w:numPr>
        <w:spacing w:after="80" w:line="269" w:lineRule="auto"/>
        <w:ind w:left="720" w:hanging="360"/>
      </w:pPr>
      <w:r>
        <w:rPr>
          <w:rFonts w:ascii="Aptos" w:hAnsi="Aptos"/>
        </w:rPr>
        <w:t>Retain the original report and a corrected report so the movement is traceable.</w:t>
      </w:r>
    </w:p>
    <w:p>
      <w:pPr>
        <w:pStyle w:val="Heading2"/>
        <w:keepNext/>
        <w:widowControl/>
      </w:pPr>
      <w:r>
        <w:t>3.3 Important mid-year decision</w:t>
      </w:r>
    </w:p>
    <w:p>
      <w:pPr>
        <w:widowControl/>
      </w:pPr>
      <w:r>
        <w:rPr>
          <w:rFonts w:ascii="Aptos" w:hAnsi="Aptos"/>
          <w:i w:val="0"/>
        </w:rPr>
        <w:t>Because 1 October falls in the middle of financial year 2026-27, management must decide how April-September information will be available for annual accounts and statutory reporting. This is not a software-only decision.</w:t>
      </w:r>
    </w:p>
    <w:tbl>
      <w:tblPr>
        <w:tblW w:type="dxa" w:w="9360"/>
        <w:jc w:val="left"/>
        <w:tblLayout w:type="fixed"/>
        <w:tblLook w:firstColumn="1" w:firstRow="1" w:lastColumn="0" w:lastRow="0" w:noHBand="0" w:noVBand="1" w:val="04A0"/>
        <w:tblInd w:w="120" w:type="dxa"/>
      </w:tblPr>
      <w:tblGrid>
        <w:gridCol w:w="2500"/>
        <w:gridCol w:w="4000"/>
        <w:gridCol w:w="2860"/>
      </w:tblGrid>
      <w:tr>
        <w:trPr>
          <w:tblHeader w:val="true"/>
          <w:cantSplit w:val="true"/>
        </w:trPr>
        <w:tc>
          <w:tcPr>
            <w:tcW w:type="dxa" w:w="2500"/>
            <w:vAlign w:val="center"/>
            <w:shd w:fill="2A7F85"/>
            <w:tcMar>
              <w:top w:w="100" w:type="dxa"/>
              <w:start w:w="120" w:type="dxa"/>
              <w:bottom w:w="100" w:type="dxa"/>
              <w:end w:w="120" w:type="dxa"/>
            </w:tcMar>
            <w:tcBorders>
              <w:top w:val="single" w:sz="6" w:color="2A7F85"/>
              <w:left w:val="single" w:sz="6" w:color="2A7F85"/>
              <w:bottom w:val="single" w:sz="6" w:color="2A7F85"/>
              <w:right w:val="single" w:sz="6" w:color="2A7F85"/>
              <w:insideH w:val="single" w:sz="6" w:color="2A7F85"/>
              <w:insideV w:val="single" w:sz="6" w:color="2A7F85"/>
            </w:tcBorders>
          </w:tcPr>
          <w:p>
            <w:pPr>
              <w:keepLines/>
              <w:widowControl/>
              <w:spacing w:after="0" w:line="240" w:lineRule="auto"/>
            </w:pPr>
            <w:r/>
            <w:r>
              <w:rPr>
                <w:rFonts w:ascii="Aptos" w:hAnsi="Aptos"/>
                <w:b/>
                <w:color w:val="FFFFFF"/>
                <w:sz w:val="17"/>
              </w:rPr>
              <w:t>Approach</w:t>
            </w:r>
          </w:p>
        </w:tc>
        <w:tc>
          <w:tcPr>
            <w:tcW w:type="dxa" w:w="4000"/>
            <w:vAlign w:val="center"/>
            <w:shd w:fill="2A7F85"/>
            <w:tcMar>
              <w:top w:w="100" w:type="dxa"/>
              <w:start w:w="120" w:type="dxa"/>
              <w:bottom w:w="100" w:type="dxa"/>
              <w:end w:w="120" w:type="dxa"/>
            </w:tcMar>
            <w:tcBorders>
              <w:top w:val="single" w:sz="6" w:color="2A7F85"/>
              <w:left w:val="single" w:sz="6" w:color="2A7F85"/>
              <w:bottom w:val="single" w:sz="6" w:color="2A7F85"/>
              <w:right w:val="single" w:sz="6" w:color="2A7F85"/>
              <w:insideH w:val="single" w:sz="6" w:color="2A7F85"/>
              <w:insideV w:val="single" w:sz="6" w:color="2A7F85"/>
            </w:tcBorders>
          </w:tcPr>
          <w:p>
            <w:pPr>
              <w:keepLines/>
              <w:widowControl/>
              <w:spacing w:after="0" w:line="240" w:lineRule="auto"/>
            </w:pPr>
            <w:r/>
            <w:r>
              <w:rPr>
                <w:rFonts w:ascii="Aptos" w:hAnsi="Aptos"/>
                <w:b/>
                <w:color w:val="FFFFFF"/>
                <w:sz w:val="17"/>
              </w:rPr>
              <w:t>Effect</w:t>
            </w:r>
          </w:p>
        </w:tc>
        <w:tc>
          <w:tcPr>
            <w:tcW w:type="dxa" w:w="2860"/>
            <w:vAlign w:val="center"/>
            <w:shd w:fill="2A7F85"/>
            <w:tcMar>
              <w:top w:w="100" w:type="dxa"/>
              <w:start w:w="120" w:type="dxa"/>
              <w:bottom w:w="100" w:type="dxa"/>
              <w:end w:w="120" w:type="dxa"/>
            </w:tcMar>
            <w:tcBorders>
              <w:top w:val="single" w:sz="6" w:color="2A7F85"/>
              <w:left w:val="single" w:sz="6" w:color="2A7F85"/>
              <w:bottom w:val="single" w:sz="6" w:color="2A7F85"/>
              <w:right w:val="single" w:sz="6" w:color="2A7F85"/>
              <w:insideH w:val="single" w:sz="6" w:color="2A7F85"/>
              <w:insideV w:val="single" w:sz="6" w:color="2A7F85"/>
            </w:tcBorders>
          </w:tcPr>
          <w:p>
            <w:pPr>
              <w:keepLines/>
              <w:widowControl/>
              <w:spacing w:after="0" w:line="240" w:lineRule="auto"/>
            </w:pPr>
            <w:r/>
            <w:r>
              <w:rPr>
                <w:rFonts w:ascii="Aptos" w:hAnsi="Aptos"/>
                <w:b/>
                <w:color w:val="FFFFFF"/>
                <w:sz w:val="17"/>
              </w:rPr>
              <w:t>Use when</w:t>
            </w:r>
          </w:p>
        </w:tc>
      </w:tr>
      <w:tr>
        <w:trPr>
          <w:cantSplit w:val="true"/>
        </w:trPr>
        <w:tc>
          <w:tcPr>
            <w:tcW w:type="dxa" w:w="25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color w:val="20262D"/>
                <w:sz w:val="17"/>
              </w:rPr>
              <w:t>Option A - Rebuild April-September transactions in the new structure</w:t>
            </w:r>
          </w:p>
        </w:tc>
        <w:tc>
          <w:tcPr>
            <w:tcW w:type="dxa" w:w="40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7"/>
              </w:rPr>
              <w:t>Best full-year comparability and reporting. Requires more time, careful duplicate control and formal validation.</w:t>
            </w:r>
          </w:p>
        </w:tc>
        <w:tc>
          <w:tcPr>
            <w:tcW w:type="dxa" w:w="286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7"/>
              </w:rPr>
              <w:t>Recommended where transaction volume is manageable or legacy data is materially unreliable.</w:t>
            </w:r>
          </w:p>
        </w:tc>
      </w:tr>
      <w:tr>
        <w:trPr>
          <w:cantSplit w:val="true"/>
        </w:trPr>
        <w:tc>
          <w:tcPr>
            <w:tcW w:type="dxa" w:w="25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color w:val="20262D"/>
                <w:sz w:val="17"/>
              </w:rPr>
              <w:t>Option B - Preserve legacy books and migrate verified balances at 30 September</w:t>
            </w:r>
          </w:p>
        </w:tc>
        <w:tc>
          <w:tcPr>
            <w:tcW w:type="dxa" w:w="40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7"/>
              </w:rPr>
              <w:t>Faster go-live. Full-year reports require consolidation of legacy and new periods, and detailed earlier drill-down remains in the old company.</w:t>
            </w:r>
          </w:p>
        </w:tc>
        <w:tc>
          <w:tcPr>
            <w:tcW w:type="dxa" w:w="286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7"/>
              </w:rPr>
              <w:t>Suitable where transaction volume is high and statutory continuity can be maintained through controlled reports.</w:t>
            </w:r>
          </w:p>
        </w:tc>
      </w:tr>
    </w:tbl>
    <w:p>
      <w:pPr>
        <w:widowControl/>
        <w:spacing w:after="20"/>
      </w:pPr>
    </w:p>
    <w:p>
      <w:pPr>
        <w:pStyle w:val="WarningCallout"/>
        <w:widowControl/>
      </w:pPr>
      <w:r>
        <w:rPr>
          <w:rFonts w:ascii="Aptos" w:hAnsi="Aptos"/>
          <w:b/>
          <w:color w:val="9B2C2C"/>
        </w:rPr>
        <w:t xml:space="preserve">Decision required before configuration freeze  </w:t>
      </w:r>
      <w:r>
        <w:rPr>
          <w:rFonts w:ascii="Aptos" w:hAnsi="Aptos"/>
          <w:color w:val="9B2C2C"/>
        </w:rPr>
        <w:t>The client accountant, our senior accountant and the tax/statutory adviser should jointly recommend Option A or B. No one should back-date or bulk-import April-September vouchers into the live company without a duplicate-control plan and written approval.</w:t>
      </w:r>
    </w:p>
    <w:p>
      <w:pPr>
        <w:pStyle w:val="Heading2"/>
        <w:keepNext/>
        <w:widowControl/>
      </w:pPr>
      <w:r>
        <w:t>3.4 Indicative implementation calendar</w:t>
      </w:r>
    </w:p>
    <w:tbl>
      <w:tblPr>
        <w:tblW w:type="dxa" w:w="9360"/>
        <w:jc w:val="left"/>
        <w:tblLayout w:type="fixed"/>
        <w:tblLook w:firstColumn="1" w:firstRow="1" w:lastColumn="0" w:lastRow="0" w:noHBand="0" w:noVBand="1" w:val="04A0"/>
        <w:tblInd w:w="120" w:type="dxa"/>
      </w:tblPr>
      <w:tblGrid>
        <w:gridCol w:w="1500"/>
        <w:gridCol w:w="2400"/>
        <w:gridCol w:w="5460"/>
      </w:tblGrid>
      <w:tr>
        <w:trPr>
          <w:tblHeader w:val="true"/>
          <w:cantSplit w:val="true"/>
        </w:trPr>
        <w:tc>
          <w:tcPr>
            <w:tcW w:type="dxa" w:w="1500"/>
            <w:vAlign w:val="center"/>
            <w:shd w:fill="17324D"/>
            <w:tcMar>
              <w:top w:w="100" w:type="dxa"/>
              <w:start w:w="120" w:type="dxa"/>
              <w:bottom w:w="100" w:type="dxa"/>
              <w:end w:w="120" w:type="dxa"/>
            </w:tcMar>
            <w:tcBorders>
              <w:top w:val="single" w:sz="6" w:color="17324D"/>
              <w:left w:val="single" w:sz="6" w:color="17324D"/>
              <w:bottom w:val="single" w:sz="6" w:color="17324D"/>
              <w:right w:val="single" w:sz="6" w:color="17324D"/>
              <w:insideH w:val="single" w:sz="6" w:color="17324D"/>
              <w:insideV w:val="single" w:sz="6" w:color="17324D"/>
            </w:tcBorders>
          </w:tcPr>
          <w:p>
            <w:pPr>
              <w:keepLines/>
              <w:widowControl/>
              <w:spacing w:after="0" w:line="240" w:lineRule="auto"/>
            </w:pPr>
            <w:r/>
            <w:r>
              <w:rPr>
                <w:rFonts w:ascii="Aptos" w:hAnsi="Aptos"/>
                <w:b/>
                <w:color w:val="FFFFFF"/>
                <w:sz w:val="18"/>
              </w:rPr>
              <w:t>Indicative date</w:t>
            </w:r>
          </w:p>
        </w:tc>
        <w:tc>
          <w:tcPr>
            <w:tcW w:type="dxa" w:w="2400"/>
            <w:vAlign w:val="center"/>
            <w:shd w:fill="17324D"/>
            <w:tcMar>
              <w:top w:w="100" w:type="dxa"/>
              <w:start w:w="120" w:type="dxa"/>
              <w:bottom w:w="100" w:type="dxa"/>
              <w:end w:w="120" w:type="dxa"/>
            </w:tcMar>
            <w:tcBorders>
              <w:top w:val="single" w:sz="6" w:color="17324D"/>
              <w:left w:val="single" w:sz="6" w:color="17324D"/>
              <w:bottom w:val="single" w:sz="6" w:color="17324D"/>
              <w:right w:val="single" w:sz="6" w:color="17324D"/>
              <w:insideH w:val="single" w:sz="6" w:color="17324D"/>
              <w:insideV w:val="single" w:sz="6" w:color="17324D"/>
            </w:tcBorders>
          </w:tcPr>
          <w:p>
            <w:pPr>
              <w:keepLines/>
              <w:widowControl/>
              <w:spacing w:after="0" w:line="240" w:lineRule="auto"/>
            </w:pPr>
            <w:r/>
            <w:r>
              <w:rPr>
                <w:rFonts w:ascii="Aptos" w:hAnsi="Aptos"/>
                <w:b/>
                <w:color w:val="FFFFFF"/>
                <w:sz w:val="18"/>
              </w:rPr>
              <w:t>Phase</w:t>
            </w:r>
          </w:p>
        </w:tc>
        <w:tc>
          <w:tcPr>
            <w:tcW w:type="dxa" w:w="5460"/>
            <w:vAlign w:val="center"/>
            <w:shd w:fill="17324D"/>
            <w:tcMar>
              <w:top w:w="100" w:type="dxa"/>
              <w:start w:w="120" w:type="dxa"/>
              <w:bottom w:w="100" w:type="dxa"/>
              <w:end w:w="120" w:type="dxa"/>
            </w:tcMar>
            <w:tcBorders>
              <w:top w:val="single" w:sz="6" w:color="17324D"/>
              <w:left w:val="single" w:sz="6" w:color="17324D"/>
              <w:bottom w:val="single" w:sz="6" w:color="17324D"/>
              <w:right w:val="single" w:sz="6" w:color="17324D"/>
              <w:insideH w:val="single" w:sz="6" w:color="17324D"/>
              <w:insideV w:val="single" w:sz="6" w:color="17324D"/>
            </w:tcBorders>
          </w:tcPr>
          <w:p>
            <w:pPr>
              <w:keepLines/>
              <w:widowControl/>
              <w:spacing w:after="0" w:line="240" w:lineRule="auto"/>
            </w:pPr>
            <w:r/>
            <w:r>
              <w:rPr>
                <w:rFonts w:ascii="Aptos" w:hAnsi="Aptos"/>
                <w:b/>
                <w:color w:val="FFFFFF"/>
                <w:sz w:val="18"/>
              </w:rPr>
              <w:t>Main output</w:t>
            </w:r>
          </w:p>
        </w:tc>
      </w:tr>
      <w:tr>
        <w:trPr>
          <w:cantSplit w:val="true"/>
        </w:trPr>
        <w:tc>
          <w:tcPr>
            <w:tcW w:type="dxa" w:w="15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color w:val="20262D"/>
                <w:sz w:val="18"/>
              </w:rPr>
              <w:t>17-22 Aug</w:t>
            </w:r>
          </w:p>
        </w:tc>
        <w:tc>
          <w:tcPr>
            <w:tcW w:type="dxa" w:w="24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8"/>
              </w:rPr>
              <w:t>Discovery and freeze</w:t>
            </w:r>
          </w:p>
        </w:tc>
        <w:tc>
          <w:tcPr>
            <w:tcW w:type="dxa" w:w="546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8"/>
              </w:rPr>
              <w:t>Backups, data request, master export, scope and materiality.</w:t>
            </w:r>
          </w:p>
        </w:tc>
      </w:tr>
      <w:tr>
        <w:trPr>
          <w:cantSplit w:val="true"/>
        </w:trPr>
        <w:tc>
          <w:tcPr>
            <w:tcW w:type="dxa" w:w="15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color w:val="20262D"/>
                <w:sz w:val="18"/>
              </w:rPr>
              <w:t>24 Aug-5 Sep</w:t>
            </w:r>
          </w:p>
        </w:tc>
        <w:tc>
          <w:tcPr>
            <w:tcW w:type="dxa" w:w="24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8"/>
              </w:rPr>
              <w:t>Mapping and priority reconciliations</w:t>
            </w:r>
          </w:p>
        </w:tc>
        <w:tc>
          <w:tcPr>
            <w:tcW w:type="dxa" w:w="546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8"/>
              </w:rPr>
              <w:t>Banks, loans, branch cash, POS, suspense and discounts.</w:t>
            </w:r>
          </w:p>
        </w:tc>
      </w:tr>
      <w:tr>
        <w:trPr>
          <w:cantSplit w:val="true"/>
        </w:trPr>
        <w:tc>
          <w:tcPr>
            <w:tcW w:type="dxa" w:w="15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color w:val="20262D"/>
                <w:sz w:val="18"/>
              </w:rPr>
              <w:t>7-19 Sep</w:t>
            </w:r>
          </w:p>
        </w:tc>
        <w:tc>
          <w:tcPr>
            <w:tcW w:type="dxa" w:w="24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8"/>
              </w:rPr>
              <w:t>Legacy clean-up and configuration</w:t>
            </w:r>
          </w:p>
        </w:tc>
        <w:tc>
          <w:tcPr>
            <w:tcW w:type="dxa" w:w="546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8"/>
              </w:rPr>
              <w:t>Approved chart, GST/item masters, parties, branches, users and controls.</w:t>
            </w:r>
          </w:p>
        </w:tc>
      </w:tr>
      <w:tr>
        <w:trPr>
          <w:cantSplit w:val="true"/>
        </w:trPr>
        <w:tc>
          <w:tcPr>
            <w:tcW w:type="dxa" w:w="15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color w:val="20262D"/>
                <w:sz w:val="18"/>
              </w:rPr>
              <w:t>21-26 Sep</w:t>
            </w:r>
          </w:p>
        </w:tc>
        <w:tc>
          <w:tcPr>
            <w:tcW w:type="dxa" w:w="24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8"/>
              </w:rPr>
              <w:t>Trial migration and testing</w:t>
            </w:r>
          </w:p>
        </w:tc>
        <w:tc>
          <w:tcPr>
            <w:tcW w:type="dxa" w:w="546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8"/>
              </w:rPr>
              <w:t>Opening balance draft, sample vouchers, reports, user training and issue closure.</w:t>
            </w:r>
          </w:p>
        </w:tc>
      </w:tr>
      <w:tr>
        <w:trPr>
          <w:cantSplit w:val="true"/>
        </w:trPr>
        <w:tc>
          <w:tcPr>
            <w:tcW w:type="dxa" w:w="15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color w:val="20262D"/>
                <w:sz w:val="18"/>
              </w:rPr>
              <w:t>28-30 Sep</w:t>
            </w:r>
          </w:p>
        </w:tc>
        <w:tc>
          <w:tcPr>
            <w:tcW w:type="dxa" w:w="24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8"/>
              </w:rPr>
              <w:t>Cut-off and sign-off</w:t>
            </w:r>
          </w:p>
        </w:tc>
        <w:tc>
          <w:tcPr>
            <w:tcW w:type="dxa" w:w="546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8"/>
              </w:rPr>
              <w:t>Final evidence, backup, closing reports and go-live approval.</w:t>
            </w:r>
          </w:p>
        </w:tc>
      </w:tr>
      <w:tr>
        <w:trPr>
          <w:cantSplit w:val="true"/>
        </w:trPr>
        <w:tc>
          <w:tcPr>
            <w:tcW w:type="dxa" w:w="15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color w:val="20262D"/>
                <w:sz w:val="18"/>
              </w:rPr>
              <w:t>1 Oct</w:t>
            </w:r>
          </w:p>
        </w:tc>
        <w:tc>
          <w:tcPr>
            <w:tcW w:type="dxa" w:w="24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8"/>
              </w:rPr>
              <w:t>Go-live</w:t>
            </w:r>
          </w:p>
        </w:tc>
        <w:tc>
          <w:tcPr>
            <w:tcW w:type="dxa" w:w="546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8"/>
              </w:rPr>
              <w:t>New entries only through approved masters and workflows.</w:t>
            </w:r>
          </w:p>
        </w:tc>
      </w:tr>
      <w:tr>
        <w:trPr>
          <w:cantSplit w:val="true"/>
        </w:trPr>
        <w:tc>
          <w:tcPr>
            <w:tcW w:type="dxa" w:w="15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color w:val="20262D"/>
                <w:sz w:val="18"/>
              </w:rPr>
              <w:t>2-31 Oct</w:t>
            </w:r>
          </w:p>
        </w:tc>
        <w:tc>
          <w:tcPr>
            <w:tcW w:type="dxa" w:w="24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8"/>
              </w:rPr>
              <w:t>Stabilisation</w:t>
            </w:r>
          </w:p>
        </w:tc>
        <w:tc>
          <w:tcPr>
            <w:tcW w:type="dxa" w:w="546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8"/>
              </w:rPr>
              <w:t>Weekly reviews, exception closure and first month-end close.</w:t>
            </w:r>
          </w:p>
        </w:tc>
      </w:tr>
    </w:tbl>
    <w:p>
      <w:pPr>
        <w:widowControl/>
        <w:spacing w:after="20"/>
      </w:pPr>
    </w:p>
    <w:p>
      <w:pPr>
        <w:widowControl/>
        <w:spacing w:before="40" w:after="120"/>
      </w:pPr>
      <w:r>
        <w:rPr>
          <w:rFonts w:ascii="Aptos" w:hAnsi="Aptos"/>
          <w:i/>
          <w:color w:val="5C6670"/>
          <w:sz w:val="17"/>
        </w:rPr>
        <w:t>Dates may be refined jointly based on transaction volume and availability of bank, loan, tax and branch records.</w:t>
      </w:r>
    </w:p>
    <w:p>
      <w:pPr>
        <w:pStyle w:val="Heading1"/>
        <w:keepNext/>
        <w:widowControl/>
      </w:pPr>
      <w:r>
        <w:t>Part 4 - Pre-cutover actionables and information required</w:t>
      </w:r>
    </w:p>
    <w:p>
      <w:pPr>
        <w:pStyle w:val="Heading2"/>
        <w:keepNext/>
        <w:widowControl/>
      </w:pPr>
      <w:r>
        <w:t>4.1 Immediate management actionables</w:t>
      </w:r>
    </w:p>
    <w:tbl>
      <w:tblPr>
        <w:tblW w:type="dxa" w:w="9360"/>
        <w:jc w:val="left"/>
        <w:tblLayout w:type="fixed"/>
        <w:tblLook w:firstColumn="1" w:firstRow="1" w:lastColumn="0" w:lastRow="0" w:noHBand="0" w:noVBand="1" w:val="04A0"/>
        <w:tblInd w:w="120" w:type="dxa"/>
      </w:tblPr>
      <w:tblGrid>
        <w:gridCol w:w="2100"/>
        <w:gridCol w:w="7260"/>
      </w:tblGrid>
      <w:tr>
        <w:trPr>
          <w:tblHeader w:val="true"/>
          <w:cantSplit w:val="true"/>
        </w:trPr>
        <w:tc>
          <w:tcPr>
            <w:tcW w:type="dxa" w:w="2100"/>
            <w:vAlign w:val="center"/>
            <w:shd w:fill="17324D"/>
            <w:tcMar>
              <w:top w:w="100" w:type="dxa"/>
              <w:start w:w="120" w:type="dxa"/>
              <w:bottom w:w="100" w:type="dxa"/>
              <w:end w:w="120" w:type="dxa"/>
            </w:tcMar>
            <w:tcBorders>
              <w:top w:val="single" w:sz="6" w:color="17324D"/>
              <w:left w:val="single" w:sz="6" w:color="17324D"/>
              <w:bottom w:val="single" w:sz="6" w:color="17324D"/>
              <w:right w:val="single" w:sz="6" w:color="17324D"/>
              <w:insideH w:val="single" w:sz="6" w:color="17324D"/>
              <w:insideV w:val="single" w:sz="6" w:color="17324D"/>
            </w:tcBorders>
          </w:tcPr>
          <w:p>
            <w:pPr>
              <w:keepLines/>
              <w:widowControl/>
              <w:spacing w:after="0" w:line="240" w:lineRule="auto"/>
            </w:pPr>
            <w:r/>
            <w:r>
              <w:rPr>
                <w:rFonts w:ascii="Aptos" w:hAnsi="Aptos"/>
                <w:b/>
                <w:color w:val="FFFFFF"/>
                <w:sz w:val="18"/>
              </w:rPr>
              <w:t>Action</w:t>
            </w:r>
          </w:p>
        </w:tc>
        <w:tc>
          <w:tcPr>
            <w:tcW w:type="dxa" w:w="7260"/>
            <w:vAlign w:val="center"/>
            <w:shd w:fill="17324D"/>
            <w:tcMar>
              <w:top w:w="100" w:type="dxa"/>
              <w:start w:w="120" w:type="dxa"/>
              <w:bottom w:w="100" w:type="dxa"/>
              <w:end w:w="120" w:type="dxa"/>
            </w:tcMar>
            <w:tcBorders>
              <w:top w:val="single" w:sz="6" w:color="17324D"/>
              <w:left w:val="single" w:sz="6" w:color="17324D"/>
              <w:bottom w:val="single" w:sz="6" w:color="17324D"/>
              <w:right w:val="single" w:sz="6" w:color="17324D"/>
              <w:insideH w:val="single" w:sz="6" w:color="17324D"/>
              <w:insideV w:val="single" w:sz="6" w:color="17324D"/>
            </w:tcBorders>
          </w:tcPr>
          <w:p>
            <w:pPr>
              <w:keepLines/>
              <w:widowControl/>
              <w:spacing w:after="0" w:line="240" w:lineRule="auto"/>
            </w:pPr>
            <w:r/>
            <w:r>
              <w:rPr>
                <w:rFonts w:ascii="Aptos" w:hAnsi="Aptos"/>
                <w:b/>
                <w:color w:val="FFFFFF"/>
                <w:sz w:val="18"/>
              </w:rPr>
              <w:t>What it means</w:t>
            </w:r>
          </w:p>
        </w:tc>
      </w:tr>
      <w:tr>
        <w:trPr>
          <w:cantSplit w:val="true"/>
        </w:trPr>
        <w:tc>
          <w:tcPr>
            <w:tcW w:type="dxa" w:w="21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color w:val="20262D"/>
                <w:sz w:val="18"/>
              </w:rPr>
              <w:t>Nominate owners</w:t>
            </w:r>
          </w:p>
        </w:tc>
        <w:tc>
          <w:tcPr>
            <w:tcW w:type="dxa" w:w="726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8"/>
              </w:rPr>
              <w:t>Confirm management sponsor, client accountant, our engagement lead, senior reviewer and BUSY administrator.</w:t>
            </w:r>
          </w:p>
        </w:tc>
      </w:tr>
      <w:tr>
        <w:trPr>
          <w:cantSplit w:val="true"/>
        </w:trPr>
        <w:tc>
          <w:tcPr>
            <w:tcW w:type="dxa" w:w="21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color w:val="20262D"/>
                <w:sz w:val="18"/>
              </w:rPr>
              <w:t>Protect the existing data</w:t>
            </w:r>
          </w:p>
        </w:tc>
        <w:tc>
          <w:tcPr>
            <w:tcW w:type="dxa" w:w="726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8"/>
              </w:rPr>
              <w:t>Take verified backups and restrict bulk edits. Preserve a read-only copy before corrections.</w:t>
            </w:r>
          </w:p>
        </w:tc>
      </w:tr>
      <w:tr>
        <w:trPr>
          <w:cantSplit w:val="true"/>
        </w:trPr>
        <w:tc>
          <w:tcPr>
            <w:tcW w:type="dxa" w:w="21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color w:val="20262D"/>
                <w:sz w:val="18"/>
              </w:rPr>
              <w:t>Freeze uncontrolled masters</w:t>
            </w:r>
          </w:p>
        </w:tc>
        <w:tc>
          <w:tcPr>
            <w:tcW w:type="dxa" w:w="726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8"/>
              </w:rPr>
              <w:t>Stop new vague, duplicate, personal, location-suffixed or X-series ledgers.</w:t>
            </w:r>
          </w:p>
        </w:tc>
      </w:tr>
      <w:tr>
        <w:trPr>
          <w:cantSplit w:val="true"/>
        </w:trPr>
        <w:tc>
          <w:tcPr>
            <w:tcW w:type="dxa" w:w="21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color w:val="20262D"/>
                <w:sz w:val="18"/>
              </w:rPr>
              <w:t>Collect evidence</w:t>
            </w:r>
          </w:p>
        </w:tc>
        <w:tc>
          <w:tcPr>
            <w:tcW w:type="dxa" w:w="726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8"/>
              </w:rPr>
              <w:t>Obtain statements, schedules and confirmations listed below.</w:t>
            </w:r>
          </w:p>
        </w:tc>
      </w:tr>
      <w:tr>
        <w:trPr>
          <w:cantSplit w:val="true"/>
        </w:trPr>
        <w:tc>
          <w:tcPr>
            <w:tcW w:type="dxa" w:w="21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color w:val="20262D"/>
                <w:sz w:val="18"/>
              </w:rPr>
              <w:t>Approve the chart</w:t>
            </w:r>
          </w:p>
        </w:tc>
        <w:tc>
          <w:tcPr>
            <w:tcW w:type="dxa" w:w="726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8"/>
              </w:rPr>
              <w:t>Sign the ledger mapping and naming convention before creating the new company.</w:t>
            </w:r>
          </w:p>
        </w:tc>
      </w:tr>
      <w:tr>
        <w:trPr>
          <w:cantSplit w:val="true"/>
        </w:trPr>
        <w:tc>
          <w:tcPr>
            <w:tcW w:type="dxa" w:w="21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color w:val="20262D"/>
                <w:sz w:val="18"/>
              </w:rPr>
              <w:t>Select migration method</w:t>
            </w:r>
          </w:p>
        </w:tc>
        <w:tc>
          <w:tcPr>
            <w:tcW w:type="dxa" w:w="726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8"/>
              </w:rPr>
              <w:t>Choose full-year rebuild or 30 September balance migration.</w:t>
            </w:r>
          </w:p>
        </w:tc>
      </w:tr>
      <w:tr>
        <w:trPr>
          <w:cantSplit w:val="true"/>
        </w:trPr>
        <w:tc>
          <w:tcPr>
            <w:tcW w:type="dxa" w:w="21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color w:val="20262D"/>
                <w:sz w:val="18"/>
              </w:rPr>
              <w:t>Run a test company</w:t>
            </w:r>
          </w:p>
        </w:tc>
        <w:tc>
          <w:tcPr>
            <w:tcW w:type="dxa" w:w="726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8"/>
              </w:rPr>
              <w:t>Enter sample transactions and test branch, bill-wise, GST, user-right and report behaviour.</w:t>
            </w:r>
          </w:p>
        </w:tc>
      </w:tr>
      <w:tr>
        <w:trPr>
          <w:cantSplit w:val="true"/>
        </w:trPr>
        <w:tc>
          <w:tcPr>
            <w:tcW w:type="dxa" w:w="21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color w:val="20262D"/>
                <w:sz w:val="18"/>
              </w:rPr>
              <w:t>Sign the opening pack</w:t>
            </w:r>
          </w:p>
        </w:tc>
        <w:tc>
          <w:tcPr>
            <w:tcW w:type="dxa" w:w="726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8"/>
              </w:rPr>
              <w:t>No final opening balance should be loaded without preparer, reviewer and management sign-off.</w:t>
            </w:r>
          </w:p>
        </w:tc>
      </w:tr>
    </w:tbl>
    <w:p>
      <w:pPr>
        <w:widowControl/>
        <w:spacing w:after="20"/>
      </w:pPr>
    </w:p>
    <w:p>
      <w:pPr>
        <w:pStyle w:val="Heading2"/>
        <w:keepNext/>
        <w:widowControl/>
      </w:pPr>
      <w:r>
        <w:t>4.2 Documents and schedules to collect</w:t>
      </w:r>
    </w:p>
    <w:p>
      <w:pPr>
        <w:widowControl/>
        <w:numPr>
          <w:ilvl w:val="0"/>
          <w:numId w:val="10"/>
        </w:numPr>
        <w:spacing w:after="80" w:line="269" w:lineRule="auto"/>
        <w:ind w:left="720" w:hanging="360"/>
      </w:pPr>
      <w:r>
        <w:rPr>
          <w:rFonts w:ascii="Aptos" w:hAnsi="Aptos"/>
        </w:rPr>
        <w:t>All business bank statements up to 30 September 2026, including POS settlement reports and gateway charge invoices.</w:t>
      </w:r>
    </w:p>
    <w:p>
      <w:pPr>
        <w:widowControl/>
        <w:numPr>
          <w:ilvl w:val="0"/>
          <w:numId w:val="10"/>
        </w:numPr>
        <w:spacing w:after="80" w:line="269" w:lineRule="auto"/>
        <w:ind w:left="720" w:hanging="360"/>
      </w:pPr>
      <w:r>
        <w:rPr>
          <w:rFonts w:ascii="Aptos" w:hAnsi="Aptos"/>
        </w:rPr>
        <w:t>Loan sanction letters and amortisation/outstanding principal certificates for every business and vehicle loan.</w:t>
      </w:r>
    </w:p>
    <w:p>
      <w:pPr>
        <w:widowControl/>
        <w:numPr>
          <w:ilvl w:val="0"/>
          <w:numId w:val="10"/>
        </w:numPr>
        <w:spacing w:after="80" w:line="269" w:lineRule="auto"/>
        <w:ind w:left="720" w:hanging="360"/>
      </w:pPr>
      <w:r>
        <w:rPr>
          <w:rFonts w:ascii="Aptos" w:hAnsi="Aptos"/>
        </w:rPr>
        <w:t>Confirmation that personal home-loan and savings accounts belong to the proprietor and are excluded from business assets/liabilities.</w:t>
      </w:r>
    </w:p>
    <w:p>
      <w:pPr>
        <w:widowControl/>
        <w:numPr>
          <w:ilvl w:val="0"/>
          <w:numId w:val="10"/>
        </w:numPr>
        <w:spacing w:after="80" w:line="269" w:lineRule="auto"/>
        <w:ind w:left="720" w:hanging="360"/>
      </w:pPr>
      <w:r>
        <w:rPr>
          <w:rFonts w:ascii="Aptos" w:hAnsi="Aptos"/>
        </w:rPr>
        <w:t>Branch-wise physical cash confirmation signed by the responsible person.</w:t>
      </w:r>
    </w:p>
    <w:p>
      <w:pPr>
        <w:widowControl/>
        <w:numPr>
          <w:ilvl w:val="0"/>
          <w:numId w:val="10"/>
        </w:numPr>
        <w:spacing w:after="80" w:line="269" w:lineRule="auto"/>
        <w:ind w:left="720" w:hanging="360"/>
      </w:pPr>
      <w:r>
        <w:rPr>
          <w:rFonts w:ascii="Aptos" w:hAnsi="Aptos"/>
        </w:rPr>
        <w:t>Employee imprest confirmations and pending expense bills.</w:t>
      </w:r>
    </w:p>
    <w:p>
      <w:pPr>
        <w:widowControl/>
        <w:numPr>
          <w:ilvl w:val="0"/>
          <w:numId w:val="10"/>
        </w:numPr>
        <w:spacing w:after="80" w:line="269" w:lineRule="auto"/>
        <w:ind w:left="720" w:hanging="360"/>
      </w:pPr>
      <w:r>
        <w:rPr>
          <w:rFonts w:ascii="Aptos" w:hAnsi="Aptos"/>
        </w:rPr>
        <w:t>Supplier/customer master list with legal name, GSTIN, address, state, PAN (where relevant), opening bill details and contact details.</w:t>
      </w:r>
    </w:p>
    <w:p>
      <w:pPr>
        <w:widowControl/>
        <w:numPr>
          <w:ilvl w:val="0"/>
          <w:numId w:val="10"/>
        </w:numPr>
        <w:spacing w:after="80" w:line="269" w:lineRule="auto"/>
        <w:ind w:left="720" w:hanging="360"/>
      </w:pPr>
      <w:r>
        <w:rPr>
          <w:rFonts w:ascii="Aptos" w:hAnsi="Aptos"/>
        </w:rPr>
        <w:t>GST returns, electronic ledgers, purchase registers, sales registers and e-invoice/e-way bill data for the relevant period.</w:t>
      </w:r>
    </w:p>
    <w:p>
      <w:pPr>
        <w:widowControl/>
        <w:numPr>
          <w:ilvl w:val="0"/>
          <w:numId w:val="10"/>
        </w:numPr>
        <w:spacing w:after="80" w:line="269" w:lineRule="auto"/>
        <w:ind w:left="720" w:hanging="360"/>
      </w:pPr>
      <w:r>
        <w:rPr>
          <w:rFonts w:ascii="Aptos" w:hAnsi="Aptos"/>
        </w:rPr>
        <w:t>Stock summary, physical stock count, item HSN/taxability list and material-centre balances.</w:t>
      </w:r>
    </w:p>
    <w:p>
      <w:pPr>
        <w:widowControl/>
        <w:numPr>
          <w:ilvl w:val="0"/>
          <w:numId w:val="10"/>
        </w:numPr>
        <w:spacing w:after="80" w:line="269" w:lineRule="auto"/>
        <w:ind w:left="720" w:hanging="360"/>
      </w:pPr>
      <w:r>
        <w:rPr>
          <w:rFonts w:ascii="Aptos" w:hAnsi="Aptos"/>
        </w:rPr>
        <w:t>Fixed-asset register, purchase documents and depreciation schedule.</w:t>
      </w:r>
    </w:p>
    <w:p>
      <w:pPr>
        <w:widowControl/>
        <w:numPr>
          <w:ilvl w:val="0"/>
          <w:numId w:val="10"/>
        </w:numPr>
        <w:spacing w:after="80" w:line="269" w:lineRule="auto"/>
        <w:ind w:left="720" w:hanging="360"/>
      </w:pPr>
      <w:r>
        <w:rPr>
          <w:rFonts w:ascii="Aptos" w:hAnsi="Aptos"/>
        </w:rPr>
        <w:t>Payroll, PF, ESIC, TDS and other statutory payable schedules.</w:t>
      </w:r>
    </w:p>
    <w:p>
      <w:pPr>
        <w:widowControl/>
        <w:numPr>
          <w:ilvl w:val="0"/>
          <w:numId w:val="10"/>
        </w:numPr>
        <w:spacing w:after="80" w:line="269" w:lineRule="auto"/>
        <w:ind w:left="720" w:hanging="360"/>
      </w:pPr>
      <w:r>
        <w:rPr>
          <w:rFonts w:ascii="Aptos" w:hAnsi="Aptos"/>
        </w:rPr>
        <w:t>Credit notes, debit notes and written approvals supporting any large discount or bad-debt entry.</w:t>
      </w:r>
    </w:p>
    <w:p>
      <w:pPr>
        <w:widowControl/>
        <w:numPr>
          <w:ilvl w:val="0"/>
          <w:numId w:val="10"/>
        </w:numPr>
        <w:spacing w:after="80" w:line="269" w:lineRule="auto"/>
        <w:ind w:left="720" w:hanging="360"/>
      </w:pPr>
      <w:r>
        <w:rPr>
          <w:rFonts w:ascii="Aptos" w:hAnsi="Aptos"/>
        </w:rPr>
        <w:t>Full details of every Suspense, Suspence and X-series balance, including voucher narration and counter-ledger.</w:t>
      </w:r>
    </w:p>
    <w:p>
      <w:pPr>
        <w:pStyle w:val="Heading2"/>
        <w:keepNext/>
        <w:widowControl/>
      </w:pPr>
      <w:r>
        <w:t>4.3 Opening balance pack - minimum standard</w:t>
      </w:r>
    </w:p>
    <w:tbl>
      <w:tblPr>
        <w:tblW w:type="dxa" w:w="9360"/>
        <w:jc w:val="left"/>
        <w:tblLayout w:type="fixed"/>
        <w:tblLook w:firstColumn="1" w:firstRow="1" w:lastColumn="0" w:lastRow="0" w:noHBand="0" w:noVBand="1" w:val="04A0"/>
        <w:tblInd w:w="120" w:type="dxa"/>
      </w:tblPr>
      <w:tblGrid>
        <w:gridCol w:w="1900"/>
        <w:gridCol w:w="7460"/>
      </w:tblGrid>
      <w:tr>
        <w:trPr>
          <w:tblHeader w:val="true"/>
          <w:cantSplit w:val="true"/>
        </w:trPr>
        <w:tc>
          <w:tcPr>
            <w:tcW w:type="dxa" w:w="1900"/>
            <w:vAlign w:val="center"/>
            <w:shd w:fill="17324D"/>
            <w:tcMar>
              <w:top w:w="100" w:type="dxa"/>
              <w:start w:w="120" w:type="dxa"/>
              <w:bottom w:w="100" w:type="dxa"/>
              <w:end w:w="120" w:type="dxa"/>
            </w:tcMar>
            <w:tcBorders>
              <w:top w:val="single" w:sz="6" w:color="17324D"/>
              <w:left w:val="single" w:sz="6" w:color="17324D"/>
              <w:bottom w:val="single" w:sz="6" w:color="17324D"/>
              <w:right w:val="single" w:sz="6" w:color="17324D"/>
              <w:insideH w:val="single" w:sz="6" w:color="17324D"/>
              <w:insideV w:val="single" w:sz="6" w:color="17324D"/>
            </w:tcBorders>
          </w:tcPr>
          <w:p>
            <w:pPr>
              <w:keepLines/>
              <w:widowControl/>
              <w:spacing w:after="0" w:line="240" w:lineRule="auto"/>
            </w:pPr>
            <w:r/>
            <w:r>
              <w:rPr>
                <w:rFonts w:ascii="Aptos" w:hAnsi="Aptos"/>
                <w:b/>
                <w:color w:val="FFFFFF"/>
                <w:sz w:val="18"/>
              </w:rPr>
              <w:t>Balance type</w:t>
            </w:r>
          </w:p>
        </w:tc>
        <w:tc>
          <w:tcPr>
            <w:tcW w:type="dxa" w:w="7460"/>
            <w:vAlign w:val="center"/>
            <w:shd w:fill="17324D"/>
            <w:tcMar>
              <w:top w:w="100" w:type="dxa"/>
              <w:start w:w="120" w:type="dxa"/>
              <w:bottom w:w="100" w:type="dxa"/>
              <w:end w:w="120" w:type="dxa"/>
            </w:tcMar>
            <w:tcBorders>
              <w:top w:val="single" w:sz="6" w:color="17324D"/>
              <w:left w:val="single" w:sz="6" w:color="17324D"/>
              <w:bottom w:val="single" w:sz="6" w:color="17324D"/>
              <w:right w:val="single" w:sz="6" w:color="17324D"/>
              <w:insideH w:val="single" w:sz="6" w:color="17324D"/>
              <w:insideV w:val="single" w:sz="6" w:color="17324D"/>
            </w:tcBorders>
          </w:tcPr>
          <w:p>
            <w:pPr>
              <w:keepLines/>
              <w:widowControl/>
              <w:spacing w:after="0" w:line="240" w:lineRule="auto"/>
            </w:pPr>
            <w:r/>
            <w:r>
              <w:rPr>
                <w:rFonts w:ascii="Aptos" w:hAnsi="Aptos"/>
                <w:b/>
                <w:color w:val="FFFFFF"/>
                <w:sz w:val="18"/>
              </w:rPr>
              <w:t>Required support</w:t>
            </w:r>
          </w:p>
        </w:tc>
      </w:tr>
      <w:tr>
        <w:trPr>
          <w:cantSplit w:val="true"/>
        </w:trPr>
        <w:tc>
          <w:tcPr>
            <w:tcW w:type="dxa" w:w="19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color w:val="20262D"/>
                <w:sz w:val="18"/>
              </w:rPr>
              <w:t>Bank</w:t>
            </w:r>
          </w:p>
        </w:tc>
        <w:tc>
          <w:tcPr>
            <w:tcW w:type="dxa" w:w="746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8"/>
              </w:rPr>
              <w:t>Statement balance plus reconciliation of unpresented/uncredited items.</w:t>
            </w:r>
          </w:p>
        </w:tc>
      </w:tr>
      <w:tr>
        <w:trPr>
          <w:cantSplit w:val="true"/>
        </w:trPr>
        <w:tc>
          <w:tcPr>
            <w:tcW w:type="dxa" w:w="19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color w:val="20262D"/>
                <w:sz w:val="18"/>
              </w:rPr>
              <w:t>Cash</w:t>
            </w:r>
          </w:p>
        </w:tc>
        <w:tc>
          <w:tcPr>
            <w:tcW w:type="dxa" w:w="746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8"/>
              </w:rPr>
              <w:t>Physical cash certificate by location.</w:t>
            </w:r>
          </w:p>
        </w:tc>
      </w:tr>
      <w:tr>
        <w:trPr>
          <w:cantSplit w:val="true"/>
        </w:trPr>
        <w:tc>
          <w:tcPr>
            <w:tcW w:type="dxa" w:w="19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color w:val="20262D"/>
                <w:sz w:val="18"/>
              </w:rPr>
              <w:t>Loans</w:t>
            </w:r>
          </w:p>
        </w:tc>
        <w:tc>
          <w:tcPr>
            <w:tcW w:type="dxa" w:w="746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8"/>
              </w:rPr>
              <w:t>Principal outstanding certificate/schedule; not total EMIs paid.</w:t>
            </w:r>
          </w:p>
        </w:tc>
      </w:tr>
      <w:tr>
        <w:trPr>
          <w:cantSplit w:val="true"/>
        </w:trPr>
        <w:tc>
          <w:tcPr>
            <w:tcW w:type="dxa" w:w="19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color w:val="20262D"/>
                <w:sz w:val="18"/>
              </w:rPr>
              <w:t>Debtors/creditors</w:t>
            </w:r>
          </w:p>
        </w:tc>
        <w:tc>
          <w:tcPr>
            <w:tcW w:type="dxa" w:w="746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8"/>
              </w:rPr>
              <w:t>Party-wise and bill-wise list, including disputed or old items.</w:t>
            </w:r>
          </w:p>
        </w:tc>
      </w:tr>
      <w:tr>
        <w:trPr>
          <w:cantSplit w:val="true"/>
        </w:trPr>
        <w:tc>
          <w:tcPr>
            <w:tcW w:type="dxa" w:w="19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color w:val="20262D"/>
                <w:sz w:val="18"/>
              </w:rPr>
              <w:t>Stock</w:t>
            </w:r>
          </w:p>
        </w:tc>
        <w:tc>
          <w:tcPr>
            <w:tcW w:type="dxa" w:w="746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8"/>
              </w:rPr>
              <w:t>Quantity, value, method, physical count and branch/material-centre split.</w:t>
            </w:r>
          </w:p>
        </w:tc>
      </w:tr>
      <w:tr>
        <w:trPr>
          <w:cantSplit w:val="true"/>
        </w:trPr>
        <w:tc>
          <w:tcPr>
            <w:tcW w:type="dxa" w:w="19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color w:val="20262D"/>
                <w:sz w:val="18"/>
              </w:rPr>
              <w:t>Taxes</w:t>
            </w:r>
          </w:p>
        </w:tc>
        <w:tc>
          <w:tcPr>
            <w:tcW w:type="dxa" w:w="746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8"/>
              </w:rPr>
              <w:t>Return-wise reconciliation to GST/TDS/PF/ESIC records.</w:t>
            </w:r>
          </w:p>
        </w:tc>
      </w:tr>
      <w:tr>
        <w:trPr>
          <w:cantSplit w:val="true"/>
        </w:trPr>
        <w:tc>
          <w:tcPr>
            <w:tcW w:type="dxa" w:w="19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color w:val="20262D"/>
                <w:sz w:val="18"/>
              </w:rPr>
              <w:t>Capital/drawings</w:t>
            </w:r>
          </w:p>
        </w:tc>
        <w:tc>
          <w:tcPr>
            <w:tcW w:type="dxa" w:w="746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8"/>
              </w:rPr>
              <w:t>Reconciled proprietor capital, personal withdrawals and approved prior-period adjustments.</w:t>
            </w:r>
          </w:p>
        </w:tc>
      </w:tr>
      <w:tr>
        <w:trPr>
          <w:cantSplit w:val="true"/>
        </w:trPr>
        <w:tc>
          <w:tcPr>
            <w:tcW w:type="dxa" w:w="19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color w:val="20262D"/>
                <w:sz w:val="18"/>
              </w:rPr>
              <w:t>Fixed assets</w:t>
            </w:r>
          </w:p>
        </w:tc>
        <w:tc>
          <w:tcPr>
            <w:tcW w:type="dxa" w:w="746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8"/>
              </w:rPr>
              <w:t>Asset-wise cost, accumulated depreciation and written-down value.</w:t>
            </w:r>
          </w:p>
        </w:tc>
      </w:tr>
    </w:tbl>
    <w:p>
      <w:pPr>
        <w:widowControl/>
        <w:spacing w:after="20"/>
      </w:pPr>
    </w:p>
    <w:p>
      <w:pPr>
        <w:pStyle w:val="Heading1"/>
        <w:keepNext/>
        <w:widowControl/>
      </w:pPr>
      <w:r>
        <w:t>Part 5 - Ideal structure of the new accounting system</w:t>
      </w:r>
    </w:p>
    <w:p>
      <w:pPr>
        <w:widowControl/>
      </w:pPr>
      <w:r>
        <w:rPr>
          <w:rFonts w:ascii="Aptos" w:hAnsi="Aptos"/>
          <w:i w:val="0"/>
        </w:rPr>
        <w:t>The new chart should be short enough to control and detailed enough to explain the business. The guiding rule is: create a ledger for a different accounting nature, not merely for a different branch, person or informal description.</w:t>
      </w:r>
    </w:p>
    <w:p>
      <w:pPr>
        <w:pStyle w:val="Heading2"/>
        <w:keepNext/>
        <w:widowControl/>
      </w:pPr>
      <w:r>
        <w:t>5.1 Naming standard</w:t>
      </w:r>
    </w:p>
    <w:p>
      <w:pPr>
        <w:widowControl/>
        <w:numPr>
          <w:ilvl w:val="0"/>
          <w:numId w:val="10"/>
        </w:numPr>
        <w:spacing w:after="80" w:line="269" w:lineRule="auto"/>
        <w:ind w:left="720" w:hanging="360"/>
      </w:pPr>
      <w:r>
        <w:rPr>
          <w:rFonts w:ascii="Aptos" w:hAnsi="Aptos"/>
        </w:rPr>
        <w:t>Use complete, consistent names. Remove symbols such as “#” and avoid abbreviations that an independent reviewer cannot understand.</w:t>
      </w:r>
    </w:p>
    <w:p>
      <w:pPr>
        <w:widowControl/>
        <w:numPr>
          <w:ilvl w:val="0"/>
          <w:numId w:val="10"/>
        </w:numPr>
        <w:spacing w:after="80" w:line="269" w:lineRule="auto"/>
        <w:ind w:left="720" w:hanging="360"/>
      </w:pPr>
      <w:r>
        <w:rPr>
          <w:rFonts w:ascii="Aptos" w:hAnsi="Aptos"/>
        </w:rPr>
        <w:t>Banks: [Bank] - [Account Type] - [Last 4 Digits] - [Branch]. Example: Canara Bank - CA - 1205 - Patna.</w:t>
      </w:r>
    </w:p>
    <w:p>
      <w:pPr>
        <w:widowControl/>
        <w:numPr>
          <w:ilvl w:val="0"/>
          <w:numId w:val="10"/>
        </w:numPr>
        <w:spacing w:after="80" w:line="269" w:lineRule="auto"/>
        <w:ind w:left="720" w:hanging="360"/>
      </w:pPr>
      <w:r>
        <w:rPr>
          <w:rFonts w:ascii="Aptos" w:hAnsi="Aptos"/>
        </w:rPr>
        <w:t>Employee funds: Imprest A/c - [Employee Name].</w:t>
      </w:r>
    </w:p>
    <w:p>
      <w:pPr>
        <w:widowControl/>
        <w:numPr>
          <w:ilvl w:val="0"/>
          <w:numId w:val="10"/>
        </w:numPr>
        <w:spacing w:after="80" w:line="269" w:lineRule="auto"/>
        <w:ind w:left="720" w:hanging="360"/>
      </w:pPr>
      <w:r>
        <w:rPr>
          <w:rFonts w:ascii="Aptos" w:hAnsi="Aptos"/>
        </w:rPr>
        <w:t>Branch cash: Cash - [Branch Name].</w:t>
      </w:r>
    </w:p>
    <w:p>
      <w:pPr>
        <w:widowControl/>
        <w:numPr>
          <w:ilvl w:val="0"/>
          <w:numId w:val="10"/>
        </w:numPr>
        <w:spacing w:after="80" w:line="269" w:lineRule="auto"/>
        <w:ind w:left="720" w:hanging="360"/>
      </w:pPr>
      <w:r>
        <w:rPr>
          <w:rFonts w:ascii="Aptos" w:hAnsi="Aptos"/>
        </w:rPr>
        <w:t>Loans: [Bank/Lender] - [Loan Type] - [Last 4 Digits].</w:t>
      </w:r>
    </w:p>
    <w:p>
      <w:pPr>
        <w:widowControl/>
        <w:numPr>
          <w:ilvl w:val="0"/>
          <w:numId w:val="10"/>
        </w:numPr>
        <w:spacing w:after="80" w:line="269" w:lineRule="auto"/>
        <w:ind w:left="720" w:hanging="360"/>
      </w:pPr>
      <w:r>
        <w:rPr>
          <w:rFonts w:ascii="Aptos" w:hAnsi="Aptos"/>
        </w:rPr>
        <w:t>Parties: legal name as per GST/PAN records. Do not add “Copy”, city names or staff names unless legally necessary.</w:t>
      </w:r>
    </w:p>
    <w:p>
      <w:pPr>
        <w:widowControl/>
        <w:numPr>
          <w:ilvl w:val="0"/>
          <w:numId w:val="10"/>
        </w:numPr>
        <w:spacing w:after="80" w:line="269" w:lineRule="auto"/>
        <w:ind w:left="720" w:hanging="360"/>
      </w:pPr>
      <w:r>
        <w:rPr>
          <w:rFonts w:ascii="Aptos" w:hAnsi="Aptos"/>
        </w:rPr>
        <w:t>Sales/purchases: nature and tax status, for example Sales - Exempt (Books) and Purchases - Taxable.</w:t>
      </w:r>
    </w:p>
    <w:p>
      <w:pPr>
        <w:pStyle w:val="Heading2"/>
        <w:keepNext/>
        <w:widowControl/>
      </w:pPr>
      <w:r>
        <w:t>5.2 Recommended chart of accounts</w:t>
      </w:r>
    </w:p>
    <w:tbl>
      <w:tblPr>
        <w:tblW w:type="dxa" w:w="9360"/>
        <w:jc w:val="left"/>
        <w:tblLayout w:type="fixed"/>
        <w:tblLook w:firstColumn="1" w:firstRow="1" w:lastColumn="0" w:lastRow="0" w:noHBand="0" w:noVBand="1" w:val="04A0"/>
        <w:tblInd w:w="120" w:type="dxa"/>
      </w:tblPr>
      <w:tblGrid>
        <w:gridCol w:w="1700"/>
        <w:gridCol w:w="3400"/>
        <w:gridCol w:w="4260"/>
      </w:tblGrid>
      <w:tr>
        <w:trPr>
          <w:tblHeader w:val="true"/>
          <w:cantSplit w:val="true"/>
        </w:trPr>
        <w:tc>
          <w:tcPr>
            <w:tcW w:type="dxa" w:w="1700"/>
            <w:vAlign w:val="center"/>
            <w:shd w:fill="17324D"/>
            <w:tcMar>
              <w:top w:w="100" w:type="dxa"/>
              <w:start w:w="120" w:type="dxa"/>
              <w:bottom w:w="100" w:type="dxa"/>
              <w:end w:w="120" w:type="dxa"/>
            </w:tcMar>
            <w:tcBorders>
              <w:top w:val="single" w:sz="6" w:color="17324D"/>
              <w:left w:val="single" w:sz="6" w:color="17324D"/>
              <w:bottom w:val="single" w:sz="6" w:color="17324D"/>
              <w:right w:val="single" w:sz="6" w:color="17324D"/>
              <w:insideH w:val="single" w:sz="6" w:color="17324D"/>
              <w:insideV w:val="single" w:sz="6" w:color="17324D"/>
            </w:tcBorders>
          </w:tcPr>
          <w:p>
            <w:pPr>
              <w:keepLines/>
              <w:widowControl/>
              <w:spacing w:after="0" w:line="240" w:lineRule="auto"/>
            </w:pPr>
            <w:r/>
            <w:r>
              <w:rPr>
                <w:rFonts w:ascii="Aptos" w:hAnsi="Aptos"/>
                <w:b/>
                <w:color w:val="FFFFFF"/>
                <w:sz w:val="16"/>
              </w:rPr>
              <w:t>Group</w:t>
            </w:r>
          </w:p>
        </w:tc>
        <w:tc>
          <w:tcPr>
            <w:tcW w:type="dxa" w:w="3400"/>
            <w:vAlign w:val="center"/>
            <w:shd w:fill="17324D"/>
            <w:tcMar>
              <w:top w:w="100" w:type="dxa"/>
              <w:start w:w="120" w:type="dxa"/>
              <w:bottom w:w="100" w:type="dxa"/>
              <w:end w:w="120" w:type="dxa"/>
            </w:tcMar>
            <w:tcBorders>
              <w:top w:val="single" w:sz="6" w:color="17324D"/>
              <w:left w:val="single" w:sz="6" w:color="17324D"/>
              <w:bottom w:val="single" w:sz="6" w:color="17324D"/>
              <w:right w:val="single" w:sz="6" w:color="17324D"/>
              <w:insideH w:val="single" w:sz="6" w:color="17324D"/>
              <w:insideV w:val="single" w:sz="6" w:color="17324D"/>
            </w:tcBorders>
          </w:tcPr>
          <w:p>
            <w:pPr>
              <w:keepLines/>
              <w:widowControl/>
              <w:spacing w:after="0" w:line="240" w:lineRule="auto"/>
            </w:pPr>
            <w:r/>
            <w:r>
              <w:rPr>
                <w:rFonts w:ascii="Aptos" w:hAnsi="Aptos"/>
                <w:b/>
                <w:color w:val="FFFFFF"/>
                <w:sz w:val="16"/>
              </w:rPr>
              <w:t>Core ledgers</w:t>
            </w:r>
          </w:p>
        </w:tc>
        <w:tc>
          <w:tcPr>
            <w:tcW w:type="dxa" w:w="4260"/>
            <w:vAlign w:val="center"/>
            <w:shd w:fill="17324D"/>
            <w:tcMar>
              <w:top w:w="100" w:type="dxa"/>
              <w:start w:w="120" w:type="dxa"/>
              <w:bottom w:w="100" w:type="dxa"/>
              <w:end w:w="120" w:type="dxa"/>
            </w:tcMar>
            <w:tcBorders>
              <w:top w:val="single" w:sz="6" w:color="17324D"/>
              <w:left w:val="single" w:sz="6" w:color="17324D"/>
              <w:bottom w:val="single" w:sz="6" w:color="17324D"/>
              <w:right w:val="single" w:sz="6" w:color="17324D"/>
              <w:insideH w:val="single" w:sz="6" w:color="17324D"/>
              <w:insideV w:val="single" w:sz="6" w:color="17324D"/>
            </w:tcBorders>
          </w:tcPr>
          <w:p>
            <w:pPr>
              <w:keepLines/>
              <w:widowControl/>
              <w:spacing w:after="0" w:line="240" w:lineRule="auto"/>
            </w:pPr>
            <w:r/>
            <w:r>
              <w:rPr>
                <w:rFonts w:ascii="Aptos" w:hAnsi="Aptos"/>
                <w:b/>
                <w:color w:val="FFFFFF"/>
                <w:sz w:val="16"/>
              </w:rPr>
              <w:t>Control rule</w:t>
            </w:r>
          </w:p>
        </w:tc>
      </w:tr>
      <w:tr>
        <w:trPr>
          <w:cantSplit w:val="true"/>
        </w:trPr>
        <w:tc>
          <w:tcPr>
            <w:tcW w:type="dxa" w:w="17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color w:val="20262D"/>
                <w:sz w:val="16"/>
              </w:rPr>
              <w:t>Capital Account</w:t>
            </w:r>
          </w:p>
        </w:tc>
        <w:tc>
          <w:tcPr>
            <w:tcW w:type="dxa" w:w="34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6"/>
              </w:rPr>
              <w:t>Capital - Mukesh Sir; Drawings - Mukesh Sir</w:t>
            </w:r>
          </w:p>
        </w:tc>
        <w:tc>
          <w:tcPr>
            <w:tcW w:type="dxa" w:w="426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6"/>
              </w:rPr>
              <w:t>Opening proprietor balance in Capital. Personal payments and transfers in Drawings.</w:t>
            </w:r>
          </w:p>
        </w:tc>
      </w:tr>
      <w:tr>
        <w:trPr>
          <w:cantSplit w:val="true"/>
        </w:trPr>
        <w:tc>
          <w:tcPr>
            <w:tcW w:type="dxa" w:w="17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color w:val="20262D"/>
                <w:sz w:val="16"/>
              </w:rPr>
              <w:t>Secured Loans</w:t>
            </w:r>
          </w:p>
        </w:tc>
        <w:tc>
          <w:tcPr>
            <w:tcW w:type="dxa" w:w="34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6"/>
              </w:rPr>
              <w:t>ICICI Business Loan A/c - 20227; Vehicle Loan A/c - XL6 8295; Vehicle Loan A/c - 7595</w:t>
            </w:r>
          </w:p>
        </w:tc>
        <w:tc>
          <w:tcPr>
            <w:tcW w:type="dxa" w:w="426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6"/>
              </w:rPr>
              <w:t>Credit opening equals verified principal outstanding. EMI split between principal and interest.</w:t>
            </w:r>
          </w:p>
        </w:tc>
      </w:tr>
      <w:tr>
        <w:trPr>
          <w:cantSplit w:val="true"/>
        </w:trPr>
        <w:tc>
          <w:tcPr>
            <w:tcW w:type="dxa" w:w="17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color w:val="20262D"/>
                <w:sz w:val="16"/>
              </w:rPr>
              <w:t>Bank Accounts</w:t>
            </w:r>
          </w:p>
        </w:tc>
        <w:tc>
          <w:tcPr>
            <w:tcW w:type="dxa" w:w="34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6"/>
              </w:rPr>
              <w:t>ICICI Bank - CA - 1030 - BGP; Canara Bank - CA - 1205 - Patna; other verified business accounts</w:t>
            </w:r>
          </w:p>
        </w:tc>
        <w:tc>
          <w:tcPr>
            <w:tcW w:type="dxa" w:w="426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6"/>
              </w:rPr>
              <w:t>Business accounts only; reconcile every month and preferably weekly.</w:t>
            </w:r>
          </w:p>
        </w:tc>
      </w:tr>
      <w:tr>
        <w:trPr>
          <w:cantSplit w:val="true"/>
        </w:trPr>
        <w:tc>
          <w:tcPr>
            <w:tcW w:type="dxa" w:w="17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color w:val="20262D"/>
                <w:sz w:val="16"/>
              </w:rPr>
              <w:t>Current Assets</w:t>
            </w:r>
          </w:p>
        </w:tc>
        <w:tc>
          <w:tcPr>
            <w:tcW w:type="dxa" w:w="34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6"/>
              </w:rPr>
              <w:t>POS Clearing Settlement A/c</w:t>
            </w:r>
          </w:p>
        </w:tc>
        <w:tc>
          <w:tcPr>
            <w:tcW w:type="dxa" w:w="426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6"/>
              </w:rPr>
              <w:t>Temporary settlement bridge; should clear as bank settlements arrive.</w:t>
            </w:r>
          </w:p>
        </w:tc>
      </w:tr>
      <w:tr>
        <w:trPr>
          <w:cantSplit w:val="true"/>
        </w:trPr>
        <w:tc>
          <w:tcPr>
            <w:tcW w:type="dxa" w:w="17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color w:val="20262D"/>
                <w:sz w:val="16"/>
              </w:rPr>
              <w:t>Cash-in-Hand</w:t>
            </w:r>
          </w:p>
        </w:tc>
        <w:tc>
          <w:tcPr>
            <w:tcW w:type="dxa" w:w="34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6"/>
              </w:rPr>
              <w:t>Main Cash - Patna HO; Cash - Agartala; Cash - Bangalore; Cash - Bettiah; approved branches</w:t>
            </w:r>
          </w:p>
        </w:tc>
        <w:tc>
          <w:tcPr>
            <w:tcW w:type="dxa" w:w="426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6"/>
              </w:rPr>
              <w:t>No employee names, wallets or DS# ledgers. No unexplained credit balance.</w:t>
            </w:r>
          </w:p>
        </w:tc>
      </w:tr>
      <w:tr>
        <w:trPr>
          <w:cantSplit w:val="true"/>
        </w:trPr>
        <w:tc>
          <w:tcPr>
            <w:tcW w:type="dxa" w:w="17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color w:val="20262D"/>
                <w:sz w:val="16"/>
              </w:rPr>
              <w:t>Loans &amp; Advances (Asset)</w:t>
            </w:r>
          </w:p>
        </w:tc>
        <w:tc>
          <w:tcPr>
            <w:tcW w:type="dxa" w:w="34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6"/>
              </w:rPr>
              <w:t>Imprest A/c - Ajay Ji; Imprest A/c - Aayush Jee; other approved staff imprest</w:t>
            </w:r>
          </w:p>
        </w:tc>
        <w:tc>
          <w:tcPr>
            <w:tcW w:type="dxa" w:w="426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6"/>
              </w:rPr>
              <w:t>Advance until bills/refund are submitted; employee confirmation required.</w:t>
            </w:r>
          </w:p>
        </w:tc>
      </w:tr>
      <w:tr>
        <w:trPr>
          <w:cantSplit w:val="true"/>
        </w:trPr>
        <w:tc>
          <w:tcPr>
            <w:tcW w:type="dxa" w:w="17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color w:val="20262D"/>
                <w:sz w:val="16"/>
              </w:rPr>
              <w:t>Sundry Creditors</w:t>
            </w:r>
          </w:p>
        </w:tc>
        <w:tc>
          <w:tcPr>
            <w:tcW w:type="dxa" w:w="34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6"/>
              </w:rPr>
              <w:t>One supplier master per legal entity/GSTIN</w:t>
            </w:r>
          </w:p>
        </w:tc>
        <w:tc>
          <w:tcPr>
            <w:tcW w:type="dxa" w:w="426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6"/>
              </w:rPr>
              <w:t>Bill-wise tracking. Branch through cost/material centre.</w:t>
            </w:r>
          </w:p>
        </w:tc>
      </w:tr>
      <w:tr>
        <w:trPr>
          <w:cantSplit w:val="true"/>
        </w:trPr>
        <w:tc>
          <w:tcPr>
            <w:tcW w:type="dxa" w:w="17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color w:val="20262D"/>
                <w:sz w:val="16"/>
              </w:rPr>
              <w:t>Sundry Debtors</w:t>
            </w:r>
          </w:p>
        </w:tc>
        <w:tc>
          <w:tcPr>
            <w:tcW w:type="dxa" w:w="34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6"/>
              </w:rPr>
              <w:t>One customer master per legal entity/GSTIN</w:t>
            </w:r>
          </w:p>
        </w:tc>
        <w:tc>
          <w:tcPr>
            <w:tcW w:type="dxa" w:w="426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6"/>
              </w:rPr>
              <w:t>Bill-wise tracking, credit limits and ageing review.</w:t>
            </w:r>
          </w:p>
        </w:tc>
      </w:tr>
      <w:tr>
        <w:trPr>
          <w:cantSplit w:val="true"/>
        </w:trPr>
        <w:tc>
          <w:tcPr>
            <w:tcW w:type="dxa" w:w="17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color w:val="20262D"/>
                <w:sz w:val="16"/>
              </w:rPr>
              <w:t>Sales Accounts</w:t>
            </w:r>
          </w:p>
        </w:tc>
        <w:tc>
          <w:tcPr>
            <w:tcW w:type="dxa" w:w="34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6"/>
              </w:rPr>
              <w:t>Sales - Exempt (Books); Sales - Taxable</w:t>
            </w:r>
          </w:p>
        </w:tc>
        <w:tc>
          <w:tcPr>
            <w:tcW w:type="dxa" w:w="426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6"/>
              </w:rPr>
              <w:t>Item-level HSN and taxability drive correct billing and reporting.</w:t>
            </w:r>
          </w:p>
        </w:tc>
      </w:tr>
      <w:tr>
        <w:trPr>
          <w:cantSplit w:val="true"/>
        </w:trPr>
        <w:tc>
          <w:tcPr>
            <w:tcW w:type="dxa" w:w="17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color w:val="20262D"/>
                <w:sz w:val="16"/>
              </w:rPr>
              <w:t>Purchase Accounts</w:t>
            </w:r>
          </w:p>
        </w:tc>
        <w:tc>
          <w:tcPr>
            <w:tcW w:type="dxa" w:w="34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6"/>
              </w:rPr>
              <w:t>Purchases - Exempt (Books); Purchases - Taxable</w:t>
            </w:r>
          </w:p>
        </w:tc>
        <w:tc>
          <w:tcPr>
            <w:tcW w:type="dxa" w:w="426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6"/>
              </w:rPr>
              <w:t>Item-level taxability and branch/material-centre tag.</w:t>
            </w:r>
          </w:p>
        </w:tc>
      </w:tr>
      <w:tr>
        <w:trPr>
          <w:cantSplit w:val="true"/>
        </w:trPr>
        <w:tc>
          <w:tcPr>
            <w:tcW w:type="dxa" w:w="17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color w:val="20262D"/>
                <w:sz w:val="16"/>
              </w:rPr>
              <w:t>Employee Benefit Expenses</w:t>
            </w:r>
          </w:p>
        </w:tc>
        <w:tc>
          <w:tcPr>
            <w:tcW w:type="dxa" w:w="34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6"/>
              </w:rPr>
              <w:t>Salary; Employer PF &amp; ESIC; Staff Welfare; Bonus/Incentive, where applicable</w:t>
            </w:r>
          </w:p>
        </w:tc>
        <w:tc>
          <w:tcPr>
            <w:tcW w:type="dxa" w:w="426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6"/>
              </w:rPr>
              <w:t>Use clear policy and payroll support.</w:t>
            </w:r>
          </w:p>
        </w:tc>
      </w:tr>
      <w:tr>
        <w:trPr>
          <w:cantSplit w:val="true"/>
        </w:trPr>
        <w:tc>
          <w:tcPr>
            <w:tcW w:type="dxa" w:w="17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color w:val="20262D"/>
                <w:sz w:val="16"/>
              </w:rPr>
              <w:t>Selling &amp; Distribution</w:t>
            </w:r>
          </w:p>
        </w:tc>
        <w:tc>
          <w:tcPr>
            <w:tcW w:type="dxa" w:w="34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6"/>
              </w:rPr>
              <w:t>Freight &amp; Forwarding; Sample Expense; Packing Material; Publication/Trade Discount, if valid</w:t>
            </w:r>
          </w:p>
        </w:tc>
        <w:tc>
          <w:tcPr>
            <w:tcW w:type="dxa" w:w="426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6"/>
              </w:rPr>
              <w:t>Separate genuine selling cost from credit notes, bad debts and drawings.</w:t>
            </w:r>
          </w:p>
        </w:tc>
      </w:tr>
      <w:tr>
        <w:trPr>
          <w:cantSplit w:val="true"/>
        </w:trPr>
        <w:tc>
          <w:tcPr>
            <w:tcW w:type="dxa" w:w="17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color w:val="20262D"/>
                <w:sz w:val="16"/>
              </w:rPr>
              <w:t>Administrative Expenses</w:t>
            </w:r>
          </w:p>
        </w:tc>
        <w:tc>
          <w:tcPr>
            <w:tcW w:type="dxa" w:w="34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6"/>
              </w:rPr>
              <w:t>Rent; Office Maintenance; Printing &amp; Stationery; Internet &amp; Communication; Professional Fees</w:t>
            </w:r>
          </w:p>
        </w:tc>
        <w:tc>
          <w:tcPr>
            <w:tcW w:type="dxa" w:w="426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6"/>
              </w:rPr>
              <w:t>Branch/cost-centre tag where relevant.</w:t>
            </w:r>
          </w:p>
        </w:tc>
      </w:tr>
      <w:tr>
        <w:trPr>
          <w:cantSplit w:val="true"/>
        </w:trPr>
        <w:tc>
          <w:tcPr>
            <w:tcW w:type="dxa" w:w="17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color w:val="20262D"/>
                <w:sz w:val="16"/>
              </w:rPr>
              <w:t>Finance Costs</w:t>
            </w:r>
          </w:p>
        </w:tc>
        <w:tc>
          <w:tcPr>
            <w:tcW w:type="dxa" w:w="34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6"/>
              </w:rPr>
              <w:t>Interest on Loans; Bank Charges; Payment Gateway Charges</w:t>
            </w:r>
          </w:p>
        </w:tc>
        <w:tc>
          <w:tcPr>
            <w:tcW w:type="dxa" w:w="426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6"/>
              </w:rPr>
              <w:t>Principal is not an expense. Interest/charges require supporting statement/invoice.</w:t>
            </w:r>
          </w:p>
        </w:tc>
      </w:tr>
    </w:tbl>
    <w:p>
      <w:pPr>
        <w:widowControl/>
        <w:spacing w:after="20"/>
      </w:pPr>
    </w:p>
    <w:p>
      <w:pPr>
        <w:pStyle w:val="Heading2"/>
        <w:keepNext/>
        <w:widowControl/>
      </w:pPr>
      <w:r>
        <w:t>5.3 Essential groups not to overlook</w:t>
      </w:r>
    </w:p>
    <w:p>
      <w:pPr>
        <w:widowControl/>
      </w:pPr>
      <w:r>
        <w:rPr>
          <w:rFonts w:ascii="Aptos" w:hAnsi="Aptos"/>
          <w:i w:val="0"/>
        </w:rPr>
        <w:t>The supplied review focuses on the problem ledgers. A complete system should also include the following normal balance-sheet and control areas, where applicable:</w:t>
      </w:r>
    </w:p>
    <w:p>
      <w:pPr>
        <w:widowControl/>
        <w:numPr>
          <w:ilvl w:val="0"/>
          <w:numId w:val="10"/>
        </w:numPr>
        <w:spacing w:after="80" w:line="269" w:lineRule="auto"/>
        <w:ind w:left="720" w:hanging="360"/>
      </w:pPr>
      <w:r>
        <w:rPr>
          <w:rFonts w:ascii="Aptos" w:hAnsi="Aptos"/>
        </w:rPr>
        <w:t>Fixed Assets and Accumulated Depreciation, supported by an asset register.</w:t>
      </w:r>
    </w:p>
    <w:p>
      <w:pPr>
        <w:widowControl/>
        <w:numPr>
          <w:ilvl w:val="0"/>
          <w:numId w:val="10"/>
        </w:numPr>
        <w:spacing w:after="80" w:line="269" w:lineRule="auto"/>
        <w:ind w:left="720" w:hanging="360"/>
      </w:pPr>
      <w:r>
        <w:rPr>
          <w:rFonts w:ascii="Aptos" w:hAnsi="Aptos"/>
        </w:rPr>
        <w:t>Stock-in-Hand / Inventory with branch or material-centre quantities and valuation controls.</w:t>
      </w:r>
    </w:p>
    <w:p>
      <w:pPr>
        <w:widowControl/>
        <w:numPr>
          <w:ilvl w:val="0"/>
          <w:numId w:val="10"/>
        </w:numPr>
        <w:spacing w:after="80" w:line="269" w:lineRule="auto"/>
        <w:ind w:left="720" w:hanging="360"/>
      </w:pPr>
      <w:r>
        <w:rPr>
          <w:rFonts w:ascii="Aptos" w:hAnsi="Aptos"/>
        </w:rPr>
        <w:t>GST Input, GST Output, RCM liability/input, and GST payable/receivable control ledgers.</w:t>
      </w:r>
    </w:p>
    <w:p>
      <w:pPr>
        <w:widowControl/>
        <w:numPr>
          <w:ilvl w:val="0"/>
          <w:numId w:val="10"/>
        </w:numPr>
        <w:spacing w:after="80" w:line="269" w:lineRule="auto"/>
        <w:ind w:left="720" w:hanging="360"/>
      </w:pPr>
      <w:r>
        <w:rPr>
          <w:rFonts w:ascii="Aptos" w:hAnsi="Aptos"/>
        </w:rPr>
        <w:t>TDS receivable/payable, PF/ESIC payable, salary payable and other statutory liabilities.</w:t>
      </w:r>
    </w:p>
    <w:p>
      <w:pPr>
        <w:widowControl/>
        <w:numPr>
          <w:ilvl w:val="0"/>
          <w:numId w:val="10"/>
        </w:numPr>
        <w:spacing w:after="80" w:line="269" w:lineRule="auto"/>
        <w:ind w:left="720" w:hanging="360"/>
      </w:pPr>
      <w:r>
        <w:rPr>
          <w:rFonts w:ascii="Aptos" w:hAnsi="Aptos"/>
        </w:rPr>
        <w:t>Customer advances, supplier advances, security deposits and prepaid expenses under appropriate groups.</w:t>
      </w:r>
    </w:p>
    <w:p>
      <w:pPr>
        <w:widowControl/>
        <w:numPr>
          <w:ilvl w:val="0"/>
          <w:numId w:val="10"/>
        </w:numPr>
        <w:spacing w:after="80" w:line="269" w:lineRule="auto"/>
        <w:ind w:left="720" w:hanging="360"/>
      </w:pPr>
      <w:r>
        <w:rPr>
          <w:rFonts w:ascii="Aptos" w:hAnsi="Aptos"/>
        </w:rPr>
        <w:t>Bad Debts and Provision/Allowance ledgers only when supported and approved; not as a substitute for unexplained discounts.</w:t>
      </w:r>
    </w:p>
    <w:p>
      <w:pPr>
        <w:pStyle w:val="Heading2"/>
        <w:keepNext/>
        <w:widowControl/>
      </w:pPr>
      <w:r>
        <w:t>5.4 Ledgers to exclude from the new chart</w:t>
      </w:r>
    </w:p>
    <w:tbl>
      <w:tblPr>
        <w:tblW w:type="dxa" w:w="9360"/>
        <w:jc w:val="left"/>
        <w:tblLayout w:type="fixed"/>
        <w:tblLook w:firstColumn="1" w:firstRow="1" w:lastColumn="0" w:lastRow="0" w:noHBand="0" w:noVBand="1" w:val="04A0"/>
        <w:tblInd w:w="120" w:type="dxa"/>
      </w:tblPr>
      <w:tblGrid>
        <w:gridCol w:w="1650"/>
        <w:gridCol w:w="3300"/>
        <w:gridCol w:w="4410"/>
      </w:tblGrid>
      <w:tr>
        <w:trPr>
          <w:tblHeader w:val="true"/>
          <w:cantSplit w:val="true"/>
        </w:trPr>
        <w:tc>
          <w:tcPr>
            <w:tcW w:type="dxa" w:w="1650"/>
            <w:vAlign w:val="center"/>
            <w:shd w:fill="9B2C2C"/>
            <w:tcMar>
              <w:top w:w="100" w:type="dxa"/>
              <w:start w:w="120" w:type="dxa"/>
              <w:bottom w:w="100" w:type="dxa"/>
              <w:end w:w="120" w:type="dxa"/>
            </w:tcMar>
            <w:tcBorders>
              <w:top w:val="single" w:sz="6" w:color="9B2C2C"/>
              <w:left w:val="single" w:sz="6" w:color="9B2C2C"/>
              <w:bottom w:val="single" w:sz="6" w:color="9B2C2C"/>
              <w:right w:val="single" w:sz="6" w:color="9B2C2C"/>
              <w:insideH w:val="single" w:sz="6" w:color="9B2C2C"/>
              <w:insideV w:val="single" w:sz="6" w:color="9B2C2C"/>
            </w:tcBorders>
          </w:tcPr>
          <w:p>
            <w:pPr>
              <w:keepLines/>
              <w:widowControl/>
              <w:spacing w:after="0" w:line="240" w:lineRule="auto"/>
            </w:pPr>
            <w:r/>
            <w:r>
              <w:rPr>
                <w:rFonts w:ascii="Aptos" w:hAnsi="Aptos"/>
                <w:b/>
                <w:color w:val="FFFFFF"/>
                <w:sz w:val="17"/>
              </w:rPr>
              <w:t>Category</w:t>
            </w:r>
          </w:p>
        </w:tc>
        <w:tc>
          <w:tcPr>
            <w:tcW w:type="dxa" w:w="3300"/>
            <w:vAlign w:val="center"/>
            <w:shd w:fill="9B2C2C"/>
            <w:tcMar>
              <w:top w:w="100" w:type="dxa"/>
              <w:start w:w="120" w:type="dxa"/>
              <w:bottom w:w="100" w:type="dxa"/>
              <w:end w:w="120" w:type="dxa"/>
            </w:tcMar>
            <w:tcBorders>
              <w:top w:val="single" w:sz="6" w:color="9B2C2C"/>
              <w:left w:val="single" w:sz="6" w:color="9B2C2C"/>
              <w:bottom w:val="single" w:sz="6" w:color="9B2C2C"/>
              <w:right w:val="single" w:sz="6" w:color="9B2C2C"/>
              <w:insideH w:val="single" w:sz="6" w:color="9B2C2C"/>
              <w:insideV w:val="single" w:sz="6" w:color="9B2C2C"/>
            </w:tcBorders>
          </w:tcPr>
          <w:p>
            <w:pPr>
              <w:keepLines/>
              <w:widowControl/>
              <w:spacing w:after="0" w:line="240" w:lineRule="auto"/>
            </w:pPr>
            <w:r/>
            <w:r>
              <w:rPr>
                <w:rFonts w:ascii="Aptos" w:hAnsi="Aptos"/>
                <w:b/>
                <w:color w:val="FFFFFF"/>
                <w:sz w:val="17"/>
              </w:rPr>
              <w:t>Legacy examples</w:t>
            </w:r>
          </w:p>
        </w:tc>
        <w:tc>
          <w:tcPr>
            <w:tcW w:type="dxa" w:w="4410"/>
            <w:vAlign w:val="center"/>
            <w:shd w:fill="9B2C2C"/>
            <w:tcMar>
              <w:top w:w="100" w:type="dxa"/>
              <w:start w:w="120" w:type="dxa"/>
              <w:bottom w:w="100" w:type="dxa"/>
              <w:end w:w="120" w:type="dxa"/>
            </w:tcMar>
            <w:tcBorders>
              <w:top w:val="single" w:sz="6" w:color="9B2C2C"/>
              <w:left w:val="single" w:sz="6" w:color="9B2C2C"/>
              <w:bottom w:val="single" w:sz="6" w:color="9B2C2C"/>
              <w:right w:val="single" w:sz="6" w:color="9B2C2C"/>
              <w:insideH w:val="single" w:sz="6" w:color="9B2C2C"/>
              <w:insideV w:val="single" w:sz="6" w:color="9B2C2C"/>
            </w:tcBorders>
          </w:tcPr>
          <w:p>
            <w:pPr>
              <w:keepLines/>
              <w:widowControl/>
              <w:spacing w:after="0" w:line="240" w:lineRule="auto"/>
            </w:pPr>
            <w:r/>
            <w:r>
              <w:rPr>
                <w:rFonts w:ascii="Aptos" w:hAnsi="Aptos"/>
                <w:b/>
                <w:color w:val="FFFFFF"/>
                <w:sz w:val="17"/>
              </w:rPr>
              <w:t>New-system treatment</w:t>
            </w:r>
          </w:p>
        </w:tc>
      </w:tr>
      <w:tr>
        <w:trPr>
          <w:cantSplit w:val="true"/>
        </w:trPr>
        <w:tc>
          <w:tcPr>
            <w:tcW w:type="dxa" w:w="16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color w:val="20262D"/>
                <w:sz w:val="17"/>
              </w:rPr>
              <w:t>Personal</w:t>
            </w:r>
          </w:p>
        </w:tc>
        <w:tc>
          <w:tcPr>
            <w:tcW w:type="dxa" w:w="33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7"/>
              </w:rPr>
              <w:t>HOME LOAN 35215; ICICI-4260 Saving MK Choudhary</w:t>
            </w:r>
          </w:p>
        </w:tc>
        <w:tc>
          <w:tcPr>
            <w:tcW w:type="dxa" w:w="441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7"/>
              </w:rPr>
              <w:t>Exclude from business bank/loan/P&amp;L. Route business-paid personal amounts to Drawings.</w:t>
            </w:r>
          </w:p>
        </w:tc>
      </w:tr>
      <w:tr>
        <w:trPr>
          <w:cantSplit w:val="true"/>
        </w:trPr>
        <w:tc>
          <w:tcPr>
            <w:tcW w:type="dxa" w:w="16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color w:val="20262D"/>
                <w:sz w:val="17"/>
              </w:rPr>
              <w:t>EMI expense ledgers</w:t>
            </w:r>
          </w:p>
        </w:tc>
        <w:tc>
          <w:tcPr>
            <w:tcW w:type="dxa" w:w="33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7"/>
              </w:rPr>
              <w:t>EMI-BUIS LOAN 20227; EMI-VEH 7595; VEH EMI 4339 (XL6 8295)</w:t>
            </w:r>
          </w:p>
        </w:tc>
        <w:tc>
          <w:tcPr>
            <w:tcW w:type="dxa" w:w="441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7"/>
              </w:rPr>
              <w:t>Replace with loan liability plus Interest on Loans.</w:t>
            </w:r>
          </w:p>
        </w:tc>
      </w:tr>
      <w:tr>
        <w:trPr>
          <w:cantSplit w:val="true"/>
        </w:trPr>
        <w:tc>
          <w:tcPr>
            <w:tcW w:type="dxa" w:w="16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color w:val="20262D"/>
                <w:sz w:val="17"/>
              </w:rPr>
              <w:t>Vague bank/POS names</w:t>
            </w:r>
          </w:p>
        </w:tc>
        <w:tc>
          <w:tcPr>
            <w:tcW w:type="dxa" w:w="33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7"/>
              </w:rPr>
              <w:t>A/C 007 PAT; AC 594 PAT; CANARA BANK (0357201001205) Patna; POS SALE MID-165752 (594 AC)</w:t>
            </w:r>
          </w:p>
        </w:tc>
        <w:tc>
          <w:tcPr>
            <w:tcW w:type="dxa" w:w="441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7"/>
              </w:rPr>
              <w:t>Use approved bank naming and POS Clearing Settlement A/c.</w:t>
            </w:r>
          </w:p>
        </w:tc>
      </w:tr>
      <w:tr>
        <w:trPr>
          <w:cantSplit w:val="true"/>
        </w:trPr>
        <w:tc>
          <w:tcPr>
            <w:tcW w:type="dxa" w:w="16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color w:val="20262D"/>
                <w:sz w:val="17"/>
              </w:rPr>
              <w:t>Cash clutter</w:t>
            </w:r>
          </w:p>
        </w:tc>
        <w:tc>
          <w:tcPr>
            <w:tcW w:type="dxa" w:w="33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7"/>
              </w:rPr>
              <w:t>DS # ledgers; Wallet ledgers; V Ac 2162_IDFC_Cash Book; employee-name cash ledgers</w:t>
            </w:r>
          </w:p>
        </w:tc>
        <w:tc>
          <w:tcPr>
            <w:tcW w:type="dxa" w:w="441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7"/>
              </w:rPr>
              <w:t>Use branch cash and employee imprest.</w:t>
            </w:r>
          </w:p>
        </w:tc>
      </w:tr>
      <w:tr>
        <w:trPr>
          <w:cantSplit w:val="true"/>
        </w:trPr>
        <w:tc>
          <w:tcPr>
            <w:tcW w:type="dxa" w:w="16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color w:val="20262D"/>
                <w:sz w:val="17"/>
              </w:rPr>
              <w:t>Duplicate parties</w:t>
            </w:r>
          </w:p>
        </w:tc>
        <w:tc>
          <w:tcPr>
            <w:tcW w:type="dxa" w:w="33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7"/>
              </w:rPr>
              <w:t>Location/Copy versions of the same supplier</w:t>
            </w:r>
          </w:p>
        </w:tc>
        <w:tc>
          <w:tcPr>
            <w:tcW w:type="dxa" w:w="441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7"/>
              </w:rPr>
              <w:t>Use one GSTIN-based master.</w:t>
            </w:r>
          </w:p>
        </w:tc>
      </w:tr>
      <w:tr>
        <w:trPr>
          <w:cantSplit w:val="true"/>
        </w:trPr>
        <w:tc>
          <w:tcPr>
            <w:tcW w:type="dxa" w:w="16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color w:val="20262D"/>
                <w:sz w:val="17"/>
              </w:rPr>
              <w:t>Duplicate/unclear trading</w:t>
            </w:r>
          </w:p>
        </w:tc>
        <w:tc>
          <w:tcPr>
            <w:tcW w:type="dxa" w:w="33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7"/>
              </w:rPr>
              <w:t>Sale; Short Books; duplicate Purchase ledgers</w:t>
            </w:r>
          </w:p>
        </w:tc>
        <w:tc>
          <w:tcPr>
            <w:tcW w:type="dxa" w:w="441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7"/>
              </w:rPr>
              <w:t>Use approved exempt/taxable sales and purchase ledgers. Define returns/shortages separately if genuine.</w:t>
            </w:r>
          </w:p>
        </w:tc>
      </w:tr>
      <w:tr>
        <w:trPr>
          <w:cantSplit w:val="true"/>
        </w:trPr>
        <w:tc>
          <w:tcPr>
            <w:tcW w:type="dxa" w:w="16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color w:val="20262D"/>
                <w:sz w:val="17"/>
              </w:rPr>
              <w:t>Garbage/suspense</w:t>
            </w:r>
          </w:p>
        </w:tc>
        <w:tc>
          <w:tcPr>
            <w:tcW w:type="dxa" w:w="33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7"/>
              </w:rPr>
              <w:t>Suspense Account; Suspence Account - ---; X 1; X 2; X 5; X 6; X 7</w:t>
            </w:r>
          </w:p>
        </w:tc>
        <w:tc>
          <w:tcPr>
            <w:tcW w:type="dxa" w:w="441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7"/>
              </w:rPr>
              <w:t>No equivalent ledger in the new system. Resolve through evidence and approved treatment.</w:t>
            </w:r>
          </w:p>
        </w:tc>
      </w:tr>
    </w:tbl>
    <w:p>
      <w:pPr>
        <w:widowControl/>
        <w:spacing w:after="20"/>
      </w:pPr>
    </w:p>
    <w:p>
      <w:pPr>
        <w:widowControl/>
        <w:spacing w:before="40" w:after="120"/>
      </w:pPr>
      <w:r>
        <w:rPr>
          <w:rFonts w:ascii="Aptos" w:hAnsi="Aptos"/>
          <w:i/>
          <w:color w:val="5C6670"/>
          <w:sz w:val="17"/>
        </w:rPr>
        <w:t>“Exclude” means do not recreate in the new chart. Do not erase historical vouchers from the preserved legacy file.</w:t>
      </w:r>
    </w:p>
    <w:p>
      <w:pPr>
        <w:pStyle w:val="Heading1"/>
        <w:keepNext/>
        <w:widowControl/>
      </w:pPr>
      <w:r>
        <w:t>Part 6 - Plain-language entry workflows</w:t>
      </w:r>
    </w:p>
    <w:p>
      <w:pPr>
        <w:widowControl/>
      </w:pPr>
      <w:r>
        <w:rPr>
          <w:rFonts w:ascii="Aptos" w:hAnsi="Aptos"/>
          <w:i w:val="0"/>
        </w:rPr>
        <w:t>The examples below explain the intended flow. Exact voucher type, GST nature and tax ledger should be confirmed in the configured BUSY company by the client accountant and our reviewer.</w:t>
      </w:r>
    </w:p>
    <w:p>
      <w:pPr>
        <w:pStyle w:val="Heading2"/>
        <w:keepNext/>
        <w:widowControl/>
      </w:pPr>
      <w:r>
        <w:t>6.1 Personal payments made from the business bank</w:t>
      </w:r>
    </w:p>
    <w:p>
      <w:pPr>
        <w:widowControl/>
      </w:pPr>
      <w:r>
        <w:rPr>
          <w:rFonts w:ascii="Aptos" w:hAnsi="Aptos"/>
          <w:i w:val="0"/>
        </w:rPr>
        <w:t>Examples: home-loan EMI, LIC premium, personal income tax, transfer to personal savings.</w:t>
      </w:r>
    </w:p>
    <w:p>
      <w:pPr>
        <w:pStyle w:val="LeadCallout"/>
        <w:widowControl/>
      </w:pPr>
      <w:r>
        <w:rPr>
          <w:rFonts w:ascii="Aptos" w:hAnsi="Aptos"/>
          <w:b/>
          <w:color w:val="17324D"/>
        </w:rPr>
        <w:t xml:space="preserve">Entry logic  </w:t>
      </w:r>
      <w:r>
        <w:rPr>
          <w:rFonts w:ascii="Aptos" w:hAnsi="Aptos"/>
          <w:color w:val="17324D"/>
        </w:rPr>
        <w:t>Debit Drawings - Mukesh Sir and credit the business Bank A/c. Do not debit a business expense and do not create the personal bank account as a business asset.</w:t>
      </w:r>
    </w:p>
    <w:p>
      <w:pPr>
        <w:pStyle w:val="Heading2"/>
        <w:keepNext/>
        <w:widowControl/>
      </w:pPr>
      <w:r>
        <w:t>6.2 Business-loan EMI</w:t>
      </w:r>
    </w:p>
    <w:p>
      <w:pPr>
        <w:widowControl/>
      </w:pPr>
      <w:r>
        <w:rPr>
          <w:rFonts w:ascii="Aptos" w:hAnsi="Aptos"/>
          <w:i w:val="0"/>
        </w:rPr>
        <w:t>Obtain the lender statement or amortisation schedule for the payment month. Split the EMI into principal and interest.</w:t>
      </w:r>
    </w:p>
    <w:p>
      <w:pPr>
        <w:widowControl/>
        <w:numPr>
          <w:ilvl w:val="0"/>
          <w:numId w:val="10"/>
        </w:numPr>
        <w:spacing w:after="80" w:line="269" w:lineRule="auto"/>
        <w:ind w:left="720" w:hanging="360"/>
      </w:pPr>
      <w:r>
        <w:rPr>
          <w:rFonts w:ascii="Aptos" w:hAnsi="Aptos"/>
        </w:rPr>
        <w:t>Debit the relevant Loan A/c for the principal portion. This reduces the liability.</w:t>
      </w:r>
    </w:p>
    <w:p>
      <w:pPr>
        <w:widowControl/>
        <w:numPr>
          <w:ilvl w:val="0"/>
          <w:numId w:val="10"/>
        </w:numPr>
        <w:spacing w:after="80" w:line="269" w:lineRule="auto"/>
        <w:ind w:left="720" w:hanging="360"/>
      </w:pPr>
      <w:r>
        <w:rPr>
          <w:rFonts w:ascii="Aptos" w:hAnsi="Aptos"/>
        </w:rPr>
        <w:t>Debit Interest on Loans for the interest portion. This is the finance cost.</w:t>
      </w:r>
    </w:p>
    <w:p>
      <w:pPr>
        <w:widowControl/>
        <w:numPr>
          <w:ilvl w:val="0"/>
          <w:numId w:val="10"/>
        </w:numPr>
        <w:spacing w:after="80" w:line="269" w:lineRule="auto"/>
        <w:ind w:left="720" w:hanging="360"/>
      </w:pPr>
      <w:r>
        <w:rPr>
          <w:rFonts w:ascii="Aptos" w:hAnsi="Aptos"/>
        </w:rPr>
        <w:t>Credit the Bank A/c for the total EMI paid.</w:t>
      </w:r>
    </w:p>
    <w:p>
      <w:pPr>
        <w:widowControl/>
        <w:spacing w:before="40" w:after="120"/>
      </w:pPr>
      <w:r>
        <w:rPr>
          <w:rFonts w:ascii="Aptos" w:hAnsi="Aptos"/>
          <w:i/>
          <w:color w:val="5C6670"/>
          <w:sz w:val="17"/>
        </w:rPr>
        <w:t>Any processing fee, insurance or foreclosure charge should be separately identified rather than forced into principal or interest.</w:t>
      </w:r>
    </w:p>
    <w:p>
      <w:pPr>
        <w:pStyle w:val="Heading2"/>
        <w:keepNext/>
        <w:widowControl/>
      </w:pPr>
      <w:r>
        <w:t>6.3 Card/POS sale and bank settlement</w:t>
      </w:r>
    </w:p>
    <w:p>
      <w:pPr>
        <w:widowControl/>
      </w:pPr>
      <w:r>
        <w:rPr>
          <w:rFonts w:ascii="Aptos" w:hAnsi="Aptos"/>
          <w:i w:val="0"/>
        </w:rPr>
        <w:t>At the time of card sale, debit POS Clearing Settlement A/c instead of the bank because the money has not yet arrived. When the settlement reaches the bank, debit Bank for the net amount, debit Payment Gateway Charges (and eligible tax credits only where properly supported), and credit POS Clearing for the gross amount. Unsettled POS items should be reviewed daily.</w:t>
      </w:r>
    </w:p>
    <w:p>
      <w:pPr>
        <w:pStyle w:val="Heading2"/>
        <w:keepNext/>
        <w:widowControl/>
      </w:pPr>
      <w:r>
        <w:t>6.4 Employee imprest</w:t>
      </w:r>
    </w:p>
    <w:p>
      <w:pPr>
        <w:widowControl/>
        <w:numPr>
          <w:ilvl w:val="0"/>
          <w:numId w:val="10"/>
        </w:numPr>
        <w:spacing w:after="80" w:line="269" w:lineRule="auto"/>
        <w:ind w:left="720" w:hanging="360"/>
      </w:pPr>
      <w:r>
        <w:rPr>
          <w:rFonts w:ascii="Aptos" w:hAnsi="Aptos"/>
        </w:rPr>
        <w:t>When money is issued: debit Imprest A/c - Employee and credit Bank/Cash.</w:t>
      </w:r>
    </w:p>
    <w:p>
      <w:pPr>
        <w:widowControl/>
        <w:numPr>
          <w:ilvl w:val="0"/>
          <w:numId w:val="10"/>
        </w:numPr>
        <w:spacing w:after="80" w:line="269" w:lineRule="auto"/>
        <w:ind w:left="720" w:hanging="360"/>
      </w:pPr>
      <w:r>
        <w:rPr>
          <w:rFonts w:ascii="Aptos" w:hAnsi="Aptos"/>
        </w:rPr>
        <w:t>When valid bills are submitted: debit the correct expense (and eligible tax, where supported) and credit the employee imprest.</w:t>
      </w:r>
    </w:p>
    <w:p>
      <w:pPr>
        <w:widowControl/>
        <w:numPr>
          <w:ilvl w:val="0"/>
          <w:numId w:val="10"/>
        </w:numPr>
        <w:spacing w:after="80" w:line="269" w:lineRule="auto"/>
        <w:ind w:left="720" w:hanging="360"/>
      </w:pPr>
      <w:r>
        <w:rPr>
          <w:rFonts w:ascii="Aptos" w:hAnsi="Aptos"/>
        </w:rPr>
        <w:t>When unused cash is returned: debit Bank/Cash and credit employee imprest.</w:t>
      </w:r>
    </w:p>
    <w:p>
      <w:pPr>
        <w:widowControl/>
        <w:numPr>
          <w:ilvl w:val="0"/>
          <w:numId w:val="10"/>
        </w:numPr>
        <w:spacing w:after="80" w:line="269" w:lineRule="auto"/>
        <w:ind w:left="720" w:hanging="360"/>
      </w:pPr>
      <w:r>
        <w:rPr>
          <w:rFonts w:ascii="Aptos" w:hAnsi="Aptos"/>
        </w:rPr>
        <w:t>Outstanding imprest must be confirmed and reviewed; it must not become a permanent employee wallet.</w:t>
      </w:r>
    </w:p>
    <w:p>
      <w:pPr>
        <w:pStyle w:val="Heading2"/>
        <w:keepNext/>
        <w:widowControl/>
      </w:pPr>
      <w:r>
        <w:t>6.5 Branch cash</w:t>
      </w:r>
    </w:p>
    <w:p>
      <w:pPr>
        <w:widowControl/>
      </w:pPr>
      <w:r>
        <w:rPr>
          <w:rFonts w:ascii="Aptos" w:hAnsi="Aptos"/>
          <w:i w:val="0"/>
        </w:rPr>
        <w:t>Each approved branch will have one cash ledger and one responsible custodian. Funds sent by head office should be recorded as a transfer into that branch cash. Daily receipts and expenses must be entered before close so cash does not turn negative. BUSY branch/cost/material-centre configuration should be tested with the actual licensed edition before deployment.</w:t>
      </w:r>
    </w:p>
    <w:p>
      <w:pPr>
        <w:pStyle w:val="Heading2"/>
        <w:keepNext/>
        <w:widowControl/>
      </w:pPr>
      <w:r>
        <w:t>6.6 Purchases from one supplier for several locations</w:t>
      </w:r>
    </w:p>
    <w:p>
      <w:pPr>
        <w:widowControl/>
      </w:pPr>
      <w:r>
        <w:rPr>
          <w:rFonts w:ascii="Aptos" w:hAnsi="Aptos"/>
          <w:i w:val="0"/>
        </w:rPr>
        <w:t>Use one supplier master based on legal identity/GSTIN. Enter the purchase bill against that master and tag the receiving branch through the approved branch, cost centre or material centre. Do not create Goyal Book Overseas Pvt Ltd. (Cuttack), (Ranchi), (Copy), etc., merely to identify destination.</w:t>
      </w:r>
    </w:p>
    <w:p>
      <w:pPr>
        <w:pStyle w:val="Heading2"/>
        <w:keepNext/>
        <w:widowControl/>
      </w:pPr>
      <w:r>
        <w:t>6.7 Book and stationery sales/purchases</w:t>
      </w:r>
    </w:p>
    <w:p>
      <w:pPr>
        <w:widowControl/>
      </w:pPr>
      <w:r>
        <w:rPr>
          <w:rFonts w:ascii="Aptos" w:hAnsi="Aptos"/>
          <w:i w:val="0"/>
        </w:rPr>
        <w:t>Maintain separate exempt and taxable sales/purchase heads. Configure HSN and taxability at item-master level. Review the actual classification before activation; a general description such as “stationery” should not be assumed exempt. The invoice should follow the item’s approved tax setup.</w:t>
      </w:r>
    </w:p>
    <w:p>
      <w:pPr>
        <w:pStyle w:val="Heading2"/>
        <w:keepNext/>
        <w:widowControl/>
      </w:pPr>
      <w:r>
        <w:t>6.8 Freight and GTA reverse charge</w:t>
      </w:r>
    </w:p>
    <w:p>
      <w:pPr>
        <w:pStyle w:val="WarningCallout"/>
        <w:widowControl/>
      </w:pPr>
      <w:r>
        <w:rPr>
          <w:rFonts w:ascii="Aptos" w:hAnsi="Aptos"/>
          <w:b/>
          <w:color w:val="9B2C2C"/>
        </w:rPr>
        <w:t xml:space="preserve">Compliance caution  </w:t>
      </w:r>
      <w:r>
        <w:rPr>
          <w:rFonts w:ascii="Aptos" w:hAnsi="Aptos"/>
          <w:color w:val="9B2C2C"/>
        </w:rPr>
        <w:t>Do not configure every freight payment automatically at 5% RCM. First confirm that the supplier is a Goods Transport Agency issuing a consignment note, that the service is not exempt, that the recipient falls within the notified category, and whether the GTA has opted to pay GST itself under forward charge. Configure RCM only when the conditions are met and retain the invoice/declaration.</w:t>
      </w:r>
    </w:p>
    <w:p>
      <w:pPr>
        <w:widowControl/>
      </w:pPr>
      <w:r>
        <w:rPr>
          <w:rFonts w:ascii="Aptos" w:hAnsi="Aptos"/>
          <w:i w:val="0"/>
        </w:rPr>
        <w:t>Where RCM legally applies, the accountant should use the approved BUSY GST nature/ledger mapping, pay the liability through the GST return process and claim input tax credit only if eligible. The tax adviser should verify the final configuration before go-live.</w:t>
      </w:r>
    </w:p>
    <w:p>
      <w:pPr>
        <w:pStyle w:val="Heading2"/>
        <w:keepNext/>
        <w:widowControl/>
      </w:pPr>
      <w:r>
        <w:t>6.9 Discounts, credit notes and bad debts</w:t>
      </w:r>
    </w:p>
    <w:p>
      <w:pPr>
        <w:widowControl/>
        <w:numPr>
          <w:ilvl w:val="0"/>
          <w:numId w:val="10"/>
        </w:numPr>
        <w:spacing w:after="80" w:line="269" w:lineRule="auto"/>
        <w:ind w:left="720" w:hanging="360"/>
      </w:pPr>
      <w:r>
        <w:rPr>
          <w:rFonts w:ascii="Aptos" w:hAnsi="Aptos"/>
        </w:rPr>
        <w:t>A trade discount must be supported by the underlying invoice terms or an approved credit note.</w:t>
      </w:r>
    </w:p>
    <w:p>
      <w:pPr>
        <w:widowControl/>
        <w:numPr>
          <w:ilvl w:val="0"/>
          <w:numId w:val="10"/>
        </w:numPr>
        <w:spacing w:after="80" w:line="269" w:lineRule="auto"/>
        <w:ind w:left="720" w:hanging="360"/>
      </w:pPr>
      <w:r>
        <w:rPr>
          <w:rFonts w:ascii="Aptos" w:hAnsi="Aptos"/>
        </w:rPr>
        <w:t>A sales return or rate difference should use the appropriate credit-note workflow and tax treatment.</w:t>
      </w:r>
    </w:p>
    <w:p>
      <w:pPr>
        <w:widowControl/>
        <w:numPr>
          <w:ilvl w:val="0"/>
          <w:numId w:val="10"/>
        </w:numPr>
        <w:spacing w:after="80" w:line="269" w:lineRule="auto"/>
        <w:ind w:left="720" w:hanging="360"/>
      </w:pPr>
      <w:r>
        <w:rPr>
          <w:rFonts w:ascii="Aptos" w:hAnsi="Aptos"/>
        </w:rPr>
        <w:t>An irrecoverable receivable should be evaluated as bad debt with evidence and management approval.</w:t>
      </w:r>
    </w:p>
    <w:p>
      <w:pPr>
        <w:widowControl/>
        <w:numPr>
          <w:ilvl w:val="0"/>
          <w:numId w:val="10"/>
        </w:numPr>
        <w:spacing w:after="80" w:line="269" w:lineRule="auto"/>
        <w:ind w:left="720" w:hanging="360"/>
      </w:pPr>
      <w:r>
        <w:rPr>
          <w:rFonts w:ascii="Aptos" w:hAnsi="Aptos"/>
        </w:rPr>
        <w:t>A proprietor withdrawal should go to Drawings, not Discount.</w:t>
      </w:r>
    </w:p>
    <w:p>
      <w:pPr>
        <w:widowControl/>
        <w:numPr>
          <w:ilvl w:val="0"/>
          <w:numId w:val="10"/>
        </w:numPr>
        <w:spacing w:after="80" w:line="269" w:lineRule="auto"/>
        <w:ind w:left="720" w:hanging="360"/>
      </w:pPr>
      <w:r>
        <w:rPr>
          <w:rFonts w:ascii="Aptos" w:hAnsi="Aptos"/>
        </w:rPr>
        <w:t>An unidentified amount must remain in the exception process; it must not be renamed as Discount merely to close the review.</w:t>
      </w:r>
    </w:p>
    <w:p>
      <w:pPr>
        <w:pStyle w:val="Heading1"/>
        <w:keepNext/>
        <w:widowControl/>
      </w:pPr>
      <w:r>
        <w:t>Part 7 - Cleaning and settling the previous scrambled data</w:t>
      </w:r>
    </w:p>
    <w:p>
      <w:pPr>
        <w:pStyle w:val="Heading2"/>
        <w:keepNext/>
        <w:widowControl/>
      </w:pPr>
      <w:r>
        <w:t>7.1 Clean-up method</w:t>
      </w:r>
    </w:p>
    <w:p>
      <w:pPr>
        <w:widowControl/>
        <w:numPr>
          <w:ilvl w:val="0"/>
          <w:numId w:val="13"/>
        </w:numPr>
        <w:spacing w:after="100"/>
        <w:ind w:left="720" w:hanging="360"/>
      </w:pPr>
      <w:r>
        <w:rPr>
          <w:rFonts w:ascii="Aptos" w:hAnsi="Aptos"/>
          <w:b/>
        </w:rPr>
        <w:t>Create a baseline.</w:t>
      </w:r>
      <w:r>
        <w:rPr>
          <w:rFonts w:ascii="Aptos" w:hAnsi="Aptos"/>
        </w:rPr>
        <w:t xml:space="preserve"> Export the original trial balance, ledger list, voucher details and outstanding reports; keep the dated backup unchanged.</w:t>
      </w:r>
    </w:p>
    <w:p>
      <w:pPr>
        <w:widowControl/>
        <w:numPr>
          <w:ilvl w:val="0"/>
          <w:numId w:val="13"/>
        </w:numPr>
        <w:spacing w:after="100"/>
        <w:ind w:left="720" w:hanging="360"/>
      </w:pPr>
      <w:r>
        <w:rPr>
          <w:rFonts w:ascii="Aptos" w:hAnsi="Aptos"/>
          <w:b/>
        </w:rPr>
        <w:t>Create a mapping register.</w:t>
      </w:r>
      <w:r>
        <w:rPr>
          <w:rFonts w:ascii="Aptos" w:hAnsi="Aptos"/>
        </w:rPr>
        <w:t xml:space="preserve"> For every legacy ledger, record new group, new ledger, treatment, evidence owner, status and reviewer.</w:t>
      </w:r>
    </w:p>
    <w:p>
      <w:pPr>
        <w:widowControl/>
        <w:numPr>
          <w:ilvl w:val="0"/>
          <w:numId w:val="13"/>
        </w:numPr>
        <w:spacing w:after="100"/>
        <w:ind w:left="720" w:hanging="360"/>
      </w:pPr>
      <w:r>
        <w:rPr>
          <w:rFonts w:ascii="Aptos" w:hAnsi="Aptos"/>
          <w:b/>
        </w:rPr>
        <w:t>Trace the source.</w:t>
      </w:r>
      <w:r>
        <w:rPr>
          <w:rFonts w:ascii="Aptos" w:hAnsi="Aptos"/>
        </w:rPr>
        <w:t xml:space="preserve"> Read voucher narration and counter-ledger, match the bank/cash entry, inspect supporting evidence and speak to the person who knows the transaction.</w:t>
      </w:r>
    </w:p>
    <w:p>
      <w:pPr>
        <w:widowControl/>
        <w:numPr>
          <w:ilvl w:val="0"/>
          <w:numId w:val="13"/>
        </w:numPr>
        <w:spacing w:after="100"/>
        <w:ind w:left="720" w:hanging="360"/>
      </w:pPr>
      <w:r>
        <w:rPr>
          <w:rFonts w:ascii="Aptos" w:hAnsi="Aptos"/>
          <w:b/>
        </w:rPr>
        <w:t>Classify the finding.</w:t>
      </w:r>
      <w:r>
        <w:rPr>
          <w:rFonts w:ascii="Aptos" w:hAnsi="Aptos"/>
        </w:rPr>
        <w:t xml:space="preserve"> Valid as booked; valid but wrongly grouped; duplicate; personal; missing liability/asset; unsupported; or requires management decision.</w:t>
      </w:r>
    </w:p>
    <w:p>
      <w:pPr>
        <w:widowControl/>
        <w:numPr>
          <w:ilvl w:val="0"/>
          <w:numId w:val="13"/>
        </w:numPr>
        <w:spacing w:after="100"/>
        <w:ind w:left="720" w:hanging="360"/>
      </w:pPr>
      <w:r>
        <w:rPr>
          <w:rFonts w:ascii="Aptos" w:hAnsi="Aptos"/>
          <w:b/>
        </w:rPr>
        <w:t>Propose the correction.</w:t>
      </w:r>
      <w:r>
        <w:rPr>
          <w:rFonts w:ascii="Aptos" w:hAnsi="Aptos"/>
        </w:rPr>
        <w:t xml:space="preserve"> The client accountant prepares the schedule and suggested entry. Our senior accountant reviews it.</w:t>
      </w:r>
    </w:p>
    <w:p>
      <w:pPr>
        <w:widowControl/>
        <w:numPr>
          <w:ilvl w:val="0"/>
          <w:numId w:val="13"/>
        </w:numPr>
        <w:spacing w:after="100"/>
        <w:ind w:left="720" w:hanging="360"/>
      </w:pPr>
      <w:r>
        <w:rPr>
          <w:rFonts w:ascii="Aptos" w:hAnsi="Aptos"/>
          <w:b/>
        </w:rPr>
        <w:t>Approve material items.</w:t>
      </w:r>
      <w:r>
        <w:rPr>
          <w:rFonts w:ascii="Aptos" w:hAnsi="Aptos"/>
        </w:rPr>
        <w:t xml:space="preserve"> Management signs write-offs, capital/drawings adjustments, unexplained balances and any item with tax or profit impact.</w:t>
      </w:r>
    </w:p>
    <w:p>
      <w:pPr>
        <w:widowControl/>
        <w:numPr>
          <w:ilvl w:val="0"/>
          <w:numId w:val="13"/>
        </w:numPr>
        <w:spacing w:after="100"/>
        <w:ind w:left="720" w:hanging="360"/>
      </w:pPr>
      <w:r>
        <w:rPr>
          <w:rFonts w:ascii="Aptos" w:hAnsi="Aptos"/>
          <w:b/>
        </w:rPr>
        <w:t>Post and cross-reference.</w:t>
      </w:r>
      <w:r>
        <w:rPr>
          <w:rFonts w:ascii="Aptos" w:hAnsi="Aptos"/>
        </w:rPr>
        <w:t xml:space="preserve"> Post the approved correction with the Exception Register ID in narration and retain the supporting file.</w:t>
      </w:r>
    </w:p>
    <w:p>
      <w:pPr>
        <w:widowControl/>
        <w:numPr>
          <w:ilvl w:val="0"/>
          <w:numId w:val="13"/>
        </w:numPr>
        <w:spacing w:after="100"/>
        <w:ind w:left="720" w:hanging="360"/>
      </w:pPr>
      <w:r>
        <w:rPr>
          <w:rFonts w:ascii="Aptos" w:hAnsi="Aptos"/>
          <w:b/>
        </w:rPr>
        <w:t>Re-run control reports.</w:t>
      </w:r>
      <w:r>
        <w:rPr>
          <w:rFonts w:ascii="Aptos" w:hAnsi="Aptos"/>
        </w:rPr>
        <w:t xml:space="preserve"> Check trial balance, P&amp;L, balance sheet, party ageing, bank reconciliation, cash and loan balances after each batch.</w:t>
      </w:r>
    </w:p>
    <w:p>
      <w:pPr>
        <w:widowControl/>
        <w:numPr>
          <w:ilvl w:val="0"/>
          <w:numId w:val="13"/>
        </w:numPr>
        <w:spacing w:after="100"/>
        <w:ind w:left="720" w:hanging="360"/>
      </w:pPr>
      <w:r>
        <w:rPr>
          <w:rFonts w:ascii="Aptos" w:hAnsi="Aptos"/>
          <w:b/>
        </w:rPr>
        <w:t>Freeze the result.</w:t>
      </w:r>
      <w:r>
        <w:rPr>
          <w:rFonts w:ascii="Aptos" w:hAnsi="Aptos"/>
        </w:rPr>
        <w:t xml:space="preserve"> After sign-off, lock the period and use the approved balances for cutover.</w:t>
      </w:r>
    </w:p>
    <w:p>
      <w:pPr>
        <w:pStyle w:val="Heading2"/>
        <w:keepNext/>
        <w:widowControl/>
      </w:pPr>
      <w:r>
        <w:t>7.2 Priority sequence</w:t>
      </w:r>
    </w:p>
    <w:tbl>
      <w:tblPr>
        <w:tblW w:type="dxa" w:w="9360"/>
        <w:jc w:val="left"/>
        <w:tblLayout w:type="fixed"/>
        <w:tblLook w:firstColumn="1" w:firstRow="1" w:lastColumn="0" w:lastRow="0" w:noHBand="0" w:noVBand="1" w:val="04A0"/>
        <w:tblInd w:w="120" w:type="dxa"/>
      </w:tblPr>
      <w:tblGrid>
        <w:gridCol w:w="1350"/>
        <w:gridCol w:w="2700"/>
        <w:gridCol w:w="5310"/>
      </w:tblGrid>
      <w:tr>
        <w:trPr>
          <w:tblHeader w:val="true"/>
          <w:cantSplit w:val="true"/>
        </w:trPr>
        <w:tc>
          <w:tcPr>
            <w:tcW w:type="dxa" w:w="1350"/>
            <w:vAlign w:val="center"/>
            <w:shd w:fill="17324D"/>
            <w:tcMar>
              <w:top w:w="100" w:type="dxa"/>
              <w:start w:w="120" w:type="dxa"/>
              <w:bottom w:w="100" w:type="dxa"/>
              <w:end w:w="120" w:type="dxa"/>
            </w:tcMar>
            <w:tcBorders>
              <w:top w:val="single" w:sz="6" w:color="17324D"/>
              <w:left w:val="single" w:sz="6" w:color="17324D"/>
              <w:bottom w:val="single" w:sz="6" w:color="17324D"/>
              <w:right w:val="single" w:sz="6" w:color="17324D"/>
              <w:insideH w:val="single" w:sz="6" w:color="17324D"/>
              <w:insideV w:val="single" w:sz="6" w:color="17324D"/>
            </w:tcBorders>
          </w:tcPr>
          <w:p>
            <w:pPr>
              <w:keepLines/>
              <w:widowControl/>
              <w:spacing w:after="0" w:line="240" w:lineRule="auto"/>
            </w:pPr>
            <w:r/>
            <w:r>
              <w:rPr>
                <w:rFonts w:ascii="Aptos" w:hAnsi="Aptos"/>
                <w:b/>
                <w:color w:val="FFFFFF"/>
                <w:sz w:val="18"/>
              </w:rPr>
              <w:t>Priority</w:t>
            </w:r>
          </w:p>
        </w:tc>
        <w:tc>
          <w:tcPr>
            <w:tcW w:type="dxa" w:w="2700"/>
            <w:vAlign w:val="center"/>
            <w:shd w:fill="17324D"/>
            <w:tcMar>
              <w:top w:w="100" w:type="dxa"/>
              <w:start w:w="120" w:type="dxa"/>
              <w:bottom w:w="100" w:type="dxa"/>
              <w:end w:w="120" w:type="dxa"/>
            </w:tcMar>
            <w:tcBorders>
              <w:top w:val="single" w:sz="6" w:color="17324D"/>
              <w:left w:val="single" w:sz="6" w:color="17324D"/>
              <w:bottom w:val="single" w:sz="6" w:color="17324D"/>
              <w:right w:val="single" w:sz="6" w:color="17324D"/>
              <w:insideH w:val="single" w:sz="6" w:color="17324D"/>
              <w:insideV w:val="single" w:sz="6" w:color="17324D"/>
            </w:tcBorders>
          </w:tcPr>
          <w:p>
            <w:pPr>
              <w:keepLines/>
              <w:widowControl/>
              <w:spacing w:after="0" w:line="240" w:lineRule="auto"/>
            </w:pPr>
            <w:r/>
            <w:r>
              <w:rPr>
                <w:rFonts w:ascii="Aptos" w:hAnsi="Aptos"/>
                <w:b/>
                <w:color w:val="FFFFFF"/>
                <w:sz w:val="18"/>
              </w:rPr>
              <w:t>Area</w:t>
            </w:r>
          </w:p>
        </w:tc>
        <w:tc>
          <w:tcPr>
            <w:tcW w:type="dxa" w:w="5310"/>
            <w:vAlign w:val="center"/>
            <w:shd w:fill="17324D"/>
            <w:tcMar>
              <w:top w:w="100" w:type="dxa"/>
              <w:start w:w="120" w:type="dxa"/>
              <w:bottom w:w="100" w:type="dxa"/>
              <w:end w:w="120" w:type="dxa"/>
            </w:tcMar>
            <w:tcBorders>
              <w:top w:val="single" w:sz="6" w:color="17324D"/>
              <w:left w:val="single" w:sz="6" w:color="17324D"/>
              <w:bottom w:val="single" w:sz="6" w:color="17324D"/>
              <w:right w:val="single" w:sz="6" w:color="17324D"/>
              <w:insideH w:val="single" w:sz="6" w:color="17324D"/>
              <w:insideV w:val="single" w:sz="6" w:color="17324D"/>
            </w:tcBorders>
          </w:tcPr>
          <w:p>
            <w:pPr>
              <w:keepLines/>
              <w:widowControl/>
              <w:spacing w:after="0" w:line="240" w:lineRule="auto"/>
            </w:pPr>
            <w:r/>
            <w:r>
              <w:rPr>
                <w:rFonts w:ascii="Aptos" w:hAnsi="Aptos"/>
                <w:b/>
                <w:color w:val="FFFFFF"/>
                <w:sz w:val="18"/>
              </w:rPr>
              <w:t>Why this comes now</w:t>
            </w:r>
          </w:p>
        </w:tc>
      </w:tr>
      <w:tr>
        <w:trPr>
          <w:cantSplit w:val="true"/>
        </w:trPr>
        <w:tc>
          <w:tcPr>
            <w:tcW w:type="dxa" w:w="13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color w:val="20262D"/>
                <w:sz w:val="18"/>
              </w:rPr>
              <w:t>1 - Critical</w:t>
            </w:r>
          </w:p>
        </w:tc>
        <w:tc>
          <w:tcPr>
            <w:tcW w:type="dxa" w:w="27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8"/>
              </w:rPr>
              <w:t>Banks, secured loans, branch cash, personal accounts</w:t>
            </w:r>
          </w:p>
        </w:tc>
        <w:tc>
          <w:tcPr>
            <w:tcW w:type="dxa" w:w="531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8"/>
              </w:rPr>
              <w:t>These affect actual money, liabilities and the reliability of the balance sheet.</w:t>
            </w:r>
          </w:p>
        </w:tc>
      </w:tr>
      <w:tr>
        <w:trPr>
          <w:cantSplit w:val="true"/>
        </w:trPr>
        <w:tc>
          <w:tcPr>
            <w:tcW w:type="dxa" w:w="13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color w:val="20262D"/>
                <w:sz w:val="18"/>
              </w:rPr>
              <w:t>2 - Critical</w:t>
            </w:r>
          </w:p>
        </w:tc>
        <w:tc>
          <w:tcPr>
            <w:tcW w:type="dxa" w:w="27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8"/>
              </w:rPr>
              <w:t>Suspense/Suspence/X-series and Rs. 24 lakh discount ledgers</w:t>
            </w:r>
          </w:p>
        </w:tc>
        <w:tc>
          <w:tcPr>
            <w:tcW w:type="dxa" w:w="531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8"/>
              </w:rPr>
              <w:t>Large unexplained balances may materially distort profit, capital, liabilities or receivables.</w:t>
            </w:r>
          </w:p>
        </w:tc>
      </w:tr>
      <w:tr>
        <w:trPr>
          <w:cantSplit w:val="true"/>
        </w:trPr>
        <w:tc>
          <w:tcPr>
            <w:tcW w:type="dxa" w:w="13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color w:val="20262D"/>
                <w:sz w:val="18"/>
              </w:rPr>
              <w:t>3 - High</w:t>
            </w:r>
          </w:p>
        </w:tc>
        <w:tc>
          <w:tcPr>
            <w:tcW w:type="dxa" w:w="27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8"/>
              </w:rPr>
              <w:t>GST, TDS and other statutory ledgers</w:t>
            </w:r>
          </w:p>
        </w:tc>
        <w:tc>
          <w:tcPr>
            <w:tcW w:type="dxa" w:w="531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8"/>
              </w:rPr>
              <w:t>Errors may create compliance exposure and incorrect credits/payables.</w:t>
            </w:r>
          </w:p>
        </w:tc>
      </w:tr>
      <w:tr>
        <w:trPr>
          <w:cantSplit w:val="true"/>
        </w:trPr>
        <w:tc>
          <w:tcPr>
            <w:tcW w:type="dxa" w:w="13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color w:val="20262D"/>
                <w:sz w:val="18"/>
              </w:rPr>
              <w:t>4 - High</w:t>
            </w:r>
          </w:p>
        </w:tc>
        <w:tc>
          <w:tcPr>
            <w:tcW w:type="dxa" w:w="27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8"/>
              </w:rPr>
              <w:t>Debtors, creditors, POS and employee imprest</w:t>
            </w:r>
          </w:p>
        </w:tc>
        <w:tc>
          <w:tcPr>
            <w:tcW w:type="dxa" w:w="531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8"/>
              </w:rPr>
              <w:t>Affects collections, payments, settlement and working capital.</w:t>
            </w:r>
          </w:p>
        </w:tc>
      </w:tr>
      <w:tr>
        <w:trPr>
          <w:cantSplit w:val="true"/>
        </w:trPr>
        <w:tc>
          <w:tcPr>
            <w:tcW w:type="dxa" w:w="13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color w:val="20262D"/>
                <w:sz w:val="18"/>
              </w:rPr>
              <w:t>5 - Medium</w:t>
            </w:r>
          </w:p>
        </w:tc>
        <w:tc>
          <w:tcPr>
            <w:tcW w:type="dxa" w:w="27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8"/>
              </w:rPr>
              <w:t>Sales, purchases, stock and expense regrouping</w:t>
            </w:r>
          </w:p>
        </w:tc>
        <w:tc>
          <w:tcPr>
            <w:tcW w:type="dxa" w:w="531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8"/>
              </w:rPr>
              <w:t>Improves profitability and branch reporting after balance-sheet integrity is established.</w:t>
            </w:r>
          </w:p>
        </w:tc>
      </w:tr>
      <w:tr>
        <w:trPr>
          <w:cantSplit w:val="true"/>
        </w:trPr>
        <w:tc>
          <w:tcPr>
            <w:tcW w:type="dxa" w:w="13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color w:val="20262D"/>
                <w:sz w:val="18"/>
              </w:rPr>
              <w:t>6 - Completion</w:t>
            </w:r>
          </w:p>
        </w:tc>
        <w:tc>
          <w:tcPr>
            <w:tcW w:type="dxa" w:w="27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8"/>
              </w:rPr>
              <w:t>Naming clean-up and presentation</w:t>
            </w:r>
          </w:p>
        </w:tc>
        <w:tc>
          <w:tcPr>
            <w:tcW w:type="dxa" w:w="531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8"/>
              </w:rPr>
              <w:t>Final standardisation after accounting substance is correct.</w:t>
            </w:r>
          </w:p>
        </w:tc>
      </w:tr>
    </w:tbl>
    <w:p>
      <w:pPr>
        <w:widowControl/>
        <w:spacing w:after="20"/>
      </w:pPr>
    </w:p>
    <w:p>
      <w:pPr>
        <w:pStyle w:val="Heading2"/>
        <w:keepNext/>
        <w:widowControl/>
      </w:pPr>
      <w:r>
        <w:t>7.3 Specific red-flag resolution plan</w:t>
      </w:r>
    </w:p>
    <w:tbl>
      <w:tblPr>
        <w:tblW w:type="dxa" w:w="9360"/>
        <w:jc w:val="left"/>
        <w:tblLayout w:type="fixed"/>
        <w:tblLook w:firstColumn="1" w:firstRow="1" w:lastColumn="0" w:lastRow="0" w:noHBand="0" w:noVBand="1" w:val="04A0"/>
        <w:tblInd w:w="120" w:type="dxa"/>
      </w:tblPr>
      <w:tblGrid>
        <w:gridCol w:w="2050"/>
        <w:gridCol w:w="2300"/>
        <w:gridCol w:w="2400"/>
        <w:gridCol w:w="2610"/>
      </w:tblGrid>
      <w:tr>
        <w:trPr>
          <w:tblHeader w:val="true"/>
          <w:cantSplit w:val="true"/>
        </w:trPr>
        <w:tc>
          <w:tcPr>
            <w:tcW w:type="dxa" w:w="2050"/>
            <w:vAlign w:val="center"/>
            <w:shd w:fill="9B2C2C"/>
            <w:tcMar>
              <w:top w:w="100" w:type="dxa"/>
              <w:start w:w="120" w:type="dxa"/>
              <w:bottom w:w="100" w:type="dxa"/>
              <w:end w:w="120" w:type="dxa"/>
            </w:tcMar>
            <w:tcBorders>
              <w:top w:val="single" w:sz="6" w:color="9B2C2C"/>
              <w:left w:val="single" w:sz="6" w:color="9B2C2C"/>
              <w:bottom w:val="single" w:sz="6" w:color="9B2C2C"/>
              <w:right w:val="single" w:sz="6" w:color="9B2C2C"/>
              <w:insideH w:val="single" w:sz="6" w:color="9B2C2C"/>
              <w:insideV w:val="single" w:sz="6" w:color="9B2C2C"/>
            </w:tcBorders>
          </w:tcPr>
          <w:p>
            <w:pPr>
              <w:keepLines/>
              <w:widowControl/>
              <w:spacing w:after="0" w:line="240" w:lineRule="auto"/>
            </w:pPr>
            <w:r/>
            <w:r>
              <w:rPr>
                <w:rFonts w:ascii="Aptos" w:hAnsi="Aptos"/>
                <w:b/>
                <w:color w:val="FFFFFF"/>
                <w:sz w:val="15"/>
              </w:rPr>
              <w:t>Legacy issue</w:t>
            </w:r>
          </w:p>
        </w:tc>
        <w:tc>
          <w:tcPr>
            <w:tcW w:type="dxa" w:w="2300"/>
            <w:vAlign w:val="center"/>
            <w:shd w:fill="9B2C2C"/>
            <w:tcMar>
              <w:top w:w="100" w:type="dxa"/>
              <w:start w:w="120" w:type="dxa"/>
              <w:bottom w:w="100" w:type="dxa"/>
              <w:end w:w="120" w:type="dxa"/>
            </w:tcMar>
            <w:tcBorders>
              <w:top w:val="single" w:sz="6" w:color="9B2C2C"/>
              <w:left w:val="single" w:sz="6" w:color="9B2C2C"/>
              <w:bottom w:val="single" w:sz="6" w:color="9B2C2C"/>
              <w:right w:val="single" w:sz="6" w:color="9B2C2C"/>
              <w:insideH w:val="single" w:sz="6" w:color="9B2C2C"/>
              <w:insideV w:val="single" w:sz="6" w:color="9B2C2C"/>
            </w:tcBorders>
          </w:tcPr>
          <w:p>
            <w:pPr>
              <w:keepLines/>
              <w:widowControl/>
              <w:spacing w:after="0" w:line="240" w:lineRule="auto"/>
            </w:pPr>
            <w:r/>
            <w:r>
              <w:rPr>
                <w:rFonts w:ascii="Aptos" w:hAnsi="Aptos"/>
                <w:b/>
                <w:color w:val="FFFFFF"/>
                <w:sz w:val="15"/>
              </w:rPr>
              <w:t>Risk</w:t>
            </w:r>
          </w:p>
        </w:tc>
        <w:tc>
          <w:tcPr>
            <w:tcW w:type="dxa" w:w="2400"/>
            <w:vAlign w:val="center"/>
            <w:shd w:fill="9B2C2C"/>
            <w:tcMar>
              <w:top w:w="100" w:type="dxa"/>
              <w:start w:w="120" w:type="dxa"/>
              <w:bottom w:w="100" w:type="dxa"/>
              <w:end w:w="120" w:type="dxa"/>
            </w:tcMar>
            <w:tcBorders>
              <w:top w:val="single" w:sz="6" w:color="9B2C2C"/>
              <w:left w:val="single" w:sz="6" w:color="9B2C2C"/>
              <w:bottom w:val="single" w:sz="6" w:color="9B2C2C"/>
              <w:right w:val="single" w:sz="6" w:color="9B2C2C"/>
              <w:insideH w:val="single" w:sz="6" w:color="9B2C2C"/>
              <w:insideV w:val="single" w:sz="6" w:color="9B2C2C"/>
            </w:tcBorders>
          </w:tcPr>
          <w:p>
            <w:pPr>
              <w:keepLines/>
              <w:widowControl/>
              <w:spacing w:after="0" w:line="240" w:lineRule="auto"/>
            </w:pPr>
            <w:r/>
            <w:r>
              <w:rPr>
                <w:rFonts w:ascii="Aptos" w:hAnsi="Aptos"/>
                <w:b/>
                <w:color w:val="FFFFFF"/>
                <w:sz w:val="15"/>
              </w:rPr>
              <w:t>Evidence needed</w:t>
            </w:r>
          </w:p>
        </w:tc>
        <w:tc>
          <w:tcPr>
            <w:tcW w:type="dxa" w:w="2610"/>
            <w:vAlign w:val="center"/>
            <w:shd w:fill="9B2C2C"/>
            <w:tcMar>
              <w:top w:w="100" w:type="dxa"/>
              <w:start w:w="120" w:type="dxa"/>
              <w:bottom w:w="100" w:type="dxa"/>
              <w:end w:w="120" w:type="dxa"/>
            </w:tcMar>
            <w:tcBorders>
              <w:top w:val="single" w:sz="6" w:color="9B2C2C"/>
              <w:left w:val="single" w:sz="6" w:color="9B2C2C"/>
              <w:bottom w:val="single" w:sz="6" w:color="9B2C2C"/>
              <w:right w:val="single" w:sz="6" w:color="9B2C2C"/>
              <w:insideH w:val="single" w:sz="6" w:color="9B2C2C"/>
              <w:insideV w:val="single" w:sz="6" w:color="9B2C2C"/>
            </w:tcBorders>
          </w:tcPr>
          <w:p>
            <w:pPr>
              <w:keepLines/>
              <w:widowControl/>
              <w:spacing w:after="0" w:line="240" w:lineRule="auto"/>
            </w:pPr>
            <w:r/>
            <w:r>
              <w:rPr>
                <w:rFonts w:ascii="Aptos" w:hAnsi="Aptos"/>
                <w:b/>
                <w:color w:val="FFFFFF"/>
                <w:sz w:val="15"/>
              </w:rPr>
              <w:t>Required outcome</w:t>
            </w:r>
          </w:p>
        </w:tc>
      </w:tr>
      <w:tr>
        <w:trPr>
          <w:cantSplit w:val="true"/>
        </w:trPr>
        <w:tc>
          <w:tcPr>
            <w:tcW w:type="dxa" w:w="20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color w:val="20262D"/>
                <w:sz w:val="15"/>
              </w:rPr>
              <w:t>Secured Loans: Rs. 90,16,272.22 Dr</w:t>
            </w:r>
          </w:p>
        </w:tc>
        <w:tc>
          <w:tcPr>
            <w:tcW w:type="dxa" w:w="23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5"/>
              </w:rPr>
              <w:t>Loan group should ordinarily be credit; current debit suggests EMI accumulation or missing original liability.</w:t>
            </w:r>
          </w:p>
        </w:tc>
        <w:tc>
          <w:tcPr>
            <w:tcW w:type="dxa" w:w="24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5"/>
              </w:rPr>
              <w:t>Loan-by-loan lender statement and principal confirmation.</w:t>
            </w:r>
          </w:p>
        </w:tc>
        <w:tc>
          <w:tcPr>
            <w:tcW w:type="dxa" w:w="261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5"/>
              </w:rPr>
              <w:t>Establish verified credit liability; reclassify principal/interest and exclude personal loans.</w:t>
            </w:r>
          </w:p>
        </w:tc>
      </w:tr>
      <w:tr>
        <w:trPr>
          <w:cantSplit w:val="true"/>
        </w:trPr>
        <w:tc>
          <w:tcPr>
            <w:tcW w:type="dxa" w:w="20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color w:val="20262D"/>
                <w:sz w:val="15"/>
              </w:rPr>
              <w:t>Negative branch cash: Kolkata Rs. 11,037 Cr; Kochi Rs. 120 Cr</w:t>
            </w:r>
          </w:p>
        </w:tc>
        <w:tc>
          <w:tcPr>
            <w:tcW w:type="dxa" w:w="23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5"/>
              </w:rPr>
              <w:t>Cash cannot normally be negative; receipts/transfers or payer identity may be missing.</w:t>
            </w:r>
          </w:p>
        </w:tc>
        <w:tc>
          <w:tcPr>
            <w:tcW w:type="dxa" w:w="24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5"/>
              </w:rPr>
              <w:t>Day sheets, cash transfer proofs and custodian confirmation.</w:t>
            </w:r>
          </w:p>
        </w:tc>
        <w:tc>
          <w:tcPr>
            <w:tcW w:type="dxa" w:w="261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5"/>
              </w:rPr>
              <w:t>Post missing transfer/receipt if proven; otherwise identify employee/proprietor funding and use correct imprest/capital treatment.</w:t>
            </w:r>
          </w:p>
        </w:tc>
      </w:tr>
      <w:tr>
        <w:trPr>
          <w:cantSplit w:val="true"/>
        </w:trPr>
        <w:tc>
          <w:tcPr>
            <w:tcW w:type="dxa" w:w="20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color w:val="20262D"/>
                <w:sz w:val="15"/>
              </w:rPr>
              <w:t>Suspense: Rs. 4,86,060.41 Cr</w:t>
            </w:r>
          </w:p>
        </w:tc>
        <w:tc>
          <w:tcPr>
            <w:tcW w:type="dxa" w:w="23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5"/>
              </w:rPr>
              <w:t>Nearly Rs. 4.86 lakh is not explained and may conceal income, liability or errors.</w:t>
            </w:r>
          </w:p>
        </w:tc>
        <w:tc>
          <w:tcPr>
            <w:tcW w:type="dxa" w:w="24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5"/>
              </w:rPr>
              <w:t>Voucher-level drill-down, bank matching and counterparty evidence.</w:t>
            </w:r>
          </w:p>
        </w:tc>
        <w:tc>
          <w:tcPr>
            <w:tcW w:type="dxa" w:w="261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5"/>
              </w:rPr>
              <w:t>Resolve item by item. Do not automatically transfer the full amount to Capital.</w:t>
            </w:r>
          </w:p>
        </w:tc>
      </w:tr>
      <w:tr>
        <w:trPr>
          <w:cantSplit w:val="true"/>
        </w:trPr>
        <w:tc>
          <w:tcPr>
            <w:tcW w:type="dxa" w:w="20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color w:val="20262D"/>
                <w:sz w:val="15"/>
              </w:rPr>
              <w:t>Discount Party - Aayush: Rs. 18,00,000 Dr</w:t>
            </w:r>
          </w:p>
        </w:tc>
        <w:tc>
          <w:tcPr>
            <w:tcW w:type="dxa" w:w="23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5"/>
              </w:rPr>
              <w:t>Amount is unusually large for an informal discount ledger.</w:t>
            </w:r>
          </w:p>
        </w:tc>
        <w:tc>
          <w:tcPr>
            <w:tcW w:type="dxa" w:w="24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5"/>
              </w:rPr>
              <w:t>Invoices, credit notes, debtor recovery history and management explanation.</w:t>
            </w:r>
          </w:p>
        </w:tc>
        <w:tc>
          <w:tcPr>
            <w:tcW w:type="dxa" w:w="261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5"/>
              </w:rPr>
              <w:t>Classify as genuine discount, bad debt, receivable correction, drawings or other supported head.</w:t>
            </w:r>
          </w:p>
        </w:tc>
      </w:tr>
      <w:tr>
        <w:trPr>
          <w:cantSplit w:val="true"/>
        </w:trPr>
        <w:tc>
          <w:tcPr>
            <w:tcW w:type="dxa" w:w="20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color w:val="20262D"/>
                <w:sz w:val="15"/>
              </w:rPr>
              <w:t>Discount Party - Viveka: Rs. 6,00,000 Dr</w:t>
            </w:r>
          </w:p>
        </w:tc>
        <w:tc>
          <w:tcPr>
            <w:tcW w:type="dxa" w:w="23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5"/>
              </w:rPr>
              <w:t>Same risk; together these ledgers total Rs. 24 lakh.</w:t>
            </w:r>
          </w:p>
        </w:tc>
        <w:tc>
          <w:tcPr>
            <w:tcW w:type="dxa" w:w="24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5"/>
              </w:rPr>
              <w:t>Same evidence and independent review.</w:t>
            </w:r>
          </w:p>
        </w:tc>
        <w:tc>
          <w:tcPr>
            <w:tcW w:type="dxa" w:w="261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5"/>
              </w:rPr>
              <w:t>No migration as discount without underlying evidence and approval.</w:t>
            </w:r>
          </w:p>
        </w:tc>
      </w:tr>
    </w:tbl>
    <w:p>
      <w:pPr>
        <w:widowControl/>
        <w:spacing w:after="20"/>
      </w:pPr>
    </w:p>
    <w:p>
      <w:pPr>
        <w:pStyle w:val="Heading2"/>
        <w:keepNext/>
        <w:widowControl/>
      </w:pPr>
      <w:r>
        <w:t>7.4 Treatment of amounts that remain unidentified</w:t>
      </w:r>
    </w:p>
    <w:p>
      <w:pPr>
        <w:pStyle w:val="WarningCallout"/>
        <w:widowControl/>
      </w:pPr>
      <w:r>
        <w:rPr>
          <w:rFonts w:ascii="Aptos" w:hAnsi="Aptos"/>
          <w:b/>
          <w:color w:val="9B2C2C"/>
        </w:rPr>
        <w:t xml:space="preserve">Do not use a blanket capital write-off  </w:t>
      </w:r>
      <w:r>
        <w:rPr>
          <w:rFonts w:ascii="Aptos" w:hAnsi="Aptos"/>
          <w:color w:val="9B2C2C"/>
        </w:rPr>
        <w:t>An unexplained balance should not automatically be moved to Capital - Mukesh Sir. First determine whether it is a bank difference, customer/supplier item, tax balance, income, expense, asset, liability or proprietor transaction. Only a genuinely proprietor-related or approved prior-period capital adjustment should go to Capital, and only after management and professional review.</w:t>
      </w:r>
    </w:p>
    <w:p>
      <w:pPr>
        <w:widowControl/>
      </w:pPr>
      <w:r>
        <w:rPr>
          <w:rFonts w:ascii="Aptos" w:hAnsi="Aptos"/>
          <w:i w:val="0"/>
        </w:rPr>
        <w:t>For every residual item, document the amount, age, efforts made, possible tax impact and recommended treatment. Material items may require the statutory auditor or tax adviser’s view. The final entry should be specifically approved and narrated; a new suspense ledger must not be created to carry the problem forward.</w:t>
      </w:r>
    </w:p>
    <w:p>
      <w:pPr>
        <w:pStyle w:val="Heading2"/>
        <w:keepNext/>
        <w:widowControl/>
      </w:pPr>
      <w:r>
        <w:t>7.5 Duplicate supplier clean-up</w:t>
      </w:r>
    </w:p>
    <w:p>
      <w:pPr>
        <w:widowControl/>
        <w:numPr>
          <w:ilvl w:val="0"/>
          <w:numId w:val="10"/>
        </w:numPr>
        <w:spacing w:after="80" w:line="269" w:lineRule="auto"/>
        <w:ind w:left="720" w:hanging="360"/>
      </w:pPr>
      <w:r>
        <w:rPr>
          <w:rFonts w:ascii="Aptos" w:hAnsi="Aptos"/>
        </w:rPr>
        <w:t>Select the surviving master based on correct legal name and GSTIN.</w:t>
      </w:r>
    </w:p>
    <w:p>
      <w:pPr>
        <w:widowControl/>
        <w:numPr>
          <w:ilvl w:val="0"/>
          <w:numId w:val="10"/>
        </w:numPr>
        <w:spacing w:after="80" w:line="269" w:lineRule="auto"/>
        <w:ind w:left="720" w:hanging="360"/>
      </w:pPr>
      <w:r>
        <w:rPr>
          <w:rFonts w:ascii="Aptos" w:hAnsi="Aptos"/>
        </w:rPr>
        <w:t>Reconcile the combined opening balance and outstanding bills across all duplicate masters.</w:t>
      </w:r>
    </w:p>
    <w:p>
      <w:pPr>
        <w:widowControl/>
        <w:numPr>
          <w:ilvl w:val="0"/>
          <w:numId w:val="10"/>
        </w:numPr>
        <w:spacing w:after="80" w:line="269" w:lineRule="auto"/>
        <w:ind w:left="720" w:hanging="360"/>
      </w:pPr>
      <w:r>
        <w:rPr>
          <w:rFonts w:ascii="Aptos" w:hAnsi="Aptos"/>
        </w:rPr>
        <w:t>Verify that purchase returns, advances and credit notes are included.</w:t>
      </w:r>
    </w:p>
    <w:p>
      <w:pPr>
        <w:widowControl/>
        <w:numPr>
          <w:ilvl w:val="0"/>
          <w:numId w:val="10"/>
        </w:numPr>
        <w:spacing w:after="80" w:line="269" w:lineRule="auto"/>
        <w:ind w:left="720" w:hanging="360"/>
      </w:pPr>
      <w:r>
        <w:rPr>
          <w:rFonts w:ascii="Aptos" w:hAnsi="Aptos"/>
        </w:rPr>
        <w:t>Move/recreate balances through an approved migration process; avoid bulk editing that destroys voucher history.</w:t>
      </w:r>
    </w:p>
    <w:p>
      <w:pPr>
        <w:widowControl/>
        <w:numPr>
          <w:ilvl w:val="0"/>
          <w:numId w:val="10"/>
        </w:numPr>
        <w:spacing w:after="80" w:line="269" w:lineRule="auto"/>
        <w:ind w:left="720" w:hanging="360"/>
      </w:pPr>
      <w:r>
        <w:rPr>
          <w:rFonts w:ascii="Aptos" w:hAnsi="Aptos"/>
        </w:rPr>
        <w:t>Mark duplicate masters inactive in the legacy company after reconciliation. Do not delete vouchers or evidence.</w:t>
      </w:r>
    </w:p>
    <w:p>
      <w:pPr>
        <w:pStyle w:val="Heading1"/>
        <w:keepNext/>
        <w:widowControl/>
      </w:pPr>
      <w:r>
        <w:t>Part 8 - Red flags, control checks and prohibited practices</w:t>
      </w:r>
    </w:p>
    <w:p>
      <w:pPr>
        <w:pStyle w:val="Heading2"/>
        <w:keepNext/>
        <w:widowControl/>
      </w:pPr>
      <w:r>
        <w:t>8.1 Red flags that should trigger immediate review</w:t>
      </w:r>
    </w:p>
    <w:p>
      <w:pPr>
        <w:widowControl/>
        <w:numPr>
          <w:ilvl w:val="0"/>
          <w:numId w:val="10"/>
        </w:numPr>
        <w:spacing w:after="80" w:line="269" w:lineRule="auto"/>
        <w:ind w:left="720" w:hanging="360"/>
      </w:pPr>
      <w:r>
        <w:rPr>
          <w:rFonts w:ascii="Aptos" w:hAnsi="Aptos"/>
        </w:rPr>
        <w:t>Any Cash-in-Hand ledger with a credit balance.</w:t>
      </w:r>
    </w:p>
    <w:p>
      <w:pPr>
        <w:widowControl/>
        <w:numPr>
          <w:ilvl w:val="0"/>
          <w:numId w:val="10"/>
        </w:numPr>
        <w:spacing w:after="80" w:line="269" w:lineRule="auto"/>
        <w:ind w:left="720" w:hanging="360"/>
      </w:pPr>
      <w:r>
        <w:rPr>
          <w:rFonts w:ascii="Aptos" w:hAnsi="Aptos"/>
        </w:rPr>
        <w:t>Any secured/unsecured loan ledger with an unexplained debit balance.</w:t>
      </w:r>
    </w:p>
    <w:p>
      <w:pPr>
        <w:widowControl/>
        <w:numPr>
          <w:ilvl w:val="0"/>
          <w:numId w:val="10"/>
        </w:numPr>
        <w:spacing w:after="80" w:line="269" w:lineRule="auto"/>
        <w:ind w:left="720" w:hanging="360"/>
      </w:pPr>
      <w:r>
        <w:rPr>
          <w:rFonts w:ascii="Aptos" w:hAnsi="Aptos"/>
        </w:rPr>
        <w:t>Any POS Clearing item older than the expected settlement cycle.</w:t>
      </w:r>
    </w:p>
    <w:p>
      <w:pPr>
        <w:widowControl/>
        <w:numPr>
          <w:ilvl w:val="0"/>
          <w:numId w:val="10"/>
        </w:numPr>
        <w:spacing w:after="80" w:line="269" w:lineRule="auto"/>
        <w:ind w:left="720" w:hanging="360"/>
      </w:pPr>
      <w:r>
        <w:rPr>
          <w:rFonts w:ascii="Aptos" w:hAnsi="Aptos"/>
        </w:rPr>
        <w:t>Any new Suspense, Miscellaneous, X-series, Wallet, DS# or person-named cash ledger.</w:t>
      </w:r>
    </w:p>
    <w:p>
      <w:pPr>
        <w:widowControl/>
        <w:numPr>
          <w:ilvl w:val="0"/>
          <w:numId w:val="10"/>
        </w:numPr>
        <w:spacing w:after="80" w:line="269" w:lineRule="auto"/>
        <w:ind w:left="720" w:hanging="360"/>
      </w:pPr>
      <w:r>
        <w:rPr>
          <w:rFonts w:ascii="Aptos" w:hAnsi="Aptos"/>
        </w:rPr>
        <w:t>Any discount, round-off or journal entry that is large, repeated or unsupported.</w:t>
      </w:r>
    </w:p>
    <w:p>
      <w:pPr>
        <w:widowControl/>
        <w:numPr>
          <w:ilvl w:val="0"/>
          <w:numId w:val="10"/>
        </w:numPr>
        <w:spacing w:after="80" w:line="269" w:lineRule="auto"/>
        <w:ind w:left="720" w:hanging="360"/>
      </w:pPr>
      <w:r>
        <w:rPr>
          <w:rFonts w:ascii="Aptos" w:hAnsi="Aptos"/>
        </w:rPr>
        <w:t>Any business payment to a personal bank/loan/insurance/tax account not booked to Drawings.</w:t>
      </w:r>
    </w:p>
    <w:p>
      <w:pPr>
        <w:widowControl/>
        <w:numPr>
          <w:ilvl w:val="0"/>
          <w:numId w:val="10"/>
        </w:numPr>
        <w:spacing w:after="80" w:line="269" w:lineRule="auto"/>
        <w:ind w:left="720" w:hanging="360"/>
      </w:pPr>
      <w:r>
        <w:rPr>
          <w:rFonts w:ascii="Aptos" w:hAnsi="Aptos"/>
        </w:rPr>
        <w:t>Any bank balance not reconciled to statement.</w:t>
      </w:r>
    </w:p>
    <w:p>
      <w:pPr>
        <w:widowControl/>
        <w:numPr>
          <w:ilvl w:val="0"/>
          <w:numId w:val="10"/>
        </w:numPr>
        <w:spacing w:after="80" w:line="269" w:lineRule="auto"/>
        <w:ind w:left="720" w:hanging="360"/>
      </w:pPr>
      <w:r>
        <w:rPr>
          <w:rFonts w:ascii="Aptos" w:hAnsi="Aptos"/>
        </w:rPr>
        <w:t>Any supplier/customer master without legal identity or duplicate GSTIN.</w:t>
      </w:r>
    </w:p>
    <w:p>
      <w:pPr>
        <w:widowControl/>
        <w:numPr>
          <w:ilvl w:val="0"/>
          <w:numId w:val="10"/>
        </w:numPr>
        <w:spacing w:after="80" w:line="269" w:lineRule="auto"/>
        <w:ind w:left="720" w:hanging="360"/>
      </w:pPr>
      <w:r>
        <w:rPr>
          <w:rFonts w:ascii="Aptos" w:hAnsi="Aptos"/>
        </w:rPr>
        <w:t>Any journal posted directly to sales, purchases, GST or inventory without documented reason and review.</w:t>
      </w:r>
    </w:p>
    <w:p>
      <w:pPr>
        <w:widowControl/>
        <w:numPr>
          <w:ilvl w:val="0"/>
          <w:numId w:val="10"/>
        </w:numPr>
        <w:spacing w:after="80" w:line="269" w:lineRule="auto"/>
        <w:ind w:left="720" w:hanging="360"/>
      </w:pPr>
      <w:r>
        <w:rPr>
          <w:rFonts w:ascii="Aptos" w:hAnsi="Aptos"/>
        </w:rPr>
        <w:t>Any back-dated change after period lock or any voucher deletion without approval trail.</w:t>
      </w:r>
    </w:p>
    <w:p>
      <w:pPr>
        <w:pStyle w:val="Heading2"/>
        <w:keepNext/>
        <w:widowControl/>
      </w:pPr>
      <w:r>
        <w:t>8.2 Do and do not</w:t>
      </w:r>
    </w:p>
    <w:tbl>
      <w:tblPr>
        <w:tblW w:type="dxa" w:w="9360"/>
        <w:jc w:val="left"/>
        <w:tblLayout w:type="fixed"/>
        <w:tblLook w:firstColumn="1" w:firstRow="1" w:lastColumn="0" w:lastRow="0" w:noHBand="0" w:noVBand="1" w:val="04A0"/>
        <w:tblInd w:w="120" w:type="dxa"/>
      </w:tblPr>
      <w:tblGrid>
        <w:gridCol w:w="4680"/>
        <w:gridCol w:w="4680"/>
      </w:tblGrid>
      <w:tr>
        <w:trPr>
          <w:tblHeader w:val="true"/>
          <w:cantSplit w:val="true"/>
        </w:trPr>
        <w:tc>
          <w:tcPr>
            <w:tcW w:type="dxa" w:w="4680"/>
            <w:vAlign w:val="center"/>
            <w:shd w:fill="2A7F85"/>
            <w:tcMar>
              <w:top w:w="100" w:type="dxa"/>
              <w:start w:w="120" w:type="dxa"/>
              <w:bottom w:w="100" w:type="dxa"/>
              <w:end w:w="120" w:type="dxa"/>
            </w:tcMar>
            <w:tcBorders>
              <w:top w:val="single" w:sz="6" w:color="2A7F85"/>
              <w:left w:val="single" w:sz="6" w:color="2A7F85"/>
              <w:bottom w:val="single" w:sz="6" w:color="2A7F85"/>
              <w:right w:val="single" w:sz="6" w:color="2A7F85"/>
              <w:insideH w:val="single" w:sz="6" w:color="2A7F85"/>
              <w:insideV w:val="single" w:sz="6" w:color="2A7F85"/>
            </w:tcBorders>
          </w:tcPr>
          <w:p>
            <w:pPr>
              <w:keepLines/>
              <w:widowControl/>
              <w:spacing w:after="0" w:line="240" w:lineRule="auto"/>
            </w:pPr>
            <w:r/>
            <w:r>
              <w:rPr>
                <w:rFonts w:ascii="Aptos" w:hAnsi="Aptos"/>
                <w:b/>
                <w:color w:val="FFFFFF"/>
                <w:sz w:val="18"/>
              </w:rPr>
              <w:t>DO</w:t>
            </w:r>
          </w:p>
        </w:tc>
        <w:tc>
          <w:tcPr>
            <w:tcW w:type="dxa" w:w="4680"/>
            <w:vAlign w:val="center"/>
            <w:shd w:fill="2A7F85"/>
            <w:tcMar>
              <w:top w:w="100" w:type="dxa"/>
              <w:start w:w="120" w:type="dxa"/>
              <w:bottom w:w="100" w:type="dxa"/>
              <w:end w:w="120" w:type="dxa"/>
            </w:tcMar>
            <w:tcBorders>
              <w:top w:val="single" w:sz="6" w:color="2A7F85"/>
              <w:left w:val="single" w:sz="6" w:color="2A7F85"/>
              <w:bottom w:val="single" w:sz="6" w:color="2A7F85"/>
              <w:right w:val="single" w:sz="6" w:color="2A7F85"/>
              <w:insideH w:val="single" w:sz="6" w:color="2A7F85"/>
              <w:insideV w:val="single" w:sz="6" w:color="2A7F85"/>
            </w:tcBorders>
          </w:tcPr>
          <w:p>
            <w:pPr>
              <w:keepLines/>
              <w:widowControl/>
              <w:spacing w:after="0" w:line="240" w:lineRule="auto"/>
            </w:pPr>
            <w:r/>
            <w:r>
              <w:rPr>
                <w:rFonts w:ascii="Aptos" w:hAnsi="Aptos"/>
                <w:b/>
                <w:color w:val="FFFFFF"/>
                <w:sz w:val="18"/>
              </w:rPr>
              <w:t>DO NOT</w:t>
            </w:r>
          </w:p>
        </w:tc>
      </w:tr>
      <w:tr>
        <w:trPr>
          <w:cantSplit w:val="true"/>
        </w:trPr>
        <w:tc>
          <w:tcPr>
            <w:tcW w:type="dxa" w:w="468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8"/>
              </w:rPr>
              <w:t>Create masters only from the approved master-request form.</w:t>
            </w:r>
          </w:p>
        </w:tc>
        <w:tc>
          <w:tcPr>
            <w:tcW w:type="dxa" w:w="468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8"/>
              </w:rPr>
              <w:t>Do not create a new ledger because an existing name is difficult to find.</w:t>
            </w:r>
          </w:p>
        </w:tc>
      </w:tr>
      <w:tr>
        <w:trPr>
          <w:cantSplit w:val="true"/>
        </w:trPr>
        <w:tc>
          <w:tcPr>
            <w:tcW w:type="dxa" w:w="468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8"/>
              </w:rPr>
              <w:t>Use bill-wise references for debtors and creditors.</w:t>
            </w:r>
          </w:p>
        </w:tc>
        <w:tc>
          <w:tcPr>
            <w:tcW w:type="dxa" w:w="468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8"/>
              </w:rPr>
              <w:t>Do not carry a single unexplained opening amount where bill details are available.</w:t>
            </w:r>
          </w:p>
        </w:tc>
      </w:tr>
      <w:tr>
        <w:trPr>
          <w:cantSplit w:val="true"/>
        </w:trPr>
        <w:tc>
          <w:tcPr>
            <w:tcW w:type="dxa" w:w="468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8"/>
              </w:rPr>
              <w:t>Use branch/cost/material-centre tags for locations.</w:t>
            </w:r>
          </w:p>
        </w:tc>
        <w:tc>
          <w:tcPr>
            <w:tcW w:type="dxa" w:w="468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8"/>
              </w:rPr>
              <w:t>Do not duplicate a supplier or expense ledger for each city.</w:t>
            </w:r>
          </w:p>
        </w:tc>
      </w:tr>
      <w:tr>
        <w:trPr>
          <w:cantSplit w:val="true"/>
        </w:trPr>
        <w:tc>
          <w:tcPr>
            <w:tcW w:type="dxa" w:w="468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8"/>
              </w:rPr>
              <w:t>Split loan EMI using lender schedules.</w:t>
            </w:r>
          </w:p>
        </w:tc>
        <w:tc>
          <w:tcPr>
            <w:tcW w:type="dxa" w:w="468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8"/>
              </w:rPr>
              <w:t>Do not book the entire EMI as expense.</w:t>
            </w:r>
          </w:p>
        </w:tc>
      </w:tr>
      <w:tr>
        <w:trPr>
          <w:cantSplit w:val="true"/>
        </w:trPr>
        <w:tc>
          <w:tcPr>
            <w:tcW w:type="dxa" w:w="468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8"/>
              </w:rPr>
              <w:t>Reconcile bank, POS, cash and imprest regularly.</w:t>
            </w:r>
          </w:p>
        </w:tc>
        <w:tc>
          <w:tcPr>
            <w:tcW w:type="dxa" w:w="468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8"/>
              </w:rPr>
              <w:t>Do not wait until year-end to discover missing settlements or negative cash.</w:t>
            </w:r>
          </w:p>
        </w:tc>
      </w:tr>
      <w:tr>
        <w:trPr>
          <w:cantSplit w:val="true"/>
        </w:trPr>
        <w:tc>
          <w:tcPr>
            <w:tcW w:type="dxa" w:w="468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8"/>
              </w:rPr>
              <w:t>Keep evidence and meaningful narration.</w:t>
            </w:r>
          </w:p>
        </w:tc>
        <w:tc>
          <w:tcPr>
            <w:tcW w:type="dxa" w:w="468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8"/>
              </w:rPr>
              <w:t>Do not use vague narration such as “adjustment”, “as discussed” or “difference”.</w:t>
            </w:r>
          </w:p>
        </w:tc>
      </w:tr>
      <w:tr>
        <w:trPr>
          <w:cantSplit w:val="true"/>
        </w:trPr>
        <w:tc>
          <w:tcPr>
            <w:tcW w:type="dxa" w:w="468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8"/>
              </w:rPr>
              <w:t>Approve corrections through the decision log.</w:t>
            </w:r>
          </w:p>
        </w:tc>
        <w:tc>
          <w:tcPr>
            <w:tcW w:type="dxa" w:w="468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8"/>
              </w:rPr>
              <w:t>Do not make material write-offs or capital transfers orally.</w:t>
            </w:r>
          </w:p>
        </w:tc>
      </w:tr>
      <w:tr>
        <w:trPr>
          <w:cantSplit w:val="true"/>
        </w:trPr>
        <w:tc>
          <w:tcPr>
            <w:tcW w:type="dxa" w:w="468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8"/>
              </w:rPr>
              <w:t>Lock completed periods and retain backups.</w:t>
            </w:r>
          </w:p>
        </w:tc>
        <w:tc>
          <w:tcPr>
            <w:tcW w:type="dxa" w:w="468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8"/>
              </w:rPr>
              <w:t>Do not rewrite historical data without a recoverable audit copy.</w:t>
            </w:r>
          </w:p>
        </w:tc>
      </w:tr>
    </w:tbl>
    <w:p>
      <w:pPr>
        <w:widowControl/>
        <w:spacing w:after="20"/>
      </w:pPr>
    </w:p>
    <w:p>
      <w:pPr>
        <w:pStyle w:val="Heading2"/>
        <w:keepNext/>
        <w:widowControl/>
      </w:pPr>
      <w:r>
        <w:t>8.3 Daily, weekly and monthly controls</w:t>
      </w:r>
    </w:p>
    <w:tbl>
      <w:tblPr>
        <w:tblW w:type="dxa" w:w="9360"/>
        <w:jc w:val="left"/>
        <w:tblLayout w:type="fixed"/>
        <w:tblLook w:firstColumn="1" w:firstRow="1" w:lastColumn="0" w:lastRow="0" w:noHBand="0" w:noVBand="1" w:val="04A0"/>
        <w:tblInd w:w="120" w:type="dxa"/>
      </w:tblPr>
      <w:tblGrid>
        <w:gridCol w:w="1500"/>
        <w:gridCol w:w="7860"/>
      </w:tblGrid>
      <w:tr>
        <w:trPr>
          <w:tblHeader w:val="true"/>
          <w:cantSplit w:val="true"/>
        </w:trPr>
        <w:tc>
          <w:tcPr>
            <w:tcW w:type="dxa" w:w="1500"/>
            <w:vAlign w:val="center"/>
            <w:shd w:fill="17324D"/>
            <w:tcMar>
              <w:top w:w="100" w:type="dxa"/>
              <w:start w:w="120" w:type="dxa"/>
              <w:bottom w:w="100" w:type="dxa"/>
              <w:end w:w="120" w:type="dxa"/>
            </w:tcMar>
            <w:tcBorders>
              <w:top w:val="single" w:sz="6" w:color="17324D"/>
              <w:left w:val="single" w:sz="6" w:color="17324D"/>
              <w:bottom w:val="single" w:sz="6" w:color="17324D"/>
              <w:right w:val="single" w:sz="6" w:color="17324D"/>
              <w:insideH w:val="single" w:sz="6" w:color="17324D"/>
              <w:insideV w:val="single" w:sz="6" w:color="17324D"/>
            </w:tcBorders>
          </w:tcPr>
          <w:p>
            <w:pPr>
              <w:keepLines/>
              <w:widowControl/>
              <w:spacing w:after="0" w:line="240" w:lineRule="auto"/>
            </w:pPr>
            <w:r/>
            <w:r>
              <w:rPr>
                <w:rFonts w:ascii="Aptos" w:hAnsi="Aptos"/>
                <w:b/>
                <w:color w:val="FFFFFF"/>
                <w:sz w:val="18"/>
              </w:rPr>
              <w:t>Frequency</w:t>
            </w:r>
          </w:p>
        </w:tc>
        <w:tc>
          <w:tcPr>
            <w:tcW w:type="dxa" w:w="7860"/>
            <w:vAlign w:val="center"/>
            <w:shd w:fill="17324D"/>
            <w:tcMar>
              <w:top w:w="100" w:type="dxa"/>
              <w:start w:w="120" w:type="dxa"/>
              <w:bottom w:w="100" w:type="dxa"/>
              <w:end w:w="120" w:type="dxa"/>
            </w:tcMar>
            <w:tcBorders>
              <w:top w:val="single" w:sz="6" w:color="17324D"/>
              <w:left w:val="single" w:sz="6" w:color="17324D"/>
              <w:bottom w:val="single" w:sz="6" w:color="17324D"/>
              <w:right w:val="single" w:sz="6" w:color="17324D"/>
              <w:insideH w:val="single" w:sz="6" w:color="17324D"/>
              <w:insideV w:val="single" w:sz="6" w:color="17324D"/>
            </w:tcBorders>
          </w:tcPr>
          <w:p>
            <w:pPr>
              <w:keepLines/>
              <w:widowControl/>
              <w:spacing w:after="0" w:line="240" w:lineRule="auto"/>
            </w:pPr>
            <w:r/>
            <w:r>
              <w:rPr>
                <w:rFonts w:ascii="Aptos" w:hAnsi="Aptos"/>
                <w:b/>
                <w:color w:val="FFFFFF"/>
                <w:sz w:val="18"/>
              </w:rPr>
              <w:t>Minimum review</w:t>
            </w:r>
          </w:p>
        </w:tc>
      </w:tr>
      <w:tr>
        <w:trPr>
          <w:cantSplit w:val="true"/>
        </w:trPr>
        <w:tc>
          <w:tcPr>
            <w:tcW w:type="dxa" w:w="15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color w:val="20262D"/>
                <w:sz w:val="18"/>
              </w:rPr>
              <w:t>Daily</w:t>
            </w:r>
          </w:p>
        </w:tc>
        <w:tc>
          <w:tcPr>
            <w:tcW w:type="dxa" w:w="786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8"/>
              </w:rPr>
              <w:t>Bank/POS receipts, branch cash close, invoice sequence, new master requests, missing evidence.</w:t>
            </w:r>
          </w:p>
        </w:tc>
      </w:tr>
      <w:tr>
        <w:trPr>
          <w:cantSplit w:val="true"/>
        </w:trPr>
        <w:tc>
          <w:tcPr>
            <w:tcW w:type="dxa" w:w="15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color w:val="20262D"/>
                <w:sz w:val="18"/>
              </w:rPr>
              <w:t>Weekly</w:t>
            </w:r>
          </w:p>
        </w:tc>
        <w:tc>
          <w:tcPr>
            <w:tcW w:type="dxa" w:w="786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8"/>
              </w:rPr>
              <w:t>Bank reconciliation progress, POS ageing, imprest ageing, negative cash, loan entries, exceptions and duplicate masters.</w:t>
            </w:r>
          </w:p>
        </w:tc>
      </w:tr>
      <w:tr>
        <w:trPr>
          <w:cantSplit w:val="true"/>
        </w:trPr>
        <w:tc>
          <w:tcPr>
            <w:tcW w:type="dxa" w:w="15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color w:val="20262D"/>
                <w:sz w:val="18"/>
              </w:rPr>
              <w:t>Monthly</w:t>
            </w:r>
          </w:p>
        </w:tc>
        <w:tc>
          <w:tcPr>
            <w:tcW w:type="dxa" w:w="786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8"/>
              </w:rPr>
              <w:t>Full bank reconciliation, debtor/creditor ageing, stock/branch review, tax reconciliation, payroll/statutory balances, loan principal tie-up, P&amp;L variance and management sign-off.</w:t>
            </w:r>
          </w:p>
        </w:tc>
      </w:tr>
      <w:tr>
        <w:trPr>
          <w:cantSplit w:val="true"/>
        </w:trPr>
        <w:tc>
          <w:tcPr>
            <w:tcW w:type="dxa" w:w="15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color w:val="20262D"/>
                <w:sz w:val="18"/>
              </w:rPr>
              <w:t>Quarterly</w:t>
            </w:r>
          </w:p>
        </w:tc>
        <w:tc>
          <w:tcPr>
            <w:tcW w:type="dxa" w:w="786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8"/>
              </w:rPr>
              <w:t>Master clean-up, user-access review, backup restoration test, fixed assets, old outstanding balances and control improvement.</w:t>
            </w:r>
          </w:p>
        </w:tc>
      </w:tr>
    </w:tbl>
    <w:p>
      <w:pPr>
        <w:widowControl/>
        <w:spacing w:after="20"/>
      </w:pPr>
    </w:p>
    <w:p>
      <w:pPr>
        <w:pStyle w:val="Heading2"/>
        <w:keepNext/>
        <w:widowControl/>
      </w:pPr>
      <w:r>
        <w:t>8.4 System controls to configure in BUSY</w:t>
      </w:r>
    </w:p>
    <w:p>
      <w:pPr>
        <w:widowControl/>
        <w:numPr>
          <w:ilvl w:val="0"/>
          <w:numId w:val="10"/>
        </w:numPr>
        <w:spacing w:after="80" w:line="269" w:lineRule="auto"/>
        <w:ind w:left="720" w:hanging="360"/>
      </w:pPr>
      <w:r>
        <w:rPr>
          <w:rFonts w:ascii="Aptos" w:hAnsi="Aptos"/>
        </w:rPr>
        <w:t>Separate user IDs and least-necessary access. Restrict master creation, voucher deletion and back-date changes.</w:t>
      </w:r>
    </w:p>
    <w:p>
      <w:pPr>
        <w:widowControl/>
        <w:numPr>
          <w:ilvl w:val="0"/>
          <w:numId w:val="10"/>
        </w:numPr>
        <w:spacing w:after="80" w:line="269" w:lineRule="auto"/>
        <w:ind w:left="720" w:hanging="360"/>
      </w:pPr>
      <w:r>
        <w:rPr>
          <w:rFonts w:ascii="Aptos" w:hAnsi="Aptos"/>
        </w:rPr>
        <w:t>Bill-by-bill details for debtors and creditors.</w:t>
      </w:r>
    </w:p>
    <w:p>
      <w:pPr>
        <w:widowControl/>
        <w:numPr>
          <w:ilvl w:val="0"/>
          <w:numId w:val="10"/>
        </w:numPr>
        <w:spacing w:after="80" w:line="269" w:lineRule="auto"/>
        <w:ind w:left="720" w:hanging="360"/>
      </w:pPr>
      <w:r>
        <w:rPr>
          <w:rFonts w:ascii="Aptos" w:hAnsi="Aptos"/>
        </w:rPr>
        <w:t>Branch, cost centre and material centre configuration based on the selected reporting design and licensed features.</w:t>
      </w:r>
    </w:p>
    <w:p>
      <w:pPr>
        <w:widowControl/>
        <w:numPr>
          <w:ilvl w:val="0"/>
          <w:numId w:val="10"/>
        </w:numPr>
        <w:spacing w:after="80" w:line="269" w:lineRule="auto"/>
        <w:ind w:left="720" w:hanging="360"/>
      </w:pPr>
      <w:r>
        <w:rPr>
          <w:rFonts w:ascii="Aptos" w:hAnsi="Aptos"/>
        </w:rPr>
        <w:t>Voucher series by transaction type/branch where useful, with consistent numbering and no silent gaps.</w:t>
      </w:r>
    </w:p>
    <w:p>
      <w:pPr>
        <w:widowControl/>
        <w:numPr>
          <w:ilvl w:val="0"/>
          <w:numId w:val="10"/>
        </w:numPr>
        <w:spacing w:after="80" w:line="269" w:lineRule="auto"/>
        <w:ind w:left="720" w:hanging="360"/>
      </w:pPr>
      <w:r>
        <w:rPr>
          <w:rFonts w:ascii="Aptos" w:hAnsi="Aptos"/>
        </w:rPr>
        <w:t>Item-level HSN, tax category and exempt/taxable status after review.</w:t>
      </w:r>
    </w:p>
    <w:p>
      <w:pPr>
        <w:widowControl/>
        <w:numPr>
          <w:ilvl w:val="0"/>
          <w:numId w:val="10"/>
        </w:numPr>
        <w:spacing w:after="80" w:line="269" w:lineRule="auto"/>
        <w:ind w:left="720" w:hanging="360"/>
      </w:pPr>
      <w:r>
        <w:rPr>
          <w:rFonts w:ascii="Aptos" w:hAnsi="Aptos"/>
        </w:rPr>
        <w:t>Bank instrument details and bank reconciliation workflow.</w:t>
      </w:r>
    </w:p>
    <w:p>
      <w:pPr>
        <w:widowControl/>
        <w:numPr>
          <w:ilvl w:val="0"/>
          <w:numId w:val="10"/>
        </w:numPr>
        <w:spacing w:after="80" w:line="269" w:lineRule="auto"/>
        <w:ind w:left="720" w:hanging="360"/>
      </w:pPr>
      <w:r>
        <w:rPr>
          <w:rFonts w:ascii="Aptos" w:hAnsi="Aptos"/>
        </w:rPr>
        <w:t>Regular automated/local backups plus an off-system copy, with periodic restore testing.</w:t>
      </w:r>
    </w:p>
    <w:p>
      <w:pPr>
        <w:widowControl/>
        <w:numPr>
          <w:ilvl w:val="0"/>
          <w:numId w:val="10"/>
        </w:numPr>
        <w:spacing w:after="80" w:line="269" w:lineRule="auto"/>
        <w:ind w:left="720" w:hanging="360"/>
      </w:pPr>
      <w:r>
        <w:rPr>
          <w:rFonts w:ascii="Aptos" w:hAnsi="Aptos"/>
        </w:rPr>
        <w:t>Period locking after monthly review and controlled reopening only with approval.</w:t>
      </w:r>
    </w:p>
    <w:p>
      <w:pPr>
        <w:pStyle w:val="Heading1"/>
        <w:keepNext/>
        <w:widowControl/>
      </w:pPr>
      <w:r>
        <w:t>Part 9 - Weekly review plan, completion tests and sign-off</w:t>
      </w:r>
    </w:p>
    <w:p>
      <w:pPr>
        <w:pStyle w:val="Heading2"/>
        <w:keepNext/>
        <w:widowControl/>
      </w:pPr>
      <w:r>
        <w:t>9.1 Standard weekly review agenda</w:t>
      </w:r>
    </w:p>
    <w:tbl>
      <w:tblPr>
        <w:tblW w:type="dxa" w:w="9360"/>
        <w:jc w:val="left"/>
        <w:tblLayout w:type="fixed"/>
        <w:tblLook w:firstColumn="1" w:firstRow="1" w:lastColumn="0" w:lastRow="0" w:noHBand="0" w:noVBand="1" w:val="04A0"/>
        <w:tblInd w:w="120" w:type="dxa"/>
      </w:tblPr>
      <w:tblGrid>
        <w:gridCol w:w="1950"/>
        <w:gridCol w:w="7410"/>
      </w:tblGrid>
      <w:tr>
        <w:trPr>
          <w:tblHeader w:val="true"/>
          <w:cantSplit w:val="true"/>
        </w:trPr>
        <w:tc>
          <w:tcPr>
            <w:tcW w:type="dxa" w:w="1950"/>
            <w:vAlign w:val="center"/>
            <w:shd w:fill="17324D"/>
            <w:tcMar>
              <w:top w:w="100" w:type="dxa"/>
              <w:start w:w="120" w:type="dxa"/>
              <w:bottom w:w="100" w:type="dxa"/>
              <w:end w:w="120" w:type="dxa"/>
            </w:tcMar>
            <w:tcBorders>
              <w:top w:val="single" w:sz="6" w:color="17324D"/>
              <w:left w:val="single" w:sz="6" w:color="17324D"/>
              <w:bottom w:val="single" w:sz="6" w:color="17324D"/>
              <w:right w:val="single" w:sz="6" w:color="17324D"/>
              <w:insideH w:val="single" w:sz="6" w:color="17324D"/>
              <w:insideV w:val="single" w:sz="6" w:color="17324D"/>
            </w:tcBorders>
          </w:tcPr>
          <w:p>
            <w:pPr>
              <w:keepLines/>
              <w:widowControl/>
              <w:spacing w:after="0" w:line="240" w:lineRule="auto"/>
            </w:pPr>
            <w:r/>
            <w:r>
              <w:rPr>
                <w:rFonts w:ascii="Aptos" w:hAnsi="Aptos"/>
                <w:b/>
                <w:color w:val="FFFFFF"/>
                <w:sz w:val="18"/>
              </w:rPr>
              <w:t>Agenda item</w:t>
            </w:r>
          </w:p>
        </w:tc>
        <w:tc>
          <w:tcPr>
            <w:tcW w:type="dxa" w:w="7410"/>
            <w:vAlign w:val="center"/>
            <w:shd w:fill="17324D"/>
            <w:tcMar>
              <w:top w:w="100" w:type="dxa"/>
              <w:start w:w="120" w:type="dxa"/>
              <w:bottom w:w="100" w:type="dxa"/>
              <w:end w:w="120" w:type="dxa"/>
            </w:tcMar>
            <w:tcBorders>
              <w:top w:val="single" w:sz="6" w:color="17324D"/>
              <w:left w:val="single" w:sz="6" w:color="17324D"/>
              <w:bottom w:val="single" w:sz="6" w:color="17324D"/>
              <w:right w:val="single" w:sz="6" w:color="17324D"/>
              <w:insideH w:val="single" w:sz="6" w:color="17324D"/>
              <w:insideV w:val="single" w:sz="6" w:color="17324D"/>
            </w:tcBorders>
          </w:tcPr>
          <w:p>
            <w:pPr>
              <w:keepLines/>
              <w:widowControl/>
              <w:spacing w:after="0" w:line="240" w:lineRule="auto"/>
            </w:pPr>
            <w:r/>
            <w:r>
              <w:rPr>
                <w:rFonts w:ascii="Aptos" w:hAnsi="Aptos"/>
                <w:b/>
                <w:color w:val="FFFFFF"/>
                <w:sz w:val="18"/>
              </w:rPr>
              <w:t>Discussion/output</w:t>
            </w:r>
          </w:p>
        </w:tc>
      </w:tr>
      <w:tr>
        <w:trPr>
          <w:cantSplit w:val="true"/>
        </w:trPr>
        <w:tc>
          <w:tcPr>
            <w:tcW w:type="dxa" w:w="19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color w:val="20262D"/>
                <w:sz w:val="18"/>
              </w:rPr>
              <w:t>1. Progress</w:t>
            </w:r>
          </w:p>
        </w:tc>
        <w:tc>
          <w:tcPr>
            <w:tcW w:type="dxa" w:w="741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8"/>
              </w:rPr>
              <w:t>Actions completed, overdue items and reason for delay.</w:t>
            </w:r>
          </w:p>
        </w:tc>
      </w:tr>
      <w:tr>
        <w:trPr>
          <w:cantSplit w:val="true"/>
        </w:trPr>
        <w:tc>
          <w:tcPr>
            <w:tcW w:type="dxa" w:w="19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color w:val="20262D"/>
                <w:sz w:val="18"/>
              </w:rPr>
              <w:t>2. Financial controls</w:t>
            </w:r>
          </w:p>
        </w:tc>
        <w:tc>
          <w:tcPr>
            <w:tcW w:type="dxa" w:w="741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8"/>
              </w:rPr>
              <w:t>Banks, POS, cash, loans, parties, taxes and opening-balance movement.</w:t>
            </w:r>
          </w:p>
        </w:tc>
      </w:tr>
      <w:tr>
        <w:trPr>
          <w:cantSplit w:val="true"/>
        </w:trPr>
        <w:tc>
          <w:tcPr>
            <w:tcW w:type="dxa" w:w="19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color w:val="20262D"/>
                <w:sz w:val="18"/>
              </w:rPr>
              <w:t>3. Exceptions</w:t>
            </w:r>
          </w:p>
        </w:tc>
        <w:tc>
          <w:tcPr>
            <w:tcW w:type="dxa" w:w="741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8"/>
              </w:rPr>
              <w:t>New issues, evidence received, accounting proposal and items needing management decision.</w:t>
            </w:r>
          </w:p>
        </w:tc>
      </w:tr>
      <w:tr>
        <w:trPr>
          <w:cantSplit w:val="true"/>
        </w:trPr>
        <w:tc>
          <w:tcPr>
            <w:tcW w:type="dxa" w:w="19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color w:val="20262D"/>
                <w:sz w:val="18"/>
              </w:rPr>
              <w:t>4. System test</w:t>
            </w:r>
          </w:p>
        </w:tc>
        <w:tc>
          <w:tcPr>
            <w:tcW w:type="dxa" w:w="741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8"/>
              </w:rPr>
              <w:t>Sample fresh vouchers, master controls, branch reporting and user access.</w:t>
            </w:r>
          </w:p>
        </w:tc>
      </w:tr>
      <w:tr>
        <w:trPr>
          <w:cantSplit w:val="true"/>
        </w:trPr>
        <w:tc>
          <w:tcPr>
            <w:tcW w:type="dxa" w:w="19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color w:val="20262D"/>
                <w:sz w:val="18"/>
              </w:rPr>
              <w:t>5. Decisions</w:t>
            </w:r>
          </w:p>
        </w:tc>
        <w:tc>
          <w:tcPr>
            <w:tcW w:type="dxa" w:w="741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8"/>
              </w:rPr>
              <w:t>Document agreed treatment, owner, due date and approval level.</w:t>
            </w:r>
          </w:p>
        </w:tc>
      </w:tr>
      <w:tr>
        <w:trPr>
          <w:cantSplit w:val="true"/>
        </w:trPr>
        <w:tc>
          <w:tcPr>
            <w:tcW w:type="dxa" w:w="19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color w:val="20262D"/>
                <w:sz w:val="18"/>
              </w:rPr>
              <w:t>6. Next week</w:t>
            </w:r>
          </w:p>
        </w:tc>
        <w:tc>
          <w:tcPr>
            <w:tcW w:type="dxa" w:w="741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8"/>
              </w:rPr>
              <w:t>Prioritised action list and evidence request.</w:t>
            </w:r>
          </w:p>
        </w:tc>
      </w:tr>
    </w:tbl>
    <w:p>
      <w:pPr>
        <w:widowControl/>
        <w:spacing w:after="20"/>
      </w:pPr>
    </w:p>
    <w:p>
      <w:pPr>
        <w:pStyle w:val="Heading2"/>
        <w:keepNext/>
        <w:widowControl/>
      </w:pPr>
      <w:r>
        <w:t>9.2 Reports our team will issue</w:t>
      </w:r>
    </w:p>
    <w:p>
      <w:pPr>
        <w:widowControl/>
        <w:numPr>
          <w:ilvl w:val="0"/>
          <w:numId w:val="10"/>
        </w:numPr>
        <w:spacing w:after="80" w:line="269" w:lineRule="auto"/>
        <w:ind w:left="720" w:hanging="360"/>
      </w:pPr>
      <w:r>
        <w:rPr>
          <w:rFonts w:ascii="Aptos" w:hAnsi="Aptos"/>
        </w:rPr>
        <w:t>Weekly progress dashboard with green/amber/red status.</w:t>
      </w:r>
    </w:p>
    <w:p>
      <w:pPr>
        <w:widowControl/>
        <w:numPr>
          <w:ilvl w:val="0"/>
          <w:numId w:val="10"/>
        </w:numPr>
        <w:spacing w:after="80" w:line="269" w:lineRule="auto"/>
        <w:ind w:left="720" w:hanging="360"/>
      </w:pPr>
      <w:r>
        <w:rPr>
          <w:rFonts w:ascii="Aptos" w:hAnsi="Aptos"/>
        </w:rPr>
        <w:t>Ledger Mapping Register showing old-to-new treatment and approval status.</w:t>
      </w:r>
    </w:p>
    <w:p>
      <w:pPr>
        <w:widowControl/>
        <w:numPr>
          <w:ilvl w:val="0"/>
          <w:numId w:val="10"/>
        </w:numPr>
        <w:spacing w:after="80" w:line="269" w:lineRule="auto"/>
        <w:ind w:left="720" w:hanging="360"/>
      </w:pPr>
      <w:r>
        <w:rPr>
          <w:rFonts w:ascii="Aptos" w:hAnsi="Aptos"/>
        </w:rPr>
        <w:t>Exception Register with value, evidence, owner, ageing and decision.</w:t>
      </w:r>
    </w:p>
    <w:p>
      <w:pPr>
        <w:widowControl/>
        <w:numPr>
          <w:ilvl w:val="0"/>
          <w:numId w:val="10"/>
        </w:numPr>
        <w:spacing w:after="80" w:line="269" w:lineRule="auto"/>
        <w:ind w:left="720" w:hanging="360"/>
      </w:pPr>
      <w:r>
        <w:rPr>
          <w:rFonts w:ascii="Aptos" w:hAnsi="Aptos"/>
        </w:rPr>
        <w:t>Reconciliation status for banks, loans, cash, POS, debtors, creditors and taxes.</w:t>
      </w:r>
    </w:p>
    <w:p>
      <w:pPr>
        <w:widowControl/>
        <w:numPr>
          <w:ilvl w:val="0"/>
          <w:numId w:val="10"/>
        </w:numPr>
        <w:spacing w:after="80" w:line="269" w:lineRule="auto"/>
        <w:ind w:left="720" w:hanging="360"/>
      </w:pPr>
      <w:r>
        <w:rPr>
          <w:rFonts w:ascii="Aptos" w:hAnsi="Aptos"/>
        </w:rPr>
        <w:t>Go-live readiness report before 1 October.</w:t>
      </w:r>
    </w:p>
    <w:p>
      <w:pPr>
        <w:widowControl/>
        <w:numPr>
          <w:ilvl w:val="0"/>
          <w:numId w:val="10"/>
        </w:numPr>
        <w:spacing w:after="80" w:line="269" w:lineRule="auto"/>
        <w:ind w:left="720" w:hanging="360"/>
      </w:pPr>
      <w:r>
        <w:rPr>
          <w:rFonts w:ascii="Aptos" w:hAnsi="Aptos"/>
        </w:rPr>
        <w:t>October month-end review report with unresolved issues and control recommendations.</w:t>
      </w:r>
    </w:p>
    <w:p>
      <w:pPr>
        <w:pStyle w:val="Heading2"/>
        <w:keepNext/>
        <w:widowControl/>
      </w:pPr>
      <w:r>
        <w:t>9.3 Go-live acceptance checklist</w:t>
      </w:r>
    </w:p>
    <w:tbl>
      <w:tblPr>
        <w:tblW w:type="dxa" w:w="9360"/>
        <w:jc w:val="left"/>
        <w:tblLayout w:type="fixed"/>
        <w:tblLook w:firstColumn="1" w:firstRow="1" w:lastColumn="0" w:lastRow="0" w:noHBand="0" w:noVBand="1" w:val="04A0"/>
        <w:tblInd w:w="120" w:type="dxa"/>
      </w:tblPr>
      <w:tblGrid>
        <w:gridCol w:w="2350"/>
        <w:gridCol w:w="7010"/>
      </w:tblGrid>
      <w:tr>
        <w:trPr>
          <w:tblHeader w:val="true"/>
          <w:cantSplit w:val="true"/>
        </w:trPr>
        <w:tc>
          <w:tcPr>
            <w:tcW w:type="dxa" w:w="2350"/>
            <w:vAlign w:val="center"/>
            <w:shd w:fill="17324D"/>
            <w:tcMar>
              <w:top w:w="100" w:type="dxa"/>
              <w:start w:w="120" w:type="dxa"/>
              <w:bottom w:w="100" w:type="dxa"/>
              <w:end w:w="120" w:type="dxa"/>
            </w:tcMar>
            <w:tcBorders>
              <w:top w:val="single" w:sz="6" w:color="17324D"/>
              <w:left w:val="single" w:sz="6" w:color="17324D"/>
              <w:bottom w:val="single" w:sz="6" w:color="17324D"/>
              <w:right w:val="single" w:sz="6" w:color="17324D"/>
              <w:insideH w:val="single" w:sz="6" w:color="17324D"/>
              <w:insideV w:val="single" w:sz="6" w:color="17324D"/>
            </w:tcBorders>
          </w:tcPr>
          <w:p>
            <w:pPr>
              <w:keepLines/>
              <w:widowControl/>
              <w:spacing w:after="0" w:line="240" w:lineRule="auto"/>
            </w:pPr>
            <w:r/>
            <w:r>
              <w:rPr>
                <w:rFonts w:ascii="Aptos" w:hAnsi="Aptos"/>
                <w:b/>
                <w:color w:val="FFFFFF"/>
                <w:sz w:val="18"/>
              </w:rPr>
              <w:t>Acceptance point</w:t>
            </w:r>
          </w:p>
        </w:tc>
        <w:tc>
          <w:tcPr>
            <w:tcW w:type="dxa" w:w="7010"/>
            <w:vAlign w:val="center"/>
            <w:shd w:fill="17324D"/>
            <w:tcMar>
              <w:top w:w="100" w:type="dxa"/>
              <w:start w:w="120" w:type="dxa"/>
              <w:bottom w:w="100" w:type="dxa"/>
              <w:end w:w="120" w:type="dxa"/>
            </w:tcMar>
            <w:tcBorders>
              <w:top w:val="single" w:sz="6" w:color="17324D"/>
              <w:left w:val="single" w:sz="6" w:color="17324D"/>
              <w:bottom w:val="single" w:sz="6" w:color="17324D"/>
              <w:right w:val="single" w:sz="6" w:color="17324D"/>
              <w:insideH w:val="single" w:sz="6" w:color="17324D"/>
              <w:insideV w:val="single" w:sz="6" w:color="17324D"/>
            </w:tcBorders>
          </w:tcPr>
          <w:p>
            <w:pPr>
              <w:keepLines/>
              <w:widowControl/>
              <w:spacing w:after="0" w:line="240" w:lineRule="auto"/>
            </w:pPr>
            <w:r/>
            <w:r>
              <w:rPr>
                <w:rFonts w:ascii="Aptos" w:hAnsi="Aptos"/>
                <w:b/>
                <w:color w:val="FFFFFF"/>
                <w:sz w:val="18"/>
              </w:rPr>
              <w:t>Evidence of completion</w:t>
            </w:r>
          </w:p>
        </w:tc>
      </w:tr>
      <w:tr>
        <w:trPr>
          <w:cantSplit w:val="true"/>
        </w:trPr>
        <w:tc>
          <w:tcPr>
            <w:tcW w:type="dxa" w:w="23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color w:val="20262D"/>
                <w:sz w:val="18"/>
              </w:rPr>
              <w:t>Chart approved</w:t>
            </w:r>
          </w:p>
        </w:tc>
        <w:tc>
          <w:tcPr>
            <w:tcW w:type="dxa" w:w="701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8"/>
              </w:rPr>
              <w:t>All approved groups/ledgers exist; prohibited masters do not exist.</w:t>
            </w:r>
          </w:p>
        </w:tc>
      </w:tr>
      <w:tr>
        <w:trPr>
          <w:cantSplit w:val="true"/>
        </w:trPr>
        <w:tc>
          <w:tcPr>
            <w:tcW w:type="dxa" w:w="23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color w:val="20262D"/>
                <w:sz w:val="18"/>
              </w:rPr>
              <w:t>Opening balances supported</w:t>
            </w:r>
          </w:p>
        </w:tc>
        <w:tc>
          <w:tcPr>
            <w:tcW w:type="dxa" w:w="701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8"/>
              </w:rPr>
              <w:t>Preparer, senior reviewer and management have signed the pack.</w:t>
            </w:r>
          </w:p>
        </w:tc>
      </w:tr>
      <w:tr>
        <w:trPr>
          <w:cantSplit w:val="true"/>
        </w:trPr>
        <w:tc>
          <w:tcPr>
            <w:tcW w:type="dxa" w:w="23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color w:val="20262D"/>
                <w:sz w:val="18"/>
              </w:rPr>
              <w:t>Priority red flags addressed</w:t>
            </w:r>
          </w:p>
        </w:tc>
        <w:tc>
          <w:tcPr>
            <w:tcW w:type="dxa" w:w="701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8"/>
              </w:rPr>
              <w:t>Loans, cash, banks, suspense and large discounts have approved outcomes or formally escalated exceptions.</w:t>
            </w:r>
          </w:p>
        </w:tc>
      </w:tr>
      <w:tr>
        <w:trPr>
          <w:cantSplit w:val="true"/>
        </w:trPr>
        <w:tc>
          <w:tcPr>
            <w:tcW w:type="dxa" w:w="23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color w:val="20262D"/>
                <w:sz w:val="18"/>
              </w:rPr>
              <w:t>Tax configuration reviewed</w:t>
            </w:r>
          </w:p>
        </w:tc>
        <w:tc>
          <w:tcPr>
            <w:tcW w:type="dxa" w:w="701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8"/>
              </w:rPr>
              <w:t>GST item treatment, RCM decision flow and statutory ledgers checked by competent personnel.</w:t>
            </w:r>
          </w:p>
        </w:tc>
      </w:tr>
      <w:tr>
        <w:trPr>
          <w:cantSplit w:val="true"/>
        </w:trPr>
        <w:tc>
          <w:tcPr>
            <w:tcW w:type="dxa" w:w="23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color w:val="20262D"/>
                <w:sz w:val="18"/>
              </w:rPr>
              <w:t>Users tested</w:t>
            </w:r>
          </w:p>
        </w:tc>
        <w:tc>
          <w:tcPr>
            <w:tcW w:type="dxa" w:w="701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8"/>
              </w:rPr>
              <w:t>Sample sales, purchase, receipt, payment, journal, POS, imprest and branch transactions passed successfully.</w:t>
            </w:r>
          </w:p>
        </w:tc>
      </w:tr>
      <w:tr>
        <w:trPr>
          <w:cantSplit w:val="true"/>
        </w:trPr>
        <w:tc>
          <w:tcPr>
            <w:tcW w:type="dxa" w:w="23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color w:val="20262D"/>
                <w:sz w:val="18"/>
              </w:rPr>
              <w:t>Reports tested</w:t>
            </w:r>
          </w:p>
        </w:tc>
        <w:tc>
          <w:tcPr>
            <w:tcW w:type="dxa" w:w="701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8"/>
              </w:rPr>
              <w:t>Trial balance, balance sheet, P&amp;L, ageing, branch, stock and GST reports are understandable and reconcilable.</w:t>
            </w:r>
          </w:p>
        </w:tc>
      </w:tr>
      <w:tr>
        <w:trPr>
          <w:cantSplit w:val="true"/>
        </w:trPr>
        <w:tc>
          <w:tcPr>
            <w:tcW w:type="dxa" w:w="23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color w:val="20262D"/>
                <w:sz w:val="18"/>
              </w:rPr>
              <w:t>Backup and rollback ready</w:t>
            </w:r>
          </w:p>
        </w:tc>
        <w:tc>
          <w:tcPr>
            <w:tcW w:type="dxa" w:w="701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8"/>
              </w:rPr>
              <w:t>Final pre-live backup, test company and recovery responsibility confirmed.</w:t>
            </w:r>
          </w:p>
        </w:tc>
      </w:tr>
      <w:tr>
        <w:trPr>
          <w:cantSplit w:val="true"/>
        </w:trPr>
        <w:tc>
          <w:tcPr>
            <w:tcW w:type="dxa" w:w="23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color w:val="20262D"/>
                <w:sz w:val="18"/>
              </w:rPr>
              <w:t>Training complete</w:t>
            </w:r>
          </w:p>
        </w:tc>
        <w:tc>
          <w:tcPr>
            <w:tcW w:type="dxa" w:w="701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8"/>
              </w:rPr>
              <w:t>Users know the new names, master-request rule, evidence standard and escalation process.</w:t>
            </w:r>
          </w:p>
        </w:tc>
      </w:tr>
    </w:tbl>
    <w:p>
      <w:pPr>
        <w:widowControl/>
        <w:spacing w:after="20"/>
      </w:pPr>
    </w:p>
    <w:p>
      <w:pPr>
        <w:pStyle w:val="Heading2"/>
        <w:keepNext/>
        <w:widowControl/>
      </w:pPr>
      <w:r>
        <w:t>9.4 First-month stabilisation</w:t>
      </w:r>
    </w:p>
    <w:p>
      <w:pPr>
        <w:widowControl/>
        <w:numPr>
          <w:ilvl w:val="0"/>
          <w:numId w:val="10"/>
        </w:numPr>
        <w:spacing w:after="80" w:line="269" w:lineRule="auto"/>
        <w:ind w:left="720" w:hanging="360"/>
      </w:pPr>
      <w:r>
        <w:rPr>
          <w:rFonts w:ascii="Aptos" w:hAnsi="Aptos"/>
        </w:rPr>
        <w:t>Review the first five working days transaction-by-transaction for master and voucher discipline.</w:t>
      </w:r>
    </w:p>
    <w:p>
      <w:pPr>
        <w:widowControl/>
        <w:numPr>
          <w:ilvl w:val="0"/>
          <w:numId w:val="10"/>
        </w:numPr>
        <w:spacing w:after="80" w:line="269" w:lineRule="auto"/>
        <w:ind w:left="720" w:hanging="360"/>
      </w:pPr>
      <w:r>
        <w:rPr>
          <w:rFonts w:ascii="Aptos" w:hAnsi="Aptos"/>
        </w:rPr>
        <w:t>Clear POS and bank differences daily during the first two weeks.</w:t>
      </w:r>
    </w:p>
    <w:p>
      <w:pPr>
        <w:widowControl/>
        <w:numPr>
          <w:ilvl w:val="0"/>
          <w:numId w:val="10"/>
        </w:numPr>
        <w:spacing w:after="80" w:line="269" w:lineRule="auto"/>
        <w:ind w:left="720" w:hanging="360"/>
      </w:pPr>
      <w:r>
        <w:rPr>
          <w:rFonts w:ascii="Aptos" w:hAnsi="Aptos"/>
        </w:rPr>
        <w:t>Perform weekly negative-cash, loan-balance, suspense-name and duplicate-GSTIN checks.</w:t>
      </w:r>
    </w:p>
    <w:p>
      <w:pPr>
        <w:widowControl/>
        <w:numPr>
          <w:ilvl w:val="0"/>
          <w:numId w:val="10"/>
        </w:numPr>
        <w:spacing w:after="80" w:line="269" w:lineRule="auto"/>
        <w:ind w:left="720" w:hanging="360"/>
      </w:pPr>
      <w:r>
        <w:rPr>
          <w:rFonts w:ascii="Aptos" w:hAnsi="Aptos"/>
        </w:rPr>
        <w:t>Complete October closing within the agreed timetable and document every unresolved item.</w:t>
      </w:r>
    </w:p>
    <w:p>
      <w:pPr>
        <w:widowControl/>
        <w:numPr>
          <w:ilvl w:val="0"/>
          <w:numId w:val="10"/>
        </w:numPr>
        <w:spacing w:after="80" w:line="269" w:lineRule="auto"/>
        <w:ind w:left="720" w:hanging="360"/>
      </w:pPr>
      <w:r>
        <w:rPr>
          <w:rFonts w:ascii="Aptos" w:hAnsi="Aptos"/>
        </w:rPr>
        <w:t>After October sign-off, lock the month and issue a control-improvement note to management.</w:t>
      </w:r>
    </w:p>
    <w:p>
      <w:pPr>
        <w:pStyle w:val="DecisionCallout"/>
        <w:widowControl/>
      </w:pPr>
      <w:r>
        <w:rPr>
          <w:rFonts w:ascii="Aptos" w:hAnsi="Aptos"/>
          <w:b/>
          <w:color w:val="17324D"/>
        </w:rPr>
        <w:t xml:space="preserve">Completion standard  </w:t>
      </w:r>
      <w:r>
        <w:rPr>
          <w:rFonts w:ascii="Aptos" w:hAnsi="Aptos"/>
          <w:color w:val="17324D"/>
        </w:rPr>
        <w:t>The assignment is not complete merely because a new BUSY company has been created. It is complete when the opening balances are evidenced, the live workflows work, the major legacy risks have approved treatments, users follow the controls, and management receives reliable October reports.</w:t>
      </w:r>
    </w:p>
    <w:p>
      <w:pPr>
        <w:pStyle w:val="Heading1"/>
        <w:keepNext/>
        <w:widowControl/>
      </w:pPr>
      <w:r>
        <w:t>Annexure A - Detailed legacy-to-new mapping</w:t>
      </w:r>
    </w:p>
    <w:tbl>
      <w:tblPr>
        <w:tblW w:type="dxa" w:w="9360"/>
        <w:jc w:val="left"/>
        <w:tblLayout w:type="fixed"/>
        <w:tblLook w:firstColumn="1" w:firstRow="1" w:lastColumn="0" w:lastRow="0" w:noHBand="0" w:noVBand="1" w:val="04A0"/>
        <w:tblInd w:w="120" w:type="dxa"/>
      </w:tblPr>
      <w:tblGrid>
        <w:gridCol w:w="2450"/>
        <w:gridCol w:w="1450"/>
        <w:gridCol w:w="2250"/>
        <w:gridCol w:w="3210"/>
      </w:tblGrid>
      <w:tr>
        <w:trPr>
          <w:tblHeader w:val="true"/>
          <w:cantSplit w:val="true"/>
        </w:trPr>
        <w:tc>
          <w:tcPr>
            <w:tcW w:type="dxa" w:w="2450"/>
            <w:vAlign w:val="center"/>
            <w:shd w:fill="2A7F85"/>
            <w:tcMar>
              <w:top w:w="100" w:type="dxa"/>
              <w:start w:w="120" w:type="dxa"/>
              <w:bottom w:w="100" w:type="dxa"/>
              <w:end w:w="120" w:type="dxa"/>
            </w:tcMar>
            <w:tcBorders>
              <w:top w:val="single" w:sz="6" w:color="2A7F85"/>
              <w:left w:val="single" w:sz="6" w:color="2A7F85"/>
              <w:bottom w:val="single" w:sz="6" w:color="2A7F85"/>
              <w:right w:val="single" w:sz="6" w:color="2A7F85"/>
              <w:insideH w:val="single" w:sz="6" w:color="2A7F85"/>
              <w:insideV w:val="single" w:sz="6" w:color="2A7F85"/>
            </w:tcBorders>
          </w:tcPr>
          <w:p>
            <w:pPr>
              <w:keepLines/>
              <w:widowControl/>
              <w:spacing w:after="0" w:line="240" w:lineRule="auto"/>
            </w:pPr>
            <w:r/>
            <w:r>
              <w:rPr>
                <w:rFonts w:ascii="Aptos" w:hAnsi="Aptos"/>
                <w:b/>
                <w:color w:val="FFFFFF"/>
                <w:sz w:val="15"/>
              </w:rPr>
              <w:t>Legacy ledger</w:t>
            </w:r>
          </w:p>
        </w:tc>
        <w:tc>
          <w:tcPr>
            <w:tcW w:type="dxa" w:w="1450"/>
            <w:vAlign w:val="center"/>
            <w:shd w:fill="2A7F85"/>
            <w:tcMar>
              <w:top w:w="100" w:type="dxa"/>
              <w:start w:w="120" w:type="dxa"/>
              <w:bottom w:w="100" w:type="dxa"/>
              <w:end w:w="120" w:type="dxa"/>
            </w:tcMar>
            <w:tcBorders>
              <w:top w:val="single" w:sz="6" w:color="2A7F85"/>
              <w:left w:val="single" w:sz="6" w:color="2A7F85"/>
              <w:bottom w:val="single" w:sz="6" w:color="2A7F85"/>
              <w:right w:val="single" w:sz="6" w:color="2A7F85"/>
              <w:insideH w:val="single" w:sz="6" w:color="2A7F85"/>
              <w:insideV w:val="single" w:sz="6" w:color="2A7F85"/>
            </w:tcBorders>
          </w:tcPr>
          <w:p>
            <w:pPr>
              <w:keepLines/>
              <w:widowControl/>
              <w:spacing w:after="0" w:line="240" w:lineRule="auto"/>
            </w:pPr>
            <w:r/>
            <w:r>
              <w:rPr>
                <w:rFonts w:ascii="Aptos" w:hAnsi="Aptos"/>
                <w:b/>
                <w:color w:val="FFFFFF"/>
                <w:sz w:val="15"/>
              </w:rPr>
              <w:t>Action</w:t>
            </w:r>
          </w:p>
        </w:tc>
        <w:tc>
          <w:tcPr>
            <w:tcW w:type="dxa" w:w="2250"/>
            <w:vAlign w:val="center"/>
            <w:shd w:fill="2A7F85"/>
            <w:tcMar>
              <w:top w:w="100" w:type="dxa"/>
              <w:start w:w="120" w:type="dxa"/>
              <w:bottom w:w="100" w:type="dxa"/>
              <w:end w:w="120" w:type="dxa"/>
            </w:tcMar>
            <w:tcBorders>
              <w:top w:val="single" w:sz="6" w:color="2A7F85"/>
              <w:left w:val="single" w:sz="6" w:color="2A7F85"/>
              <w:bottom w:val="single" w:sz="6" w:color="2A7F85"/>
              <w:right w:val="single" w:sz="6" w:color="2A7F85"/>
              <w:insideH w:val="single" w:sz="6" w:color="2A7F85"/>
              <w:insideV w:val="single" w:sz="6" w:color="2A7F85"/>
            </w:tcBorders>
          </w:tcPr>
          <w:p>
            <w:pPr>
              <w:keepLines/>
              <w:widowControl/>
              <w:spacing w:after="0" w:line="240" w:lineRule="auto"/>
            </w:pPr>
            <w:r/>
            <w:r>
              <w:rPr>
                <w:rFonts w:ascii="Aptos" w:hAnsi="Aptos"/>
                <w:b/>
                <w:color w:val="FFFFFF"/>
                <w:sz w:val="15"/>
              </w:rPr>
              <w:t>New group/nature</w:t>
            </w:r>
          </w:p>
        </w:tc>
        <w:tc>
          <w:tcPr>
            <w:tcW w:type="dxa" w:w="3210"/>
            <w:vAlign w:val="center"/>
            <w:shd w:fill="2A7F85"/>
            <w:tcMar>
              <w:top w:w="100" w:type="dxa"/>
              <w:start w:w="120" w:type="dxa"/>
              <w:bottom w:w="100" w:type="dxa"/>
              <w:end w:w="120" w:type="dxa"/>
            </w:tcMar>
            <w:tcBorders>
              <w:top w:val="single" w:sz="6" w:color="2A7F85"/>
              <w:left w:val="single" w:sz="6" w:color="2A7F85"/>
              <w:bottom w:val="single" w:sz="6" w:color="2A7F85"/>
              <w:right w:val="single" w:sz="6" w:color="2A7F85"/>
              <w:insideH w:val="single" w:sz="6" w:color="2A7F85"/>
              <w:insideV w:val="single" w:sz="6" w:color="2A7F85"/>
            </w:tcBorders>
          </w:tcPr>
          <w:p>
            <w:pPr>
              <w:keepLines/>
              <w:widowControl/>
              <w:spacing w:after="0" w:line="240" w:lineRule="auto"/>
            </w:pPr>
            <w:r/>
            <w:r>
              <w:rPr>
                <w:rFonts w:ascii="Aptos" w:hAnsi="Aptos"/>
                <w:b/>
                <w:color w:val="FFFFFF"/>
                <w:sz w:val="15"/>
              </w:rPr>
              <w:t>Implementation note</w:t>
            </w:r>
          </w:p>
        </w:tc>
      </w:tr>
      <w:tr>
        <w:trPr>
          <w:cantSplit w:val="true"/>
        </w:trPr>
        <w:tc>
          <w:tcPr>
            <w:tcW w:type="dxa" w:w="24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color w:val="20262D"/>
                <w:sz w:val="15"/>
              </w:rPr>
              <w:t>HOME LOAN 35215</w:t>
            </w:r>
          </w:p>
        </w:tc>
        <w:tc>
          <w:tcPr>
            <w:tcW w:type="dxa" w:w="14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5"/>
              </w:rPr>
              <w:t>Do not recreate</w:t>
            </w:r>
          </w:p>
        </w:tc>
        <w:tc>
          <w:tcPr>
            <w:tcW w:type="dxa" w:w="22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5"/>
              </w:rPr>
              <w:t>Personal</w:t>
            </w:r>
          </w:p>
        </w:tc>
        <w:tc>
          <w:tcPr>
            <w:tcW w:type="dxa" w:w="321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5"/>
              </w:rPr>
              <w:t>Exclude from business. Business-paid amounts to Drawings.</w:t>
            </w:r>
          </w:p>
        </w:tc>
      </w:tr>
      <w:tr>
        <w:trPr>
          <w:cantSplit w:val="true"/>
        </w:trPr>
        <w:tc>
          <w:tcPr>
            <w:tcW w:type="dxa" w:w="24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color w:val="20262D"/>
                <w:sz w:val="15"/>
              </w:rPr>
              <w:t>ICICI-4260 Saving MK Choudhary</w:t>
            </w:r>
          </w:p>
        </w:tc>
        <w:tc>
          <w:tcPr>
            <w:tcW w:type="dxa" w:w="14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5"/>
              </w:rPr>
              <w:t>Do not recreate</w:t>
            </w:r>
          </w:p>
        </w:tc>
        <w:tc>
          <w:tcPr>
            <w:tcW w:type="dxa" w:w="22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5"/>
              </w:rPr>
              <w:t>Personal bank</w:t>
            </w:r>
          </w:p>
        </w:tc>
        <w:tc>
          <w:tcPr>
            <w:tcW w:type="dxa" w:w="321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5"/>
              </w:rPr>
              <w:t>Transfers from business to Drawings.</w:t>
            </w:r>
          </w:p>
        </w:tc>
      </w:tr>
      <w:tr>
        <w:trPr>
          <w:cantSplit w:val="true"/>
        </w:trPr>
        <w:tc>
          <w:tcPr>
            <w:tcW w:type="dxa" w:w="24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color w:val="20262D"/>
                <w:sz w:val="15"/>
              </w:rPr>
              <w:t>EMI-BUIS LOAN 20227</w:t>
            </w:r>
          </w:p>
        </w:tc>
        <w:tc>
          <w:tcPr>
            <w:tcW w:type="dxa" w:w="14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5"/>
              </w:rPr>
              <w:t>Replace</w:t>
            </w:r>
          </w:p>
        </w:tc>
        <w:tc>
          <w:tcPr>
            <w:tcW w:type="dxa" w:w="22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5"/>
              </w:rPr>
              <w:t>Secured Loans / Finance Costs</w:t>
            </w:r>
          </w:p>
        </w:tc>
        <w:tc>
          <w:tcPr>
            <w:tcW w:type="dxa" w:w="321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5"/>
              </w:rPr>
              <w:t>ICICI Business Loan A/c - 20227 plus Interest on Loans.</w:t>
            </w:r>
          </w:p>
        </w:tc>
      </w:tr>
      <w:tr>
        <w:trPr>
          <w:cantSplit w:val="true"/>
        </w:trPr>
        <w:tc>
          <w:tcPr>
            <w:tcW w:type="dxa" w:w="24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color w:val="20262D"/>
                <w:sz w:val="15"/>
              </w:rPr>
              <w:t>EMI-VEH 7595</w:t>
            </w:r>
          </w:p>
        </w:tc>
        <w:tc>
          <w:tcPr>
            <w:tcW w:type="dxa" w:w="14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5"/>
              </w:rPr>
              <w:t>Replace</w:t>
            </w:r>
          </w:p>
        </w:tc>
        <w:tc>
          <w:tcPr>
            <w:tcW w:type="dxa" w:w="22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5"/>
              </w:rPr>
              <w:t>Secured Loans / Finance Costs</w:t>
            </w:r>
          </w:p>
        </w:tc>
        <w:tc>
          <w:tcPr>
            <w:tcW w:type="dxa" w:w="321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5"/>
              </w:rPr>
              <w:t>Vehicle Loan A/c - 7595 plus Interest on Loans.</w:t>
            </w:r>
          </w:p>
        </w:tc>
      </w:tr>
      <w:tr>
        <w:trPr>
          <w:cantSplit w:val="true"/>
        </w:trPr>
        <w:tc>
          <w:tcPr>
            <w:tcW w:type="dxa" w:w="24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color w:val="20262D"/>
                <w:sz w:val="15"/>
              </w:rPr>
              <w:t>VEH EMI 4339 (XL6 8295)</w:t>
            </w:r>
          </w:p>
        </w:tc>
        <w:tc>
          <w:tcPr>
            <w:tcW w:type="dxa" w:w="14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5"/>
              </w:rPr>
              <w:t>Replace</w:t>
            </w:r>
          </w:p>
        </w:tc>
        <w:tc>
          <w:tcPr>
            <w:tcW w:type="dxa" w:w="22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5"/>
              </w:rPr>
              <w:t>Secured Loans / Finance Costs</w:t>
            </w:r>
          </w:p>
        </w:tc>
        <w:tc>
          <w:tcPr>
            <w:tcW w:type="dxa" w:w="321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5"/>
              </w:rPr>
              <w:t>Vehicle Loan A/c - XL6 8295 plus Interest on Loans.</w:t>
            </w:r>
          </w:p>
        </w:tc>
      </w:tr>
      <w:tr>
        <w:trPr>
          <w:cantSplit w:val="true"/>
        </w:trPr>
        <w:tc>
          <w:tcPr>
            <w:tcW w:type="dxa" w:w="24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color w:val="20262D"/>
                <w:sz w:val="15"/>
              </w:rPr>
              <w:t>A/C 007 PAT; AC 594 PAT</w:t>
            </w:r>
          </w:p>
        </w:tc>
        <w:tc>
          <w:tcPr>
            <w:tcW w:type="dxa" w:w="14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5"/>
              </w:rPr>
              <w:t>Identify and rename</w:t>
            </w:r>
          </w:p>
        </w:tc>
        <w:tc>
          <w:tcPr>
            <w:tcW w:type="dxa" w:w="22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5"/>
              </w:rPr>
              <w:t>Bank Accounts</w:t>
            </w:r>
          </w:p>
        </w:tc>
        <w:tc>
          <w:tcPr>
            <w:tcW w:type="dxa" w:w="321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5"/>
              </w:rPr>
              <w:t>Use bank/type/last four/branch naming after statement verification.</w:t>
            </w:r>
          </w:p>
        </w:tc>
      </w:tr>
      <w:tr>
        <w:trPr>
          <w:cantSplit w:val="true"/>
        </w:trPr>
        <w:tc>
          <w:tcPr>
            <w:tcW w:type="dxa" w:w="24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color w:val="20262D"/>
                <w:sz w:val="15"/>
              </w:rPr>
              <w:t>CANARA BANK ...1205 Patna</w:t>
            </w:r>
          </w:p>
        </w:tc>
        <w:tc>
          <w:tcPr>
            <w:tcW w:type="dxa" w:w="14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5"/>
              </w:rPr>
              <w:t>Rename</w:t>
            </w:r>
          </w:p>
        </w:tc>
        <w:tc>
          <w:tcPr>
            <w:tcW w:type="dxa" w:w="22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5"/>
              </w:rPr>
              <w:t>Bank Accounts</w:t>
            </w:r>
          </w:p>
        </w:tc>
        <w:tc>
          <w:tcPr>
            <w:tcW w:type="dxa" w:w="321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5"/>
              </w:rPr>
              <w:t>Canara Bank - CA - 1205 - Patna.</w:t>
            </w:r>
          </w:p>
        </w:tc>
      </w:tr>
      <w:tr>
        <w:trPr>
          <w:cantSplit w:val="true"/>
        </w:trPr>
        <w:tc>
          <w:tcPr>
            <w:tcW w:type="dxa" w:w="24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color w:val="20262D"/>
                <w:sz w:val="15"/>
              </w:rPr>
              <w:t>POS SALE MID-165752 (594 AC)</w:t>
            </w:r>
          </w:p>
        </w:tc>
        <w:tc>
          <w:tcPr>
            <w:tcW w:type="dxa" w:w="14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5"/>
              </w:rPr>
              <w:t>Replace</w:t>
            </w:r>
          </w:p>
        </w:tc>
        <w:tc>
          <w:tcPr>
            <w:tcW w:type="dxa" w:w="22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5"/>
              </w:rPr>
              <w:t>Current Assets</w:t>
            </w:r>
          </w:p>
        </w:tc>
        <w:tc>
          <w:tcPr>
            <w:tcW w:type="dxa" w:w="321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5"/>
              </w:rPr>
              <w:t>POS Clearing Settlement A/c; bank separately.</w:t>
            </w:r>
          </w:p>
        </w:tc>
      </w:tr>
      <w:tr>
        <w:trPr>
          <w:cantSplit w:val="true"/>
        </w:trPr>
        <w:tc>
          <w:tcPr>
            <w:tcW w:type="dxa" w:w="24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color w:val="20262D"/>
                <w:sz w:val="15"/>
              </w:rPr>
              <w:t>All DS # ledgers</w:t>
            </w:r>
          </w:p>
        </w:tc>
        <w:tc>
          <w:tcPr>
            <w:tcW w:type="dxa" w:w="14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5"/>
              </w:rPr>
              <w:t>Do not recreate</w:t>
            </w:r>
          </w:p>
        </w:tc>
        <w:tc>
          <w:tcPr>
            <w:tcW w:type="dxa" w:w="22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5"/>
              </w:rPr>
              <w:t>Cash-in-Hand</w:t>
            </w:r>
          </w:p>
        </w:tc>
        <w:tc>
          <w:tcPr>
            <w:tcW w:type="dxa" w:w="321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5"/>
              </w:rPr>
              <w:t>One Cash - Branch ledger with branch controls.</w:t>
            </w:r>
          </w:p>
        </w:tc>
      </w:tr>
      <w:tr>
        <w:trPr>
          <w:cantSplit w:val="true"/>
        </w:trPr>
        <w:tc>
          <w:tcPr>
            <w:tcW w:type="dxa" w:w="24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color w:val="20262D"/>
                <w:sz w:val="15"/>
              </w:rPr>
              <w:t>Wallet/employee cash ledgers</w:t>
            </w:r>
          </w:p>
        </w:tc>
        <w:tc>
          <w:tcPr>
            <w:tcW w:type="dxa" w:w="14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5"/>
              </w:rPr>
              <w:t>Replace</w:t>
            </w:r>
          </w:p>
        </w:tc>
        <w:tc>
          <w:tcPr>
            <w:tcW w:type="dxa" w:w="22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5"/>
              </w:rPr>
              <w:t>Loans &amp; Advances (Asset)</w:t>
            </w:r>
          </w:p>
        </w:tc>
        <w:tc>
          <w:tcPr>
            <w:tcW w:type="dxa" w:w="321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5"/>
              </w:rPr>
              <w:t>Imprest A/c - Employee after confirmation.</w:t>
            </w:r>
          </w:p>
        </w:tc>
      </w:tr>
      <w:tr>
        <w:trPr>
          <w:cantSplit w:val="true"/>
        </w:trPr>
        <w:tc>
          <w:tcPr>
            <w:tcW w:type="dxa" w:w="24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color w:val="20262D"/>
                <w:sz w:val="15"/>
              </w:rPr>
              <w:t>V Ac 2162_IDFC_Cash Book</w:t>
            </w:r>
          </w:p>
        </w:tc>
        <w:tc>
          <w:tcPr>
            <w:tcW w:type="dxa" w:w="14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5"/>
              </w:rPr>
              <w:t>Identify</w:t>
            </w:r>
          </w:p>
        </w:tc>
        <w:tc>
          <w:tcPr>
            <w:tcW w:type="dxa" w:w="22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5"/>
              </w:rPr>
              <w:t>Bank/Cash/Imprest</w:t>
            </w:r>
          </w:p>
        </w:tc>
        <w:tc>
          <w:tcPr>
            <w:tcW w:type="dxa" w:w="321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5"/>
              </w:rPr>
              <w:t>Map only after statement and ownership verification.</w:t>
            </w:r>
          </w:p>
        </w:tc>
      </w:tr>
      <w:tr>
        <w:trPr>
          <w:cantSplit w:val="true"/>
        </w:trPr>
        <w:tc>
          <w:tcPr>
            <w:tcW w:type="dxa" w:w="24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color w:val="20262D"/>
                <w:sz w:val="15"/>
              </w:rPr>
              <w:t>Location/Copy supplier duplicates</w:t>
            </w:r>
          </w:p>
        </w:tc>
        <w:tc>
          <w:tcPr>
            <w:tcW w:type="dxa" w:w="14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5"/>
              </w:rPr>
              <w:t>Merge in new chart</w:t>
            </w:r>
          </w:p>
        </w:tc>
        <w:tc>
          <w:tcPr>
            <w:tcW w:type="dxa" w:w="22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5"/>
              </w:rPr>
              <w:t>Sundry Creditors</w:t>
            </w:r>
          </w:p>
        </w:tc>
        <w:tc>
          <w:tcPr>
            <w:tcW w:type="dxa" w:w="321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5"/>
              </w:rPr>
              <w:t>One master per legal entity/GSTIN; retain branch tag separately.</w:t>
            </w:r>
          </w:p>
        </w:tc>
      </w:tr>
      <w:tr>
        <w:trPr>
          <w:cantSplit w:val="true"/>
        </w:trPr>
        <w:tc>
          <w:tcPr>
            <w:tcW w:type="dxa" w:w="24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color w:val="20262D"/>
                <w:sz w:val="15"/>
              </w:rPr>
              <w:t>Sale / Sales duplicates</w:t>
            </w:r>
          </w:p>
        </w:tc>
        <w:tc>
          <w:tcPr>
            <w:tcW w:type="dxa" w:w="14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5"/>
              </w:rPr>
              <w:t>Replace</w:t>
            </w:r>
          </w:p>
        </w:tc>
        <w:tc>
          <w:tcPr>
            <w:tcW w:type="dxa" w:w="22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5"/>
              </w:rPr>
              <w:t>Sales Accounts</w:t>
            </w:r>
          </w:p>
        </w:tc>
        <w:tc>
          <w:tcPr>
            <w:tcW w:type="dxa" w:w="321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5"/>
              </w:rPr>
              <w:t>Sales - Exempt (Books); Sales - Taxable; returns separately where applicable.</w:t>
            </w:r>
          </w:p>
        </w:tc>
      </w:tr>
      <w:tr>
        <w:trPr>
          <w:cantSplit w:val="true"/>
        </w:trPr>
        <w:tc>
          <w:tcPr>
            <w:tcW w:type="dxa" w:w="24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color w:val="20262D"/>
                <w:sz w:val="15"/>
              </w:rPr>
              <w:t>Short Books</w:t>
            </w:r>
          </w:p>
        </w:tc>
        <w:tc>
          <w:tcPr>
            <w:tcW w:type="dxa" w:w="14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5"/>
              </w:rPr>
              <w:t>Investigate</w:t>
            </w:r>
          </w:p>
        </w:tc>
        <w:tc>
          <w:tcPr>
            <w:tcW w:type="dxa" w:w="22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5"/>
              </w:rPr>
              <w:t>Stock shortage / Sales return / Damage / Other</w:t>
            </w:r>
          </w:p>
        </w:tc>
        <w:tc>
          <w:tcPr>
            <w:tcW w:type="dxa" w:w="321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5"/>
              </w:rPr>
              <w:t>Define actual nature before mapping; do not migrate an ambiguous label.</w:t>
            </w:r>
          </w:p>
        </w:tc>
      </w:tr>
      <w:tr>
        <w:trPr>
          <w:cantSplit w:val="true"/>
        </w:trPr>
        <w:tc>
          <w:tcPr>
            <w:tcW w:type="dxa" w:w="24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color w:val="20262D"/>
                <w:sz w:val="15"/>
              </w:rPr>
              <w:t>Duplicate Purchase ledgers</w:t>
            </w:r>
          </w:p>
        </w:tc>
        <w:tc>
          <w:tcPr>
            <w:tcW w:type="dxa" w:w="14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5"/>
              </w:rPr>
              <w:t>Replace</w:t>
            </w:r>
          </w:p>
        </w:tc>
        <w:tc>
          <w:tcPr>
            <w:tcW w:type="dxa" w:w="22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5"/>
              </w:rPr>
              <w:t>Purchase Accounts</w:t>
            </w:r>
          </w:p>
        </w:tc>
        <w:tc>
          <w:tcPr>
            <w:tcW w:type="dxa" w:w="321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5"/>
              </w:rPr>
              <w:t>Purchases - Exempt (Books); Purchases - Taxable.</w:t>
            </w:r>
          </w:p>
        </w:tc>
      </w:tr>
      <w:tr>
        <w:trPr>
          <w:cantSplit w:val="true"/>
        </w:trPr>
        <w:tc>
          <w:tcPr>
            <w:tcW w:type="dxa" w:w="24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color w:val="20262D"/>
                <w:sz w:val="15"/>
              </w:rPr>
              <w:t>Office Expenses #</w:t>
            </w:r>
          </w:p>
        </w:tc>
        <w:tc>
          <w:tcPr>
            <w:tcW w:type="dxa" w:w="14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5"/>
              </w:rPr>
              <w:t>Rename/regroup</w:t>
            </w:r>
          </w:p>
        </w:tc>
        <w:tc>
          <w:tcPr>
            <w:tcW w:type="dxa" w:w="22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5"/>
              </w:rPr>
              <w:t>Administrative Expenses</w:t>
            </w:r>
          </w:p>
        </w:tc>
        <w:tc>
          <w:tcPr>
            <w:tcW w:type="dxa" w:w="321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5"/>
              </w:rPr>
              <w:t>Office Expenses or more specific approved head; remove #.</w:t>
            </w:r>
          </w:p>
        </w:tc>
      </w:tr>
      <w:tr>
        <w:trPr>
          <w:cantSplit w:val="true"/>
        </w:trPr>
        <w:tc>
          <w:tcPr>
            <w:tcW w:type="dxa" w:w="24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color w:val="20262D"/>
                <w:sz w:val="15"/>
              </w:rPr>
              <w:t>Sample Exp #</w:t>
            </w:r>
          </w:p>
        </w:tc>
        <w:tc>
          <w:tcPr>
            <w:tcW w:type="dxa" w:w="14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5"/>
              </w:rPr>
              <w:t>Rename/regroup</w:t>
            </w:r>
          </w:p>
        </w:tc>
        <w:tc>
          <w:tcPr>
            <w:tcW w:type="dxa" w:w="22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5"/>
              </w:rPr>
              <w:t>Selling &amp; Distribution</w:t>
            </w:r>
          </w:p>
        </w:tc>
        <w:tc>
          <w:tcPr>
            <w:tcW w:type="dxa" w:w="321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5"/>
              </w:rPr>
              <w:t>Sample Expense; evidence and policy required.</w:t>
            </w:r>
          </w:p>
        </w:tc>
      </w:tr>
      <w:tr>
        <w:trPr>
          <w:cantSplit w:val="true"/>
        </w:trPr>
        <w:tc>
          <w:tcPr>
            <w:tcW w:type="dxa" w:w="24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color w:val="20262D"/>
                <w:sz w:val="15"/>
              </w:rPr>
              <w:t>Staff Welfare #</w:t>
            </w:r>
          </w:p>
        </w:tc>
        <w:tc>
          <w:tcPr>
            <w:tcW w:type="dxa" w:w="14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5"/>
              </w:rPr>
              <w:t>Rename/regroup</w:t>
            </w:r>
          </w:p>
        </w:tc>
        <w:tc>
          <w:tcPr>
            <w:tcW w:type="dxa" w:w="22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5"/>
              </w:rPr>
              <w:t>Employee Benefit Expenses</w:t>
            </w:r>
          </w:p>
        </w:tc>
        <w:tc>
          <w:tcPr>
            <w:tcW w:type="dxa" w:w="321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5"/>
              </w:rPr>
              <w:t>Staff Welfare; remove #.</w:t>
            </w:r>
          </w:p>
        </w:tc>
      </w:tr>
      <w:tr>
        <w:trPr>
          <w:cantSplit w:val="true"/>
        </w:trPr>
        <w:tc>
          <w:tcPr>
            <w:tcW w:type="dxa" w:w="24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color w:val="20262D"/>
                <w:sz w:val="15"/>
              </w:rPr>
              <w:t>Suspense / Suspence / X-series</w:t>
            </w:r>
          </w:p>
        </w:tc>
        <w:tc>
          <w:tcPr>
            <w:tcW w:type="dxa" w:w="14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5"/>
              </w:rPr>
              <w:t>Do not recreate</w:t>
            </w:r>
          </w:p>
        </w:tc>
        <w:tc>
          <w:tcPr>
            <w:tcW w:type="dxa" w:w="22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5"/>
              </w:rPr>
              <w:t>To be determined</w:t>
            </w:r>
          </w:p>
        </w:tc>
        <w:tc>
          <w:tcPr>
            <w:tcW w:type="dxa" w:w="321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5"/>
              </w:rPr>
              <w:t>Trace voucher by voucher; approved final treatment only.</w:t>
            </w:r>
          </w:p>
        </w:tc>
      </w:tr>
      <w:tr>
        <w:trPr>
          <w:cantSplit w:val="true"/>
        </w:trPr>
        <w:tc>
          <w:tcPr>
            <w:tcW w:type="dxa" w:w="24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color w:val="20262D"/>
                <w:sz w:val="15"/>
              </w:rPr>
              <w:t>Discount Party - Aayush/Viveka</w:t>
            </w:r>
          </w:p>
        </w:tc>
        <w:tc>
          <w:tcPr>
            <w:tcW w:type="dxa" w:w="14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5"/>
              </w:rPr>
              <w:t>Do not carry as-is</w:t>
            </w:r>
          </w:p>
        </w:tc>
        <w:tc>
          <w:tcPr>
            <w:tcW w:type="dxa" w:w="22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5"/>
              </w:rPr>
              <w:t>To be determined</w:t>
            </w:r>
          </w:p>
        </w:tc>
        <w:tc>
          <w:tcPr>
            <w:tcW w:type="dxa" w:w="321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5"/>
              </w:rPr>
              <w:t>Credit note, bad debt, drawings or other supported classification.</w:t>
            </w:r>
          </w:p>
        </w:tc>
      </w:tr>
    </w:tbl>
    <w:p>
      <w:pPr>
        <w:widowControl/>
        <w:spacing w:after="20"/>
      </w:pPr>
    </w:p>
    <w:p>
      <w:pPr>
        <w:pStyle w:val="Heading1"/>
        <w:keepNext/>
        <w:widowControl/>
      </w:pPr>
      <w:r>
        <w:t>Annexure B - Exception Register template</w:t>
      </w:r>
    </w:p>
    <w:p>
      <w:pPr>
        <w:widowControl/>
      </w:pPr>
      <w:r>
        <w:rPr>
          <w:rFonts w:ascii="Aptos" w:hAnsi="Aptos"/>
          <w:i w:val="0"/>
        </w:rPr>
        <w:t>Use one row for each unresolved balance or correction. The register should be updated before every weekly review.</w:t>
      </w:r>
    </w:p>
    <w:tbl>
      <w:tblPr>
        <w:tblW w:type="dxa" w:w="9360"/>
        <w:jc w:val="left"/>
        <w:tblLayout w:type="fixed"/>
        <w:tblLook w:firstColumn="1" w:firstRow="1" w:lastColumn="0" w:lastRow="0" w:noHBand="0" w:noVBand="1" w:val="04A0"/>
        <w:tblInd w:w="120" w:type="dxa"/>
      </w:tblPr>
      <w:tblGrid>
        <w:gridCol w:w="850"/>
        <w:gridCol w:w="1550"/>
        <w:gridCol w:w="1100"/>
        <w:gridCol w:w="2050"/>
        <w:gridCol w:w="2200"/>
        <w:gridCol w:w="1610"/>
      </w:tblGrid>
      <w:tr>
        <w:trPr>
          <w:tblHeader w:val="true"/>
          <w:cantSplit w:val="true"/>
        </w:trPr>
        <w:tc>
          <w:tcPr>
            <w:tcW w:type="dxa" w:w="850"/>
            <w:vAlign w:val="center"/>
            <w:shd w:fill="17324D"/>
            <w:tcMar>
              <w:top w:w="100" w:type="dxa"/>
              <w:start w:w="120" w:type="dxa"/>
              <w:bottom w:w="100" w:type="dxa"/>
              <w:end w:w="120" w:type="dxa"/>
            </w:tcMar>
            <w:tcBorders>
              <w:top w:val="single" w:sz="6" w:color="17324D"/>
              <w:left w:val="single" w:sz="6" w:color="17324D"/>
              <w:bottom w:val="single" w:sz="6" w:color="17324D"/>
              <w:right w:val="single" w:sz="6" w:color="17324D"/>
              <w:insideH w:val="single" w:sz="6" w:color="17324D"/>
              <w:insideV w:val="single" w:sz="6" w:color="17324D"/>
            </w:tcBorders>
          </w:tcPr>
          <w:p>
            <w:pPr>
              <w:keepLines/>
              <w:widowControl/>
              <w:spacing w:after="0" w:line="240" w:lineRule="auto"/>
            </w:pPr>
            <w:r/>
            <w:r>
              <w:rPr>
                <w:rFonts w:ascii="Aptos" w:hAnsi="Aptos"/>
                <w:b/>
                <w:color w:val="FFFFFF"/>
                <w:sz w:val="16"/>
              </w:rPr>
              <w:t>ID</w:t>
            </w:r>
          </w:p>
        </w:tc>
        <w:tc>
          <w:tcPr>
            <w:tcW w:type="dxa" w:w="1550"/>
            <w:vAlign w:val="center"/>
            <w:shd w:fill="17324D"/>
            <w:tcMar>
              <w:top w:w="100" w:type="dxa"/>
              <w:start w:w="120" w:type="dxa"/>
              <w:bottom w:w="100" w:type="dxa"/>
              <w:end w:w="120" w:type="dxa"/>
            </w:tcMar>
            <w:tcBorders>
              <w:top w:val="single" w:sz="6" w:color="17324D"/>
              <w:left w:val="single" w:sz="6" w:color="17324D"/>
              <w:bottom w:val="single" w:sz="6" w:color="17324D"/>
              <w:right w:val="single" w:sz="6" w:color="17324D"/>
              <w:insideH w:val="single" w:sz="6" w:color="17324D"/>
              <w:insideV w:val="single" w:sz="6" w:color="17324D"/>
            </w:tcBorders>
          </w:tcPr>
          <w:p>
            <w:pPr>
              <w:keepLines/>
              <w:widowControl/>
              <w:spacing w:after="0" w:line="240" w:lineRule="auto"/>
            </w:pPr>
            <w:r/>
            <w:r>
              <w:rPr>
                <w:rFonts w:ascii="Aptos" w:hAnsi="Aptos"/>
                <w:b/>
                <w:color w:val="FFFFFF"/>
                <w:sz w:val="16"/>
              </w:rPr>
              <w:t>Reference</w:t>
            </w:r>
          </w:p>
        </w:tc>
        <w:tc>
          <w:tcPr>
            <w:tcW w:type="dxa" w:w="1100"/>
            <w:vAlign w:val="center"/>
            <w:shd w:fill="17324D"/>
            <w:tcMar>
              <w:top w:w="100" w:type="dxa"/>
              <w:start w:w="120" w:type="dxa"/>
              <w:bottom w:w="100" w:type="dxa"/>
              <w:end w:w="120" w:type="dxa"/>
            </w:tcMar>
            <w:tcBorders>
              <w:top w:val="single" w:sz="6" w:color="17324D"/>
              <w:left w:val="single" w:sz="6" w:color="17324D"/>
              <w:bottom w:val="single" w:sz="6" w:color="17324D"/>
              <w:right w:val="single" w:sz="6" w:color="17324D"/>
              <w:insideH w:val="single" w:sz="6" w:color="17324D"/>
              <w:insideV w:val="single" w:sz="6" w:color="17324D"/>
            </w:tcBorders>
          </w:tcPr>
          <w:p>
            <w:pPr>
              <w:keepLines/>
              <w:widowControl/>
              <w:spacing w:after="0" w:line="240" w:lineRule="auto"/>
            </w:pPr>
            <w:r/>
            <w:r>
              <w:rPr>
                <w:rFonts w:ascii="Aptos" w:hAnsi="Aptos"/>
                <w:b/>
                <w:color w:val="FFFFFF"/>
                <w:sz w:val="16"/>
              </w:rPr>
              <w:t>Value</w:t>
            </w:r>
          </w:p>
        </w:tc>
        <w:tc>
          <w:tcPr>
            <w:tcW w:type="dxa" w:w="2050"/>
            <w:vAlign w:val="center"/>
            <w:shd w:fill="17324D"/>
            <w:tcMar>
              <w:top w:w="100" w:type="dxa"/>
              <w:start w:w="120" w:type="dxa"/>
              <w:bottom w:w="100" w:type="dxa"/>
              <w:end w:w="120" w:type="dxa"/>
            </w:tcMar>
            <w:tcBorders>
              <w:top w:val="single" w:sz="6" w:color="17324D"/>
              <w:left w:val="single" w:sz="6" w:color="17324D"/>
              <w:bottom w:val="single" w:sz="6" w:color="17324D"/>
              <w:right w:val="single" w:sz="6" w:color="17324D"/>
              <w:insideH w:val="single" w:sz="6" w:color="17324D"/>
              <w:insideV w:val="single" w:sz="6" w:color="17324D"/>
            </w:tcBorders>
          </w:tcPr>
          <w:p>
            <w:pPr>
              <w:keepLines/>
              <w:widowControl/>
              <w:spacing w:after="0" w:line="240" w:lineRule="auto"/>
            </w:pPr>
            <w:r/>
            <w:r>
              <w:rPr>
                <w:rFonts w:ascii="Aptos" w:hAnsi="Aptos"/>
                <w:b/>
                <w:color w:val="FFFFFF"/>
                <w:sz w:val="16"/>
              </w:rPr>
              <w:t>Finding</w:t>
            </w:r>
          </w:p>
        </w:tc>
        <w:tc>
          <w:tcPr>
            <w:tcW w:type="dxa" w:w="2200"/>
            <w:vAlign w:val="center"/>
            <w:shd w:fill="17324D"/>
            <w:tcMar>
              <w:top w:w="100" w:type="dxa"/>
              <w:start w:w="120" w:type="dxa"/>
              <w:bottom w:w="100" w:type="dxa"/>
              <w:end w:w="120" w:type="dxa"/>
            </w:tcMar>
            <w:tcBorders>
              <w:top w:val="single" w:sz="6" w:color="17324D"/>
              <w:left w:val="single" w:sz="6" w:color="17324D"/>
              <w:bottom w:val="single" w:sz="6" w:color="17324D"/>
              <w:right w:val="single" w:sz="6" w:color="17324D"/>
              <w:insideH w:val="single" w:sz="6" w:color="17324D"/>
              <w:insideV w:val="single" w:sz="6" w:color="17324D"/>
            </w:tcBorders>
          </w:tcPr>
          <w:p>
            <w:pPr>
              <w:keepLines/>
              <w:widowControl/>
              <w:spacing w:after="0" w:line="240" w:lineRule="auto"/>
            </w:pPr>
            <w:r/>
            <w:r>
              <w:rPr>
                <w:rFonts w:ascii="Aptos" w:hAnsi="Aptos"/>
                <w:b/>
                <w:color w:val="FFFFFF"/>
                <w:sz w:val="16"/>
              </w:rPr>
              <w:t>Next action</w:t>
            </w:r>
          </w:p>
        </w:tc>
        <w:tc>
          <w:tcPr>
            <w:tcW w:type="dxa" w:w="1610"/>
            <w:vAlign w:val="center"/>
            <w:shd w:fill="17324D"/>
            <w:tcMar>
              <w:top w:w="100" w:type="dxa"/>
              <w:start w:w="120" w:type="dxa"/>
              <w:bottom w:w="100" w:type="dxa"/>
              <w:end w:w="120" w:type="dxa"/>
            </w:tcMar>
            <w:tcBorders>
              <w:top w:val="single" w:sz="6" w:color="17324D"/>
              <w:left w:val="single" w:sz="6" w:color="17324D"/>
              <w:bottom w:val="single" w:sz="6" w:color="17324D"/>
              <w:right w:val="single" w:sz="6" w:color="17324D"/>
              <w:insideH w:val="single" w:sz="6" w:color="17324D"/>
              <w:insideV w:val="single" w:sz="6" w:color="17324D"/>
            </w:tcBorders>
          </w:tcPr>
          <w:p>
            <w:pPr>
              <w:keepLines/>
              <w:widowControl/>
              <w:spacing w:after="0" w:line="240" w:lineRule="auto"/>
            </w:pPr>
            <w:r/>
            <w:r>
              <w:rPr>
                <w:rFonts w:ascii="Aptos" w:hAnsi="Aptos"/>
                <w:b/>
                <w:color w:val="FFFFFF"/>
                <w:sz w:val="16"/>
              </w:rPr>
              <w:t>Status</w:t>
            </w:r>
          </w:p>
        </w:tc>
      </w:tr>
      <w:tr>
        <w:trPr>
          <w:cantSplit w:val="true"/>
        </w:trPr>
        <w:tc>
          <w:tcPr>
            <w:tcW w:type="dxa" w:w="8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6"/>
              </w:rPr>
              <w:t>EX-001</w:t>
            </w:r>
          </w:p>
        </w:tc>
        <w:tc>
          <w:tcPr>
            <w:tcW w:type="dxa" w:w="15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6"/>
              </w:rPr>
              <w:t>Ledger / voucher / date</w:t>
            </w:r>
          </w:p>
        </w:tc>
        <w:tc>
          <w:tcPr>
            <w:tcW w:type="dxa" w:w="11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6"/>
              </w:rPr>
              <w:t>Amount Dr/Cr</w:t>
            </w:r>
          </w:p>
        </w:tc>
        <w:tc>
          <w:tcPr>
            <w:tcW w:type="dxa" w:w="20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6"/>
              </w:rPr>
              <w:t>Issue and possible cause</w:t>
            </w:r>
          </w:p>
        </w:tc>
        <w:tc>
          <w:tcPr>
            <w:tcW w:type="dxa" w:w="22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6"/>
              </w:rPr>
              <w:t>Evidence/owner/due date</w:t>
            </w:r>
          </w:p>
        </w:tc>
        <w:tc>
          <w:tcPr>
            <w:tcW w:type="dxa" w:w="161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6"/>
              </w:rPr>
              <w:t>Open / approved / posted / verified</w:t>
            </w:r>
          </w:p>
        </w:tc>
      </w:tr>
      <w:tr>
        <w:trPr>
          <w:cantSplit w:val="true"/>
        </w:trPr>
        <w:tc>
          <w:tcPr>
            <w:tcW w:type="dxa" w:w="8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6"/>
              </w:rPr>
              <w:t>EX-002</w:t>
            </w:r>
          </w:p>
        </w:tc>
        <w:tc>
          <w:tcPr>
            <w:tcW w:type="dxa" w:w="15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6"/>
              </w:rPr>
            </w:r>
          </w:p>
        </w:tc>
        <w:tc>
          <w:tcPr>
            <w:tcW w:type="dxa" w:w="11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6"/>
              </w:rPr>
            </w:r>
          </w:p>
        </w:tc>
        <w:tc>
          <w:tcPr>
            <w:tcW w:type="dxa" w:w="20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6"/>
              </w:rPr>
            </w:r>
          </w:p>
        </w:tc>
        <w:tc>
          <w:tcPr>
            <w:tcW w:type="dxa" w:w="22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6"/>
              </w:rPr>
            </w:r>
          </w:p>
        </w:tc>
        <w:tc>
          <w:tcPr>
            <w:tcW w:type="dxa" w:w="161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6"/>
              </w:rPr>
            </w:r>
          </w:p>
        </w:tc>
      </w:tr>
      <w:tr>
        <w:trPr>
          <w:cantSplit w:val="true"/>
        </w:trPr>
        <w:tc>
          <w:tcPr>
            <w:tcW w:type="dxa" w:w="8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6"/>
              </w:rPr>
              <w:t>EX-003</w:t>
            </w:r>
          </w:p>
        </w:tc>
        <w:tc>
          <w:tcPr>
            <w:tcW w:type="dxa" w:w="15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6"/>
              </w:rPr>
            </w:r>
          </w:p>
        </w:tc>
        <w:tc>
          <w:tcPr>
            <w:tcW w:type="dxa" w:w="11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6"/>
              </w:rPr>
            </w:r>
          </w:p>
        </w:tc>
        <w:tc>
          <w:tcPr>
            <w:tcW w:type="dxa" w:w="20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6"/>
              </w:rPr>
            </w:r>
          </w:p>
        </w:tc>
        <w:tc>
          <w:tcPr>
            <w:tcW w:type="dxa" w:w="22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6"/>
              </w:rPr>
            </w:r>
          </w:p>
        </w:tc>
        <w:tc>
          <w:tcPr>
            <w:tcW w:type="dxa" w:w="161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6"/>
              </w:rPr>
            </w:r>
          </w:p>
        </w:tc>
      </w:tr>
      <w:tr>
        <w:trPr>
          <w:cantSplit w:val="true"/>
        </w:trPr>
        <w:tc>
          <w:tcPr>
            <w:tcW w:type="dxa" w:w="8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6"/>
              </w:rPr>
              <w:t>EX-004</w:t>
            </w:r>
          </w:p>
        </w:tc>
        <w:tc>
          <w:tcPr>
            <w:tcW w:type="dxa" w:w="15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6"/>
              </w:rPr>
            </w:r>
          </w:p>
        </w:tc>
        <w:tc>
          <w:tcPr>
            <w:tcW w:type="dxa" w:w="11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6"/>
              </w:rPr>
            </w:r>
          </w:p>
        </w:tc>
        <w:tc>
          <w:tcPr>
            <w:tcW w:type="dxa" w:w="20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6"/>
              </w:rPr>
            </w:r>
          </w:p>
        </w:tc>
        <w:tc>
          <w:tcPr>
            <w:tcW w:type="dxa" w:w="22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6"/>
              </w:rPr>
            </w:r>
          </w:p>
        </w:tc>
        <w:tc>
          <w:tcPr>
            <w:tcW w:type="dxa" w:w="161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6"/>
              </w:rPr>
            </w:r>
          </w:p>
        </w:tc>
      </w:tr>
      <w:tr>
        <w:trPr>
          <w:cantSplit w:val="true"/>
        </w:trPr>
        <w:tc>
          <w:tcPr>
            <w:tcW w:type="dxa" w:w="8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6"/>
              </w:rPr>
              <w:t>EX-005</w:t>
            </w:r>
          </w:p>
        </w:tc>
        <w:tc>
          <w:tcPr>
            <w:tcW w:type="dxa" w:w="15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6"/>
              </w:rPr>
            </w:r>
          </w:p>
        </w:tc>
        <w:tc>
          <w:tcPr>
            <w:tcW w:type="dxa" w:w="11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6"/>
              </w:rPr>
            </w:r>
          </w:p>
        </w:tc>
        <w:tc>
          <w:tcPr>
            <w:tcW w:type="dxa" w:w="205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6"/>
              </w:rPr>
            </w:r>
          </w:p>
        </w:tc>
        <w:tc>
          <w:tcPr>
            <w:tcW w:type="dxa" w:w="22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6"/>
              </w:rPr>
            </w:r>
          </w:p>
        </w:tc>
        <w:tc>
          <w:tcPr>
            <w:tcW w:type="dxa" w:w="161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6"/>
              </w:rPr>
            </w:r>
          </w:p>
        </w:tc>
      </w:tr>
    </w:tbl>
    <w:p>
      <w:pPr>
        <w:widowControl/>
        <w:spacing w:after="20"/>
      </w:pPr>
    </w:p>
    <w:p>
      <w:pPr>
        <w:pStyle w:val="Heading2"/>
        <w:keepNext/>
        <w:widowControl/>
      </w:pPr>
      <w:r>
        <w:t>Minimum evidence attached to each closed exception</w:t>
      </w:r>
    </w:p>
    <w:p>
      <w:pPr>
        <w:widowControl/>
        <w:numPr>
          <w:ilvl w:val="0"/>
          <w:numId w:val="10"/>
        </w:numPr>
        <w:spacing w:after="80" w:line="269" w:lineRule="auto"/>
        <w:ind w:left="720" w:hanging="360"/>
      </w:pPr>
      <w:r>
        <w:rPr>
          <w:rFonts w:ascii="Aptos" w:hAnsi="Aptos"/>
        </w:rPr>
        <w:t>Source ledger/voucher extract and the original balance.</w:t>
      </w:r>
    </w:p>
    <w:p>
      <w:pPr>
        <w:widowControl/>
        <w:numPr>
          <w:ilvl w:val="0"/>
          <w:numId w:val="10"/>
        </w:numPr>
        <w:spacing w:after="80" w:line="269" w:lineRule="auto"/>
        <w:ind w:left="720" w:hanging="360"/>
      </w:pPr>
      <w:r>
        <w:rPr>
          <w:rFonts w:ascii="Aptos" w:hAnsi="Aptos"/>
        </w:rPr>
        <w:t>Supporting document or written explanation from an authorised person.</w:t>
      </w:r>
    </w:p>
    <w:p>
      <w:pPr>
        <w:widowControl/>
        <w:numPr>
          <w:ilvl w:val="0"/>
          <w:numId w:val="10"/>
        </w:numPr>
        <w:spacing w:after="80" w:line="269" w:lineRule="auto"/>
        <w:ind w:left="720" w:hanging="360"/>
      </w:pPr>
      <w:r>
        <w:rPr>
          <w:rFonts w:ascii="Aptos" w:hAnsi="Aptos"/>
        </w:rPr>
        <w:t>Proposed accounting treatment and tax impact, if any.</w:t>
      </w:r>
    </w:p>
    <w:p>
      <w:pPr>
        <w:widowControl/>
        <w:numPr>
          <w:ilvl w:val="0"/>
          <w:numId w:val="10"/>
        </w:numPr>
        <w:spacing w:after="80" w:line="269" w:lineRule="auto"/>
        <w:ind w:left="720" w:hanging="360"/>
      </w:pPr>
      <w:r>
        <w:rPr>
          <w:rFonts w:ascii="Aptos" w:hAnsi="Aptos"/>
        </w:rPr>
        <w:t>Approval record for material or judgemental items.</w:t>
      </w:r>
    </w:p>
    <w:p>
      <w:pPr>
        <w:widowControl/>
        <w:numPr>
          <w:ilvl w:val="0"/>
          <w:numId w:val="10"/>
        </w:numPr>
        <w:spacing w:after="80" w:line="269" w:lineRule="auto"/>
        <w:ind w:left="720" w:hanging="360"/>
      </w:pPr>
      <w:r>
        <w:rPr>
          <w:rFonts w:ascii="Aptos" w:hAnsi="Aptos"/>
        </w:rPr>
        <w:t>Correction voucher number and date.</w:t>
      </w:r>
    </w:p>
    <w:p>
      <w:pPr>
        <w:widowControl/>
        <w:numPr>
          <w:ilvl w:val="0"/>
          <w:numId w:val="10"/>
        </w:numPr>
        <w:spacing w:after="80" w:line="269" w:lineRule="auto"/>
        <w:ind w:left="720" w:hanging="360"/>
      </w:pPr>
      <w:r>
        <w:rPr>
          <w:rFonts w:ascii="Aptos" w:hAnsi="Aptos"/>
        </w:rPr>
        <w:t>Reviewer confirmation that the new balance/report is correct.</w:t>
      </w:r>
    </w:p>
    <w:p>
      <w:pPr>
        <w:pStyle w:val="Heading1"/>
        <w:keepNext/>
        <w:widowControl/>
      </w:pPr>
      <w:r>
        <w:t>Annexure C - Opening balance sign-off format</w:t>
      </w:r>
    </w:p>
    <w:tbl>
      <w:tblPr>
        <w:tblW w:type="dxa" w:w="9360"/>
        <w:jc w:val="left"/>
        <w:tblLayout w:type="fixed"/>
        <w:tblLook w:firstColumn="1" w:firstRow="1" w:lastColumn="0" w:lastRow="0" w:noHBand="0" w:noVBand="1" w:val="04A0"/>
        <w:tblInd w:w="120" w:type="dxa"/>
      </w:tblPr>
      <w:tblGrid>
        <w:gridCol w:w="3200"/>
        <w:gridCol w:w="6160"/>
      </w:tblGrid>
      <w:tr>
        <w:trPr>
          <w:tblHeader w:val="true"/>
          <w:cantSplit w:val="true"/>
        </w:trPr>
        <w:tc>
          <w:tcPr>
            <w:tcW w:type="dxa" w:w="3200"/>
            <w:vAlign w:val="center"/>
            <w:shd w:fill="17324D"/>
            <w:tcMar>
              <w:top w:w="100" w:type="dxa"/>
              <w:start w:w="120" w:type="dxa"/>
              <w:bottom w:w="100" w:type="dxa"/>
              <w:end w:w="120" w:type="dxa"/>
            </w:tcMar>
            <w:tcBorders>
              <w:top w:val="single" w:sz="6" w:color="17324D"/>
              <w:left w:val="single" w:sz="6" w:color="17324D"/>
              <w:bottom w:val="single" w:sz="6" w:color="17324D"/>
              <w:right w:val="single" w:sz="6" w:color="17324D"/>
              <w:insideH w:val="single" w:sz="6" w:color="17324D"/>
              <w:insideV w:val="single" w:sz="6" w:color="17324D"/>
            </w:tcBorders>
          </w:tcPr>
          <w:p>
            <w:pPr>
              <w:keepLines/>
              <w:widowControl/>
              <w:spacing w:after="0" w:line="240" w:lineRule="auto"/>
            </w:pPr>
            <w:r/>
            <w:r>
              <w:rPr>
                <w:rFonts w:ascii="Aptos" w:hAnsi="Aptos"/>
                <w:b/>
                <w:color w:val="FFFFFF"/>
                <w:sz w:val="19"/>
              </w:rPr>
              <w:t>Role</w:t>
            </w:r>
          </w:p>
        </w:tc>
        <w:tc>
          <w:tcPr>
            <w:tcW w:type="dxa" w:w="6160"/>
            <w:vAlign w:val="center"/>
            <w:shd w:fill="17324D"/>
            <w:tcMar>
              <w:top w:w="100" w:type="dxa"/>
              <w:start w:w="120" w:type="dxa"/>
              <w:bottom w:w="100" w:type="dxa"/>
              <w:end w:w="120" w:type="dxa"/>
            </w:tcMar>
            <w:tcBorders>
              <w:top w:val="single" w:sz="6" w:color="17324D"/>
              <w:left w:val="single" w:sz="6" w:color="17324D"/>
              <w:bottom w:val="single" w:sz="6" w:color="17324D"/>
              <w:right w:val="single" w:sz="6" w:color="17324D"/>
              <w:insideH w:val="single" w:sz="6" w:color="17324D"/>
              <w:insideV w:val="single" w:sz="6" w:color="17324D"/>
            </w:tcBorders>
          </w:tcPr>
          <w:p>
            <w:pPr>
              <w:keepLines/>
              <w:widowControl/>
              <w:spacing w:after="0" w:line="240" w:lineRule="auto"/>
            </w:pPr>
            <w:r/>
            <w:r>
              <w:rPr>
                <w:rFonts w:ascii="Aptos" w:hAnsi="Aptos"/>
                <w:b/>
                <w:color w:val="FFFFFF"/>
                <w:sz w:val="19"/>
              </w:rPr>
              <w:t>Confirmation</w:t>
            </w:r>
          </w:p>
        </w:tc>
      </w:tr>
      <w:tr>
        <w:trPr>
          <w:cantSplit w:val="true"/>
        </w:trPr>
        <w:tc>
          <w:tcPr>
            <w:tcW w:type="dxa" w:w="32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color w:val="20262D"/>
                <w:sz w:val="19"/>
              </w:rPr>
              <w:t>Prepared by - Client Accountant</w:t>
            </w:r>
          </w:p>
        </w:tc>
        <w:tc>
          <w:tcPr>
            <w:tcW w:type="dxa" w:w="616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9"/>
              </w:rPr>
              <w:t>Name: ____________________  Signature: ____________________  Date: __________</w:t>
            </w:r>
          </w:p>
        </w:tc>
      </w:tr>
      <w:tr>
        <w:trPr>
          <w:cantSplit w:val="true"/>
        </w:trPr>
        <w:tc>
          <w:tcPr>
            <w:tcW w:type="dxa" w:w="32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color w:val="20262D"/>
                <w:sz w:val="19"/>
              </w:rPr>
              <w:t>Reviewed by - Our Senior Accountant</w:t>
            </w:r>
          </w:p>
        </w:tc>
        <w:tc>
          <w:tcPr>
            <w:tcW w:type="dxa" w:w="616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9"/>
              </w:rPr>
              <w:t>Name: ____________________  Signature: ____________________  Date: __________</w:t>
            </w:r>
          </w:p>
        </w:tc>
      </w:tr>
      <w:tr>
        <w:trPr>
          <w:cantSplit w:val="true"/>
        </w:trPr>
        <w:tc>
          <w:tcPr>
            <w:tcW w:type="dxa" w:w="32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color w:val="20262D"/>
                <w:sz w:val="19"/>
              </w:rPr>
              <w:t>Approved by - Management</w:t>
            </w:r>
          </w:p>
        </w:tc>
        <w:tc>
          <w:tcPr>
            <w:tcW w:type="dxa" w:w="616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9"/>
              </w:rPr>
              <w:t>Name: ____________________  Signature: ____________________  Date: __________</w:t>
            </w:r>
          </w:p>
        </w:tc>
      </w:tr>
      <w:tr>
        <w:trPr>
          <w:cantSplit w:val="true"/>
        </w:trPr>
        <w:tc>
          <w:tcPr>
            <w:tcW w:type="dxa" w:w="32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color w:val="20262D"/>
                <w:sz w:val="19"/>
              </w:rPr>
              <w:t>BUSY import/configuration completed by</w:t>
            </w:r>
          </w:p>
        </w:tc>
        <w:tc>
          <w:tcPr>
            <w:tcW w:type="dxa" w:w="616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9"/>
              </w:rPr>
              <w:t>Name: ____________________  Signature: ____________________  Date: __________</w:t>
            </w:r>
          </w:p>
        </w:tc>
      </w:tr>
    </w:tbl>
    <w:p>
      <w:pPr>
        <w:widowControl/>
        <w:spacing w:after="20"/>
      </w:pPr>
    </w:p>
    <w:p>
      <w:pPr>
        <w:pStyle w:val="Heading2"/>
        <w:keepNext/>
        <w:widowControl/>
      </w:pPr>
      <w:r>
        <w:t>Certification statement</w:t>
      </w:r>
    </w:p>
    <w:p>
      <w:pPr>
        <w:widowControl/>
      </w:pPr>
      <w:r>
        <w:rPr>
          <w:rFonts w:ascii="Aptos" w:hAnsi="Aptos"/>
          <w:i w:val="0"/>
        </w:rPr>
        <w:t>We confirm that the opening balances loaded into the new BUSY company as at 1 October 2026 agree with the approved schedules, subject only to the specifically listed open exceptions. We also confirm that no general Suspense, Suspence or X-series ledger has been used to conceal unresolved differences.</w:t>
      </w:r>
    </w:p>
    <w:p>
      <w:pPr>
        <w:pStyle w:val="Heading2"/>
        <w:keepNext/>
        <w:widowControl/>
      </w:pPr>
      <w:r>
        <w:t>Open exceptions accepted at go-live (if any)</w:t>
      </w:r>
    </w:p>
    <w:tbl>
      <w:tblPr>
        <w:tblW w:type="dxa" w:w="9360"/>
        <w:jc w:val="left"/>
        <w:tblLayout w:type="fixed"/>
        <w:tblLook w:firstColumn="1" w:firstRow="1" w:lastColumn="0" w:lastRow="0" w:noHBand="0" w:noVBand="1" w:val="04A0"/>
        <w:tblInd w:w="120" w:type="dxa"/>
      </w:tblPr>
      <w:tblGrid>
        <w:gridCol w:w="1200"/>
        <w:gridCol w:w="1200"/>
        <w:gridCol w:w="2600"/>
        <w:gridCol w:w="1300"/>
        <w:gridCol w:w="1300"/>
        <w:gridCol w:w="1760"/>
      </w:tblGrid>
      <w:tr>
        <w:trPr>
          <w:tblHeader w:val="true"/>
          <w:cantSplit w:val="true"/>
        </w:trPr>
        <w:tc>
          <w:tcPr>
            <w:tcW w:type="dxa" w:w="1200"/>
            <w:vAlign w:val="center"/>
            <w:shd w:fill="9B2C2C"/>
            <w:tcMar>
              <w:top w:w="100" w:type="dxa"/>
              <w:start w:w="120" w:type="dxa"/>
              <w:bottom w:w="100" w:type="dxa"/>
              <w:end w:w="120" w:type="dxa"/>
            </w:tcMar>
            <w:tcBorders>
              <w:top w:val="single" w:sz="6" w:color="9B2C2C"/>
              <w:left w:val="single" w:sz="6" w:color="9B2C2C"/>
              <w:bottom w:val="single" w:sz="6" w:color="9B2C2C"/>
              <w:right w:val="single" w:sz="6" w:color="9B2C2C"/>
              <w:insideH w:val="single" w:sz="6" w:color="9B2C2C"/>
              <w:insideV w:val="single" w:sz="6" w:color="9B2C2C"/>
            </w:tcBorders>
          </w:tcPr>
          <w:p>
            <w:pPr>
              <w:keepLines/>
              <w:widowControl/>
              <w:spacing w:after="0" w:line="240" w:lineRule="auto"/>
            </w:pPr>
            <w:r/>
            <w:r>
              <w:rPr>
                <w:rFonts w:ascii="Aptos" w:hAnsi="Aptos"/>
                <w:b/>
                <w:color w:val="FFFFFF"/>
                <w:sz w:val="16"/>
              </w:rPr>
              <w:t>Exception ID</w:t>
            </w:r>
          </w:p>
        </w:tc>
        <w:tc>
          <w:tcPr>
            <w:tcW w:type="dxa" w:w="1200"/>
            <w:vAlign w:val="center"/>
            <w:shd w:fill="9B2C2C"/>
            <w:tcMar>
              <w:top w:w="100" w:type="dxa"/>
              <w:start w:w="120" w:type="dxa"/>
              <w:bottom w:w="100" w:type="dxa"/>
              <w:end w:w="120" w:type="dxa"/>
            </w:tcMar>
            <w:tcBorders>
              <w:top w:val="single" w:sz="6" w:color="9B2C2C"/>
              <w:left w:val="single" w:sz="6" w:color="9B2C2C"/>
              <w:bottom w:val="single" w:sz="6" w:color="9B2C2C"/>
              <w:right w:val="single" w:sz="6" w:color="9B2C2C"/>
              <w:insideH w:val="single" w:sz="6" w:color="9B2C2C"/>
              <w:insideV w:val="single" w:sz="6" w:color="9B2C2C"/>
            </w:tcBorders>
          </w:tcPr>
          <w:p>
            <w:pPr>
              <w:keepLines/>
              <w:widowControl/>
              <w:spacing w:after="0" w:line="240" w:lineRule="auto"/>
            </w:pPr>
            <w:r/>
            <w:r>
              <w:rPr>
                <w:rFonts w:ascii="Aptos" w:hAnsi="Aptos"/>
                <w:b/>
                <w:color w:val="FFFFFF"/>
                <w:sz w:val="16"/>
              </w:rPr>
              <w:t>Amount</w:t>
            </w:r>
          </w:p>
        </w:tc>
        <w:tc>
          <w:tcPr>
            <w:tcW w:type="dxa" w:w="2600"/>
            <w:vAlign w:val="center"/>
            <w:shd w:fill="9B2C2C"/>
            <w:tcMar>
              <w:top w:w="100" w:type="dxa"/>
              <w:start w:w="120" w:type="dxa"/>
              <w:bottom w:w="100" w:type="dxa"/>
              <w:end w:w="120" w:type="dxa"/>
            </w:tcMar>
            <w:tcBorders>
              <w:top w:val="single" w:sz="6" w:color="9B2C2C"/>
              <w:left w:val="single" w:sz="6" w:color="9B2C2C"/>
              <w:bottom w:val="single" w:sz="6" w:color="9B2C2C"/>
              <w:right w:val="single" w:sz="6" w:color="9B2C2C"/>
              <w:insideH w:val="single" w:sz="6" w:color="9B2C2C"/>
              <w:insideV w:val="single" w:sz="6" w:color="9B2C2C"/>
            </w:tcBorders>
          </w:tcPr>
          <w:p>
            <w:pPr>
              <w:keepLines/>
              <w:widowControl/>
              <w:spacing w:after="0" w:line="240" w:lineRule="auto"/>
            </w:pPr>
            <w:r/>
            <w:r>
              <w:rPr>
                <w:rFonts w:ascii="Aptos" w:hAnsi="Aptos"/>
                <w:b/>
                <w:color w:val="FFFFFF"/>
                <w:sz w:val="16"/>
              </w:rPr>
              <w:t>Reason still open</w:t>
            </w:r>
          </w:p>
        </w:tc>
        <w:tc>
          <w:tcPr>
            <w:tcW w:type="dxa" w:w="1300"/>
            <w:vAlign w:val="center"/>
            <w:shd w:fill="9B2C2C"/>
            <w:tcMar>
              <w:top w:w="100" w:type="dxa"/>
              <w:start w:w="120" w:type="dxa"/>
              <w:bottom w:w="100" w:type="dxa"/>
              <w:end w:w="120" w:type="dxa"/>
            </w:tcMar>
            <w:tcBorders>
              <w:top w:val="single" w:sz="6" w:color="9B2C2C"/>
              <w:left w:val="single" w:sz="6" w:color="9B2C2C"/>
              <w:bottom w:val="single" w:sz="6" w:color="9B2C2C"/>
              <w:right w:val="single" w:sz="6" w:color="9B2C2C"/>
              <w:insideH w:val="single" w:sz="6" w:color="9B2C2C"/>
              <w:insideV w:val="single" w:sz="6" w:color="9B2C2C"/>
            </w:tcBorders>
          </w:tcPr>
          <w:p>
            <w:pPr>
              <w:keepLines/>
              <w:widowControl/>
              <w:spacing w:after="0" w:line="240" w:lineRule="auto"/>
            </w:pPr>
            <w:r/>
            <w:r>
              <w:rPr>
                <w:rFonts w:ascii="Aptos" w:hAnsi="Aptos"/>
                <w:b/>
                <w:color w:val="FFFFFF"/>
                <w:sz w:val="16"/>
              </w:rPr>
              <w:t>Owner</w:t>
            </w:r>
          </w:p>
        </w:tc>
        <w:tc>
          <w:tcPr>
            <w:tcW w:type="dxa" w:w="1300"/>
            <w:vAlign w:val="center"/>
            <w:shd w:fill="9B2C2C"/>
            <w:tcMar>
              <w:top w:w="100" w:type="dxa"/>
              <w:start w:w="120" w:type="dxa"/>
              <w:bottom w:w="100" w:type="dxa"/>
              <w:end w:w="120" w:type="dxa"/>
            </w:tcMar>
            <w:tcBorders>
              <w:top w:val="single" w:sz="6" w:color="9B2C2C"/>
              <w:left w:val="single" w:sz="6" w:color="9B2C2C"/>
              <w:bottom w:val="single" w:sz="6" w:color="9B2C2C"/>
              <w:right w:val="single" w:sz="6" w:color="9B2C2C"/>
              <w:insideH w:val="single" w:sz="6" w:color="9B2C2C"/>
              <w:insideV w:val="single" w:sz="6" w:color="9B2C2C"/>
            </w:tcBorders>
          </w:tcPr>
          <w:p>
            <w:pPr>
              <w:keepLines/>
              <w:widowControl/>
              <w:spacing w:after="0" w:line="240" w:lineRule="auto"/>
            </w:pPr>
            <w:r/>
            <w:r>
              <w:rPr>
                <w:rFonts w:ascii="Aptos" w:hAnsi="Aptos"/>
                <w:b/>
                <w:color w:val="FFFFFF"/>
                <w:sz w:val="16"/>
              </w:rPr>
              <w:t>Final due date</w:t>
            </w:r>
          </w:p>
        </w:tc>
        <w:tc>
          <w:tcPr>
            <w:tcW w:type="dxa" w:w="1760"/>
            <w:vAlign w:val="center"/>
            <w:shd w:fill="9B2C2C"/>
            <w:tcMar>
              <w:top w:w="100" w:type="dxa"/>
              <w:start w:w="120" w:type="dxa"/>
              <w:bottom w:w="100" w:type="dxa"/>
              <w:end w:w="120" w:type="dxa"/>
            </w:tcMar>
            <w:tcBorders>
              <w:top w:val="single" w:sz="6" w:color="9B2C2C"/>
              <w:left w:val="single" w:sz="6" w:color="9B2C2C"/>
              <w:bottom w:val="single" w:sz="6" w:color="9B2C2C"/>
              <w:right w:val="single" w:sz="6" w:color="9B2C2C"/>
              <w:insideH w:val="single" w:sz="6" w:color="9B2C2C"/>
              <w:insideV w:val="single" w:sz="6" w:color="9B2C2C"/>
            </w:tcBorders>
          </w:tcPr>
          <w:p>
            <w:pPr>
              <w:keepLines/>
              <w:widowControl/>
              <w:spacing w:after="0" w:line="240" w:lineRule="auto"/>
            </w:pPr>
            <w:r/>
            <w:r>
              <w:rPr>
                <w:rFonts w:ascii="Aptos" w:hAnsi="Aptos"/>
                <w:b/>
                <w:color w:val="FFFFFF"/>
                <w:sz w:val="16"/>
              </w:rPr>
              <w:t>Management approval</w:t>
            </w:r>
          </w:p>
        </w:tc>
      </w:tr>
      <w:tr>
        <w:trPr>
          <w:cantSplit w:val="true"/>
        </w:trPr>
        <w:tc>
          <w:tcPr>
            <w:tcW w:type="dxa" w:w="12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6"/>
              </w:rPr>
            </w:r>
          </w:p>
        </w:tc>
        <w:tc>
          <w:tcPr>
            <w:tcW w:type="dxa" w:w="12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6"/>
              </w:rPr>
            </w:r>
          </w:p>
        </w:tc>
        <w:tc>
          <w:tcPr>
            <w:tcW w:type="dxa" w:w="26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6"/>
              </w:rPr>
            </w:r>
          </w:p>
        </w:tc>
        <w:tc>
          <w:tcPr>
            <w:tcW w:type="dxa" w:w="13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6"/>
              </w:rPr>
            </w:r>
          </w:p>
        </w:tc>
        <w:tc>
          <w:tcPr>
            <w:tcW w:type="dxa" w:w="13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6"/>
              </w:rPr>
            </w:r>
          </w:p>
        </w:tc>
        <w:tc>
          <w:tcPr>
            <w:tcW w:type="dxa" w:w="176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tcPr>
          <w:p>
            <w:pPr>
              <w:keepLines/>
              <w:widowControl/>
              <w:spacing w:after="0" w:line="252" w:lineRule="auto"/>
            </w:pPr>
            <w:r/>
            <w:r>
              <w:rPr>
                <w:rFonts w:ascii="Aptos" w:hAnsi="Aptos"/>
                <w:b w:val="0"/>
                <w:color w:val="20262D"/>
                <w:sz w:val="16"/>
              </w:rPr>
            </w:r>
          </w:p>
        </w:tc>
      </w:tr>
      <w:tr>
        <w:trPr>
          <w:cantSplit w:val="true"/>
        </w:trPr>
        <w:tc>
          <w:tcPr>
            <w:tcW w:type="dxa" w:w="12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6"/>
              </w:rPr>
            </w:r>
          </w:p>
        </w:tc>
        <w:tc>
          <w:tcPr>
            <w:tcW w:type="dxa" w:w="12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6"/>
              </w:rPr>
            </w:r>
          </w:p>
        </w:tc>
        <w:tc>
          <w:tcPr>
            <w:tcW w:type="dxa" w:w="26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6"/>
              </w:rPr>
            </w:r>
          </w:p>
        </w:tc>
        <w:tc>
          <w:tcPr>
            <w:tcW w:type="dxa" w:w="13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6"/>
              </w:rPr>
            </w:r>
          </w:p>
        </w:tc>
        <w:tc>
          <w:tcPr>
            <w:tcW w:type="dxa" w:w="130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6"/>
              </w:rPr>
            </w:r>
          </w:p>
        </w:tc>
        <w:tc>
          <w:tcPr>
            <w:tcW w:type="dxa" w:w="1760"/>
            <w:vAlign w:val="center"/>
            <w:tcMar>
              <w:top w:w="95" w:type="dxa"/>
              <w:start w:w="120" w:type="dxa"/>
              <w:bottom w:w="95" w:type="dxa"/>
              <w:end w:w="120" w:type="dxa"/>
            </w:tcMar>
            <w:tcBorders>
              <w:top w:val="single" w:sz="5" w:color="D7DEE3"/>
              <w:left w:val="single" w:sz="5" w:color="D7DEE3"/>
              <w:bottom w:val="single" w:sz="5" w:color="D7DEE3"/>
              <w:right w:val="single" w:sz="5" w:color="D7DEE3"/>
              <w:insideH w:val="single" w:sz="5" w:color="D7DEE3"/>
              <w:insideV w:val="single" w:sz="5" w:color="D7DEE3"/>
            </w:tcBorders>
            <w:shd w:fill="F8FAFB"/>
          </w:tcPr>
          <w:p>
            <w:pPr>
              <w:keepLines/>
              <w:widowControl/>
              <w:spacing w:after="0" w:line="252" w:lineRule="auto"/>
            </w:pPr>
            <w:r/>
            <w:r>
              <w:rPr>
                <w:rFonts w:ascii="Aptos" w:hAnsi="Aptos"/>
                <w:b w:val="0"/>
                <w:color w:val="20262D"/>
                <w:sz w:val="16"/>
              </w:rPr>
            </w:r>
          </w:p>
        </w:tc>
      </w:tr>
    </w:tbl>
    <w:p>
      <w:pPr>
        <w:widowControl/>
        <w:spacing w:after="20"/>
      </w:pPr>
    </w:p>
    <w:p>
      <w:pPr>
        <w:pStyle w:val="Heading1"/>
        <w:keepNext/>
        <w:widowControl/>
      </w:pPr>
      <w:r>
        <w:t>Annexure D - Reference and professional caution</w:t>
      </w:r>
    </w:p>
    <w:p>
      <w:pPr>
        <w:widowControl/>
      </w:pPr>
      <w:r>
        <w:rPr>
          <w:rFonts w:ascii="Aptos" w:hAnsi="Aptos"/>
          <w:i w:val="0"/>
        </w:rPr>
        <w:t>This plan is an accounting-system and governance blueprint based on the observations supplied. Final GST, income-tax, Companies Act/LLP Act, audit and other statutory treatment must be confirmed by the competent professional responsible for the client’s filings and legal form. BUSY menu names and features may vary by edition/version and should be tested in the selected company configuration.</w:t>
      </w:r>
    </w:p>
    <w:p>
      <w:pPr>
        <w:pStyle w:val="Heading2"/>
        <w:keepNext/>
        <w:widowControl/>
      </w:pPr>
      <w:r>
        <w:t>Key technical clarifications incorporated in this plan</w:t>
      </w:r>
    </w:p>
    <w:p>
      <w:pPr>
        <w:widowControl/>
        <w:numPr>
          <w:ilvl w:val="0"/>
          <w:numId w:val="10"/>
        </w:numPr>
        <w:spacing w:after="80" w:line="269" w:lineRule="auto"/>
        <w:ind w:left="720" w:hanging="360"/>
      </w:pPr>
      <w:r>
        <w:rPr>
          <w:rFonts w:ascii="Aptos" w:hAnsi="Aptos"/>
        </w:rPr>
        <w:t>A GTA freight payment is not automatically subject to 5% RCM in every case; invoice status, consignment note, exemptions, recipient category and the GTA’s tax-payment option must be checked.</w:t>
      </w:r>
    </w:p>
    <w:p>
      <w:pPr>
        <w:widowControl/>
        <w:numPr>
          <w:ilvl w:val="0"/>
          <w:numId w:val="10"/>
        </w:numPr>
        <w:spacing w:after="80" w:line="269" w:lineRule="auto"/>
        <w:ind w:left="720" w:hanging="360"/>
      </w:pPr>
      <w:r>
        <w:rPr>
          <w:rFonts w:ascii="Aptos" w:hAnsi="Aptos"/>
        </w:rPr>
        <w:t>An unidentified suspense amount should not automatically be transferred to proprietor capital. The economic nature, evidence, tax impact and management approval must determine the treatment.</w:t>
      </w:r>
    </w:p>
    <w:p>
      <w:pPr>
        <w:widowControl/>
        <w:numPr>
          <w:ilvl w:val="0"/>
          <w:numId w:val="10"/>
        </w:numPr>
        <w:spacing w:after="80" w:line="269" w:lineRule="auto"/>
        <w:ind w:left="720" w:hanging="360"/>
      </w:pPr>
      <w:r>
        <w:rPr>
          <w:rFonts w:ascii="Aptos" w:hAnsi="Aptos"/>
        </w:rPr>
        <w:t>Historical ledgers should be preserved in the legacy file for audit trail even when they are excluded from the new chart.</w:t>
      </w:r>
    </w:p>
    <w:p>
      <w:pPr>
        <w:widowControl/>
        <w:numPr>
          <w:ilvl w:val="0"/>
          <w:numId w:val="10"/>
        </w:numPr>
        <w:spacing w:after="80" w:line="269" w:lineRule="auto"/>
        <w:ind w:left="720" w:hanging="360"/>
      </w:pPr>
      <w:r>
        <w:rPr>
          <w:rFonts w:ascii="Aptos" w:hAnsi="Aptos"/>
        </w:rPr>
        <w:t>A 1 October cutover is mid-year; the full-year reporting method for April-September must be expressly chosen and documented.</w:t>
      </w:r>
    </w:p>
    <w:p>
      <w:pPr>
        <w:pStyle w:val="Heading2"/>
        <w:keepNext/>
        <w:widowControl/>
      </w:pPr>
      <w:r>
        <w:t>Reference sources checked</w:t>
      </w:r>
    </w:p>
    <w:p>
      <w:pPr>
        <w:widowControl/>
        <w:numPr>
          <w:ilvl w:val="0"/>
          <w:numId w:val="10"/>
        </w:numPr>
        <w:spacing w:after="80" w:line="269" w:lineRule="auto"/>
        <w:ind w:left="720" w:hanging="360"/>
      </w:pPr>
      <w:r>
        <w:rPr>
          <w:rFonts w:ascii="Aptos" w:hAnsi="Aptos"/>
        </w:rPr>
        <w:t>Central Board of Indirect Taxes and Customs (CBIC), GST rates for Goods Transport Agency services and the distinction between GTA-paid tax and recipient-side treatment: https://cbic-gst.gov.in/gst-goods-services-rates.html</w:t>
      </w:r>
    </w:p>
    <w:p>
      <w:pPr>
        <w:widowControl/>
        <w:numPr>
          <w:ilvl w:val="0"/>
          <w:numId w:val="10"/>
        </w:numPr>
        <w:spacing w:after="80" w:line="269" w:lineRule="auto"/>
        <w:ind w:left="720" w:hanging="360"/>
      </w:pPr>
      <w:r>
        <w:rPr>
          <w:rFonts w:ascii="Aptos" w:hAnsi="Aptos"/>
        </w:rPr>
        <w:t>CBIC, Notification No. 12/2017 - Central Tax (Rate), definition/exemptions relevant to Goods Transport Agency services: https://cbic-gst.gov.in/pdf/central-tax-rate/Notification12-CGST.pdf</w:t>
      </w:r>
    </w:p>
    <w:p>
      <w:pPr>
        <w:widowControl/>
        <w:numPr>
          <w:ilvl w:val="0"/>
          <w:numId w:val="10"/>
        </w:numPr>
        <w:spacing w:after="80" w:line="269" w:lineRule="auto"/>
        <w:ind w:left="720" w:hanging="360"/>
      </w:pPr>
      <w:r>
        <w:rPr>
          <w:rFonts w:ascii="Aptos" w:hAnsi="Aptos"/>
        </w:rPr>
        <w:t>BUSY official help, Bill-by-Bill and cost-centre features: https://busy.in/faqs/features/accounts/36/</w:t>
      </w:r>
    </w:p>
    <w:p>
      <w:pPr>
        <w:widowControl/>
        <w:numPr>
          <w:ilvl w:val="0"/>
          <w:numId w:val="10"/>
        </w:numPr>
        <w:spacing w:after="80" w:line="269" w:lineRule="auto"/>
        <w:ind w:left="720" w:hanging="360"/>
      </w:pPr>
      <w:r>
        <w:rPr>
          <w:rFonts w:ascii="Aptos" w:hAnsi="Aptos"/>
        </w:rPr>
        <w:t>BUSY official help, payment voucher and bill-by-bill adjustment workflow: https://busy.in/faqs/configurations/voucher-entry-accounting/35/</w:t>
      </w:r>
    </w:p>
    <w:p>
      <w:pPr>
        <w:pStyle w:val="LeadCallout"/>
        <w:widowControl/>
      </w:pPr>
      <w:r>
        <w:rPr>
          <w:rFonts w:ascii="Aptos" w:hAnsi="Aptos"/>
          <w:b/>
          <w:color w:val="17324D"/>
        </w:rPr>
        <w:t xml:space="preserve">Final management message  </w:t>
      </w:r>
      <w:r>
        <w:rPr>
          <w:rFonts w:ascii="Aptos" w:hAnsi="Aptos"/>
          <w:color w:val="17324D"/>
        </w:rPr>
        <w:t>A clean accounting system is not created by renaming ledgers alone. It is created by evidence, disciplined entry rules, correct responsibility, timely reconciliation and a review process that prevents old habits from entering the new company. This plan provides that structure and keeps both the client accountant and our senior team accountable for a reliable outcome.</w:t>
      </w:r>
    </w:p>
    <w:sectPr w:rsidR="00FC693F" w:rsidRPr="0006063C" w:rsidSect="00034616">
      <w:headerReference w:type="default" r:id="rId9"/>
      <w:footerReference w:type="default" r:id="rId10"/>
      <w:pgSz w:w="12240" w:h="15840"/>
      <w:pgMar w:top="1123" w:right="1181" w:bottom="1123" w:left="1181"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right"/>
    </w:pPr>
    <w:r>
      <w:rPr>
        <w:rFonts w:ascii="Aptos" w:hAnsi="Aptos"/>
        <w:color w:val="5C6670"/>
        <w:sz w:val="17"/>
      </w:rPr>
      <w:t xml:space="preserve">CONFIDENTIAL  |  Accounting Restructuring Plan  |  Page </w:t>
    </w:r>
    <w:r>
      <w:rPr>
        <w:rFonts w:ascii="Aptos" w:hAnsi="Aptos"/>
        <w:color w:val="5C6670"/>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Pr>
    <w:r>
      <w:rPr>
        <w:rFonts w:ascii="Aptos" w:hAnsi="Aptos"/>
        <w:b/>
        <w:color w:val="5C6670"/>
        <w:sz w:val="17"/>
      </w:rPr>
      <w:t>BUSY MIGRATION GOVERNANCE  |  EFFECTIVE 1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pPr>
      <w:rPr>
        <w:rFonts w:ascii="Aptos" w:hAnsi="Aptos"/>
      </w:rPr>
    </w:lvl>
  </w:abstractNum>
  <w:num w:numId="10">
    <w:abstractNumId w:val="9"/>
  </w:num>
  <w:abstractNum w:abstractNumId="10">
    <w:multiLevelType w:val="singleLevel"/>
    <w:lvl w:ilvl="0">
      <w:start w:val="1"/>
      <w:numFmt w:val="decimal"/>
      <w:lvlText w:val="%1."/>
      <w:suff w:val="tab"/>
      <w:pPr>
        <w:tabs>
          <w:tab w:val="num" w:pos="720"/>
        </w:tabs>
        <w:ind w:left="720" w:hanging="360"/>
      </w:pPr>
      <w:rPr>
        <w:rFonts w:ascii="Aptos" w:hAnsi="Aptos"/>
      </w:rPr>
    </w:lvl>
  </w:abstractNum>
  <w:num w:numId="11">
    <w:abstractNumId w:val="10"/>
  </w:num>
  <w:abstractNum w:abstractNumId="11">
    <w:multiLevelType w:val="singleLevel"/>
    <w:lvl w:ilvl="0">
      <w:start w:val="1"/>
      <w:numFmt w:val="bullet"/>
      <w:lvlText w:val="•"/>
      <w:suff w:val="tab"/>
      <w:pPr>
        <w:tabs>
          <w:tab w:val="num" w:pos="720"/>
        </w:tabs>
        <w:ind w:left="720" w:hanging="360"/>
      </w:pPr>
      <w:rPr>
        <w:rFonts w:ascii="Aptos" w:hAnsi="Aptos"/>
      </w:rPr>
    </w:lvl>
  </w:abstractNum>
  <w:num w:numId="12">
    <w:abstractNumId w:val="11"/>
  </w:num>
  <w:abstractNum w:abstractNumId="12">
    <w:multiLevelType w:val="singleLevel"/>
    <w:lvl w:ilvl="0">
      <w:start w:val="1"/>
      <w:numFmt w:val="decimal"/>
      <w:lvlText w:val="%1."/>
      <w:suff w:val="tab"/>
      <w:pPr>
        <w:tabs>
          <w:tab w:val="num" w:pos="720"/>
        </w:tabs>
        <w:ind w:left="720" w:hanging="360"/>
      </w:pPr>
      <w:rPr>
        <w:rFonts w:ascii="Aptos" w:hAnsi="Aptos"/>
      </w:r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69" w:lineRule="auto"/>
    </w:pPr>
    <w:rPr>
      <w:rFonts w:ascii="Aptos" w:hAnsi="Aptos"/>
      <w:color w:val="2026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A7F85"/>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Callout">
    <w:name w:val="Lead Callout"/>
    <w:pPr>
      <w:spacing w:before="120" w:after="160" w:line="264" w:lineRule="auto"/>
      <w:ind w:left="202" w:right="202"/>
      <w:shd w:fill="EAF3F3"/>
      <w:pBdr>
        <w:left w:val="single" w:sz="20" w:space="6" w:color="2A7F85"/>
      </w:pBdr>
    </w:pPr>
    <w:rPr>
      <w:rFonts w:ascii="Aptos" w:hAnsi="Aptos"/>
      <w:color w:val="17324D"/>
      <w:sz w:val="21"/>
    </w:rPr>
  </w:style>
  <w:style w:type="paragraph" w:customStyle="1" w:styleId="WarningCallout">
    <w:name w:val="Warning Callout"/>
    <w:pPr>
      <w:spacing w:before="120" w:after="160" w:line="264" w:lineRule="auto"/>
      <w:ind w:left="202" w:right="202"/>
      <w:shd w:fill="FBEDEE"/>
      <w:pBdr>
        <w:left w:val="single" w:sz="20" w:space="6" w:color="9B2C2C"/>
      </w:pBdr>
    </w:pPr>
    <w:rPr>
      <w:rFonts w:ascii="Aptos" w:hAnsi="Aptos"/>
      <w:color w:val="9B2C2C"/>
      <w:sz w:val="21"/>
    </w:rPr>
  </w:style>
  <w:style w:type="paragraph" w:customStyle="1" w:styleId="DecisionCallout">
    <w:name w:val="Decision Callout"/>
    <w:pPr>
      <w:spacing w:before="120" w:after="160" w:line="264" w:lineRule="auto"/>
      <w:ind w:left="202" w:right="202"/>
      <w:shd w:fill="FBF6E9"/>
      <w:pBdr>
        <w:left w:val="single" w:sz="20" w:space="6" w:color="B4872F"/>
      </w:pBdr>
    </w:pPr>
    <w:rPr>
      <w:rFonts w:ascii="Aptos" w:hAnsi="Aptos"/>
      <w:color w:val="17324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Accounting System Restructuring and BUSY Migration Governance Plan</dc:title>
  <dc:subject>Cutover effective 1 October 2026</dc:subject>
  <dc:creator>Management Advisory Team</dc:creator>
  <cp:keywords>BUSY, accounting restructuring, migration, governance, opening balances</cp:keywords>
  <dc:description>Client-facing implementation blueprint</dc:description>
  <cp:lastModifiedBy/>
  <cp:revision>1</cp:revision>
  <dcterms:created xsi:type="dcterms:W3CDTF">2013-12-23T23:15:00Z</dcterms:created>
  <dcterms:modified xsi:type="dcterms:W3CDTF">2013-12-23T23:15:00Z</dcterms:modified>
  <cp:category/>
</cp:coreProperties>
</file>