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1A1A1A"/>
          <w:sz w:val="40"/>
          <w:szCs w:val="40"/>
        </w:rPr>
        <w:t xml:space="preserve">S H A R D H A N</w:t>
      </w:r>
    </w:p>
    <w:p>
      <w:pPr>
        <w:spacing w:after="120"/>
        <w:jc w:val="center"/>
      </w:pPr>
      <w:r>
        <w:rPr>
          <w:i/>
          <w:iCs/>
          <w:color w:val="555555"/>
          <w:sz w:val="26"/>
          <w:szCs w:val="26"/>
        </w:rPr>
        <w:t xml:space="preserve">Consultants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SHARDHAN CORPORATE CONSULTANTS LLP</w:t>
      </w:r>
    </w:p>
    <w:p>
      <w:pPr>
        <w:spacing w:after="200" w:before="900"/>
        <w:jc w:val="center"/>
      </w:pPr>
      <w:r>
        <w:rPr>
          <w:sz w:val="32"/>
          <w:szCs w:val="32"/>
        </w:rPr>
        <w:t xml:space="preserve">BUSINESS PROPOSAL</w:t>
      </w:r>
    </w:p>
    <w:p>
      <w:pPr>
        <w:spacing w:after="60" w:before="500"/>
        <w:jc w:val="center"/>
      </w:pPr>
      <w:r>
        <w:rPr>
          <w:b/>
          <w:bCs/>
          <w:sz w:val="24"/>
          <w:szCs w:val="24"/>
        </w:rPr>
        <w:t xml:space="preserve">POST-INCORPORATION SECRETARIAL COMPLIANCE</w:t>
      </w:r>
    </w:p>
    <w:p>
      <w:pPr>
        <w:spacing w:after="400"/>
        <w:jc w:val="center"/>
      </w:pPr>
      <w:r>
        <w:rPr>
          <w:i/>
          <w:iCs/>
          <w:color w:val="8A6D1F"/>
          <w:sz w:val="20"/>
          <w:szCs w:val="20"/>
        </w:rPr>
        <w:t xml:space="preserve">“First Board Meeting to Statutory Registers – Complete Post-Incorporation Compliance”</w:t>
      </w:r>
    </w:p>
    <w:p>
      <w:pPr>
        <w:spacing w:after="60"/>
        <w:jc w:val="center"/>
      </w:pPr>
      <w:r>
        <w:rPr>
          <w:sz w:val="19"/>
          <w:szCs w:val="19"/>
        </w:rPr>
        <w:t xml:space="preserve">Prepared by: Shardhan Corporate Consultants LLP</w:t>
      </w:r>
    </w:p>
    <w:p>
      <w:pPr>
        <w:spacing w:after="800"/>
        <w:jc w:val="center"/>
      </w:pPr>
      <w:r>
        <w:rPr>
          <w:sz w:val="19"/>
          <w:szCs w:val="19"/>
        </w:rPr>
        <w:t xml:space="preserve">August 2026</w:t>
      </w:r>
    </w:p>
    <w:p>
      <w:pPr>
        <w:spacing w:before="1200"/>
        <w:jc w:val="center"/>
      </w:pPr>
      <w:r>
        <w:rPr>
          <w:sz w:val="19"/>
          <w:szCs w:val="19"/>
        </w:rPr>
        <w:t xml:space="preserve">Privileged &amp; Confidential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300" w:right="1300" w:bottom="1300" w:left="1300" w:header="708" w:footer="708" w:gutter="0"/>
          <w:pgNumType/>
          <w:docGrid w:linePitch="360"/>
        </w:sectPr>
      </w:pPr>
    </w:p>
    <w:p>
      <w:pPr>
        <w:spacing w:after="120" w:line="290"/>
        <w:jc w:val="both"/>
      </w:pPr>
      <w:r>
        <w:rPr>
          <w:sz w:val="19"/>
          <w:szCs w:val="19"/>
        </w:rPr>
        <w:t xml:space="preserve">Dear Client,</w:t>
      </w:r>
    </w:p>
    <w:p>
      <w:pPr>
        <w:spacing w:after="120" w:line="290"/>
        <w:jc w:val="both"/>
      </w:pPr>
      <w:r>
        <w:rPr>
          <w:sz w:val="19"/>
          <w:szCs w:val="19"/>
        </w:rPr>
        <w:t xml:space="preserve">Thank you for considering Shardhan Corporate Consultants LLP for your company's post-incorporation secretarial compliance. Please find below the detailed scope of services for Schedule I (Post-Incorporation Compliance) and Schedule II (Stamping of Share Certificates – a mandatory statutory step handled as a separately priced service given the department-level coordination it involves).</w:t>
      </w:r>
    </w:p>
    <w:p>
      <w:pPr>
        <w:pStyle w:val="Heading1"/>
        <w:spacing w:after="110" w:before="260"/>
      </w:pPr>
      <w:r>
        <w:rPr>
          <w:b/>
          <w:bCs/>
          <w:color w:val="1A1A1A"/>
          <w:sz w:val="22"/>
          <w:szCs w:val="22"/>
        </w:rPr>
        <w:t xml:space="preserve">SCHEDULE I – POST-INCORPORATION COMPLIANCE</w:t>
      </w:r>
    </w:p>
    <w:p>
      <w:pPr>
        <w:spacing w:after="70" w:before="150"/>
      </w:pPr>
      <w:r>
        <w:rPr>
          <w:b/>
          <w:bCs/>
          <w:color w:val="8A6D1F"/>
          <w:sz w:val="19"/>
          <w:szCs w:val="19"/>
        </w:rPr>
        <w:t xml:space="preserve">1. Conduct of First Board Meeting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Preparation of Notice of First Board Meeting along with Agenda, in compliance with Section 173 and SS-1.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Drafting of detailed Agenda covering all mandatory first-BM items: adoption of Certificate of Incorporation, noting of MOA/AOA, appointment of first Auditor, situation of registered office, adoption of common seal (if any), authorization for opening of bank account, appointment of first KMP (if applicable), approval of letterhead/statutory registers, and disclosure of interest by directors (MBP-1) and non-disqualification (DIR-8).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Drafting of Board Resolutions for each agenda item.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Preparation and circulation of draft Minutes within 15 days as per SS-1, and follow-up for signature/authentication by the Chairman.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Advisory on quorum and notice period compliance for a newly incorporated company.</w:t>
      </w:r>
    </w:p>
    <w:p>
      <w:pPr>
        <w:spacing w:after="70" w:before="150"/>
      </w:pPr>
      <w:r>
        <w:rPr>
          <w:b/>
          <w:bCs/>
          <w:color w:val="8A6D1F"/>
          <w:sz w:val="19"/>
          <w:szCs w:val="19"/>
        </w:rPr>
        <w:t xml:space="preserve">2. Appointment of Statutory Auditor &amp; Filing of Form ADT-1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Obtaining consent letter and eligibility certificate from the proposed auditor under Section 141, along with confirmation of non-disqualification under Section 141(3).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Drafting of Board Resolution for appointment of first auditor under Section 139(6).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Preparation and filing of Form ADT-1 with the ROC within the applicable timeline, with auditor's consent and eligibility certificate as attachments.</w:t>
      </w:r>
    </w:p>
    <w:p>
      <w:pPr>
        <w:spacing w:after="70" w:before="150"/>
      </w:pPr>
      <w:r>
        <w:rPr>
          <w:b/>
          <w:bCs/>
          <w:color w:val="8A6D1F"/>
          <w:sz w:val="19"/>
          <w:szCs w:val="19"/>
        </w:rPr>
        <w:t xml:space="preserve">3. Filing of Form INC-20A (Declaration for Commencement of Business)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Verification of subscription money receipt from each subscriber to the memorandum, cross-checked against the bank statement.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Drafting of Board Resolution authorizing filing of INC-20A.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Preparation of Form INC-20A with bank statement as attachment, certified by the practicing professional.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Filing within the statutory 180-day timeline from incorporation, with a calendar reminder to avoid strike-off risk under Section 10A(2).</w:t>
      </w:r>
    </w:p>
    <w:p>
      <w:pPr>
        <w:spacing w:after="70" w:before="150"/>
      </w:pPr>
      <w:r>
        <w:rPr>
          <w:b/>
          <w:bCs/>
          <w:color w:val="8A6D1F"/>
          <w:sz w:val="19"/>
          <w:szCs w:val="19"/>
        </w:rPr>
        <w:t xml:space="preserve">4. Issue of Share Certificates to Subscribers to the Memorandum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Verification of share allotment details against the MOA subscription clause.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Drafting of Board Resolution for issue of share certificates under Section 56 read with Rule 5 of the Companies (Share Capital and Debentures) Rules.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Preparation of share certificates in Form SH-1, ensuring compliance with format, signatory requirements, and distinctive numbering.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Entry of allotment particulars in the Register of Members and Register of Allotments prior to certificate issuance.</w:t>
      </w:r>
    </w:p>
    <w:p>
      <w:pPr>
        <w:spacing w:after="70" w:before="150"/>
      </w:pPr>
      <w:r>
        <w:rPr>
          <w:b/>
          <w:bCs/>
          <w:color w:val="8A6D1F"/>
          <w:sz w:val="19"/>
          <w:szCs w:val="19"/>
        </w:rPr>
        <w:t xml:space="preserve">5. Recording of Directors' Disclosures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Obtaining Form MBP-1 (Notice of Interest) from each director at the first Board Meeting, and annually/on change thereafter.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Obtaining Form DIR-8 (Declaration of Non-Disqualification) from each director annually.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Verification of disclosed interests against the Register of Contracts or Arrangements (Section 189) and updating the register.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Cross-checking disclosed directorships/interests against MCA director master data to identify undisclosed related-party exposure.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Maintaining a disclosure tracker with due dates for annual renewal of MBP-1/DIR-8.</w:t>
      </w:r>
    </w:p>
    <w:p>
      <w:pPr>
        <w:spacing w:after="70" w:before="150"/>
      </w:pPr>
      <w:r>
        <w:rPr>
          <w:b/>
          <w:bCs/>
          <w:color w:val="8A6D1F"/>
          <w:sz w:val="19"/>
          <w:szCs w:val="19"/>
        </w:rPr>
        <w:t xml:space="preserve">6. Update of Statutory Registers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Register of Members – subscriber/allottee details, folio numbers, distinctive share numbers, consideration received (Form MGT-1 format).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Register of Directors and KMP – Section 170 details (Form MGT-10 format).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Register of Charges – maintained even if nil, ready for future use (Form CHG-7).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Register of Contracts or Arrangements in which Directors are Interested (Form MBP-4).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Physical/digital indexing and page-numbering of all statutory registers as required under the Companies (Management and Administration) Rules.</w:t>
      </w:r>
    </w:p>
    <w:p>
      <w:r>
        <w:br w:type="page"/>
      </w:r>
    </w:p>
    <w:p>
      <w:pPr>
        <w:pStyle w:val="Heading1"/>
        <w:spacing w:after="110" w:before="260"/>
      </w:pPr>
      <w:r>
        <w:rPr>
          <w:b/>
          <w:bCs/>
          <w:color w:val="1A1A1A"/>
          <w:sz w:val="22"/>
          <w:szCs w:val="22"/>
        </w:rPr>
        <w:t xml:space="preserve">SCHEDULE II – STAMPING OF SHARE CERTIFICATES (MANDATORY)</w:t>
      </w:r>
    </w:p>
    <w:p>
      <w:pPr>
        <w:spacing w:after="120" w:line="290"/>
        <w:jc w:val="both"/>
      </w:pPr>
      <w:r>
        <w:rPr>
          <w:i/>
          <w:iCs/>
          <w:color w:val="555555"/>
          <w:sz w:val="17"/>
          <w:szCs w:val="17"/>
        </w:rPr>
        <w:t xml:space="preserve">Stamping of share certificates is a mandatory statutory requirement and is handled as a separately priced service given the department-level coordination and physical follow-up it involves.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Computation of stamp duty payable on issue of share certificates, based on the authorized/subscribed share capital, as per the applicable State Stamp Act.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Preparation and submission of application before the Collector of Stamps / e-Stamping authority, along with supporting documents (MOA, AOA, Board Resolution, draft share certificates).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Physical submission of documents with the revenue department for stamping of share certificates.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Follow-up with the Revenue Department for stamping/franking of the physical certificates.</w:t>
      </w:r>
    </w:p>
    <w:p>
      <w:pPr>
        <w:pStyle w:val="ListParagraph"/>
        <w:numPr>
          <w:ilvl w:val="0"/>
          <w:numId w:val="1"/>
        </w:numPr>
        <w:spacing w:after="80" w:line="270"/>
        <w:ind w:left="300"/>
      </w:pPr>
      <w:r>
        <w:rPr>
          <w:sz w:val="18"/>
          <w:szCs w:val="18"/>
        </w:rPr>
        <w:t xml:space="preserve">Affixation of stamped/franked certificates and safe return to client with proper record of duty paid.</w:t>
      </w:r>
    </w:p>
    <w:p>
      <w:pPr>
        <w:pStyle w:val="Heading1"/>
        <w:spacing w:after="110" w:before="260"/>
      </w:pPr>
      <w:r>
        <w:rPr>
          <w:b/>
          <w:bCs/>
          <w:color w:val="1A1A1A"/>
          <w:sz w:val="22"/>
          <w:szCs w:val="22"/>
        </w:rPr>
        <w:t xml:space="preserve">Investment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20"/>
        <w:gridCol w:w="3000"/>
      </w:tblGrid>
      <w:tr>
        <w:tc>
          <w:tcPr>
            <w:tcW w:type="dxa" w:w="700"/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Schedule</w:t>
            </w:r>
          </w:p>
        </w:tc>
        <w:tc>
          <w:tcPr>
            <w:tcW w:type="dxa" w:w="5320"/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3000"/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Professional Fees (INR)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532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Post-Incorporation Compliance (as detailed above)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25,000/-</w:t>
            </w:r>
          </w:p>
        </w:tc>
      </w:tr>
      <w:tr>
        <w:tc>
          <w:tcPr>
            <w:tcW w:type="dxa" w:w="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II</w:t>
            </w:r>
          </w:p>
        </w:tc>
        <w:tc>
          <w:tcPr>
            <w:tcW w:type="dxa" w:w="532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Stamping of Share Certificates (Mandatory)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15,000/-</w:t>
            </w:r>
          </w:p>
        </w:tc>
      </w:tr>
    </w:tbl>
    <w:p>
      <w:pPr>
        <w:spacing w:after="80" w:before="150"/>
      </w:pPr>
      <w:r>
        <w:rPr>
          <w:b/>
          <w:bCs/>
          <w:sz w:val="20"/>
          <w:szCs w:val="20"/>
        </w:rPr>
        <w:t xml:space="preserve">Total Professional Fees: INR 40,000/- + applicable GST</w:t>
      </w:r>
    </w:p>
    <w:p>
      <w:pPr>
        <w:spacing w:after="120" w:line="290"/>
        <w:jc w:val="both"/>
      </w:pPr>
      <w:r>
        <w:rPr>
          <w:i/>
          <w:iCs/>
          <w:color w:val="555555"/>
          <w:sz w:val="17"/>
          <w:szCs w:val="17"/>
        </w:rPr>
        <w:t xml:space="preserve">Government/statutory fees are separate and payable on actuals, including but not limited to: ROC filing fee for Form ADT-1 (normal fee + late fee, 2x–12x, depending on delay), and actual stamp duty payable on share certificates as per the applicable State Stamp Act.</w:t>
      </w:r>
    </w:p>
    <w:p>
      <w:pPr>
        <w:spacing w:after="250" w:before="500"/>
      </w:pPr>
      <w:r>
        <w:rPr>
          <w:sz w:val="19"/>
          <w:szCs w:val="19"/>
        </w:rPr>
        <w:t xml:space="preserve">We look forward to handling your company's post-incorporation compliance end-to-end.</w:t>
      </w:r>
    </w:p>
    <w:p>
      <w:pPr>
        <w:spacing w:after="60" w:before="400"/>
      </w:pPr>
      <w:r>
        <w:rPr>
          <w:b/>
          <w:bCs/>
          <w:sz w:val="19"/>
          <w:szCs w:val="19"/>
        </w:rPr>
        <w:t xml:space="preserve">For Shardhan Corporate Consultants LLP</w:t>
      </w:r>
    </w:p>
    <w:p>
      <w:pPr>
        <w:spacing w:before="500"/>
      </w:pPr>
      <w:r>
        <w:rPr>
          <w:sz w:val="18"/>
          <w:szCs w:val="18"/>
        </w:rPr>
        <w:t xml:space="preserve">Authorized Signatory</w:t>
      </w:r>
    </w:p>
    <w:sectPr>
      <w:headerReference w:type="default" r:id="rId9"/>
      <w:footerReference w:type="default" r:id="rId10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1820"/>
      <w:gridCol w:w="3600"/>
    </w:tblGrid>
    <w:tr>
      <w:tc>
        <w:tcPr>
          <w:tcW w:type="dxa" w:w="3600"/>
          <w:tcBorders>
            <w:top w:val="single" w:color="2E74B5" w:sz="4"/>
            <w:left w:val="none"/>
            <w:bottom w:val="single" w:color="2E74B5" w:sz="4"/>
            <w:right w:val="none"/>
          </w:tcBorders>
        </w:tcPr>
        <w:p/>
      </w:tc>
      <w:tc>
        <w:tcPr>
          <w:tcW w:type="dxa" w:w="1820"/>
          <w:vAlign w:val="center"/>
        </w:tcPr>
        <w:p>
          <w:pPr>
            <w:jc w:val="center"/>
          </w:pPr>
          <w:r>
            <w:rPr>
              <w:b/>
              <w:bCs/>
              <w:sz w:val="18"/>
              <w:szCs w:val="18"/>
            </w:rPr>
            <w:t xml:space="preserve">Page </w:t>
          </w:r>
          <w:r>
            <w:rPr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  <w:tc>
        <w:tcPr>
          <w:tcW w:type="dxa" w:w="3600"/>
          <w:tcBorders>
            <w:top w:val="single" w:color="2E74B5" w:sz="4"/>
            <w:left w:val="none"/>
            <w:bottom w:val="single" w:color="2E74B5" w:sz="4"/>
            <w:right w:val="none"/>
          </w:tcBorders>
        </w:tcPr>
        <w:p/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1820"/>
      <w:gridCol w:w="3600"/>
    </w:tblGrid>
    <w:tr>
      <w:tc>
        <w:tcPr>
          <w:tcW w:type="dxa" w:w="3600"/>
          <w:tcBorders>
            <w:top w:val="single" w:color="2E74B5" w:sz="4"/>
            <w:left w:val="none"/>
            <w:bottom w:val="single" w:color="2E74B5" w:sz="4"/>
            <w:right w:val="none"/>
          </w:tcBorders>
        </w:tcPr>
        <w:p/>
      </w:tc>
      <w:tc>
        <w:tcPr>
          <w:tcW w:type="dxa" w:w="1820"/>
          <w:vAlign w:val="center"/>
        </w:tcPr>
        <w:p>
          <w:pPr>
            <w:jc w:val="center"/>
          </w:pPr>
          <w:r>
            <w:rPr>
              <w:b/>
              <w:bCs/>
              <w:sz w:val="18"/>
              <w:szCs w:val="18"/>
            </w:rPr>
            <w:t xml:space="preserve">Page </w:t>
          </w:r>
          <w:r>
            <w:rPr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  <w:tc>
        <w:tcPr>
          <w:tcW w:type="dxa" w:w="3600"/>
          <w:tcBorders>
            <w:top w:val="single" w:color="2E74B5" w:sz="4"/>
            <w:left w:val="none"/>
            <w:bottom w:val="single" w:color="2E74B5" w:sz="4"/>
            <w:right w:val="none"/>
          </w:tcBorders>
        </w:tcPr>
        <w:p/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55555"/>
        <w:sz w:val="16"/>
        <w:szCs w:val="16"/>
      </w:rPr>
      <w:t xml:space="preserve">Reference Number: SCC-PROP-SEC-01  |  Shardhan 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55555"/>
        <w:sz w:val="16"/>
        <w:szCs w:val="16"/>
      </w:rPr>
      <w:t xml:space="preserve">Reference Number: SCC-PROP-SEC-01  |  Shardhan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Shardhan Proposal - Post-Incorporation Secretarial Compliance</dc:title>
  <dc:creator>Un-named</dc:creator>
  <dc:description>Business Proposal</dc:description>
  <cp:lastModifiedBy>Un-named</cp:lastModifiedBy>
  <cp:revision>1</cp:revision>
  <dcterms:created xsi:type="dcterms:W3CDTF">2026-08-13T07:56:30.612Z</dcterms:created>
  <dcterms:modified xsi:type="dcterms:W3CDTF">2026-08-13T07:56:30.632Z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