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1A1A1A"/>
          <w:sz w:val="40"/>
          <w:szCs w:val="40"/>
        </w:rPr>
        <w:t xml:space="preserve">S H A R D H A N</w:t>
      </w:r>
    </w:p>
    <w:p>
      <w:pPr>
        <w:spacing w:after="120"/>
        <w:jc w:val="center"/>
      </w:pPr>
      <w:r>
        <w:rPr>
          <w:i/>
          <w:iCs/>
          <w:color w:val="555555"/>
          <w:sz w:val="26"/>
          <w:szCs w:val="26"/>
        </w:rPr>
        <w:t xml:space="preserve">Consultants</w:t>
      </w:r>
    </w:p>
    <w:p>
      <w:pPr>
        <w:spacing w:after="200"/>
        <w:jc w:val="center"/>
      </w:pPr>
      <w:r>
        <w:rPr>
          <w:b/>
          <w:bCs/>
          <w:sz w:val="22"/>
          <w:szCs w:val="22"/>
        </w:rPr>
        <w:t xml:space="preserve">SHARDHAN CORPORATE CONSULTANTS LLP</w:t>
      </w:r>
    </w:p>
    <w:p>
      <w:pPr>
        <w:spacing w:after="200" w:before="900"/>
        <w:jc w:val="center"/>
      </w:pPr>
      <w:r>
        <w:rPr>
          <w:sz w:val="32"/>
          <w:szCs w:val="32"/>
        </w:rPr>
        <w:t xml:space="preserve">SALES PARTNER ENGAGEMENT</w:t>
      </w:r>
    </w:p>
    <w:p>
      <w:pPr>
        <w:spacing w:after="200"/>
        <w:jc w:val="center"/>
      </w:pPr>
      <w:r>
        <w:rPr>
          <w:sz w:val="32"/>
          <w:szCs w:val="32"/>
        </w:rPr>
        <w:t xml:space="preserve">&amp; ONBOARDING AGREEMENT</w:t>
      </w:r>
    </w:p>
    <w:p>
      <w:pPr>
        <w:spacing w:after="60" w:before="400"/>
        <w:jc w:val="center"/>
      </w:pPr>
      <w:r>
        <w:rPr>
          <w:b/>
          <w:bCs/>
          <w:sz w:val="26"/>
          <w:szCs w:val="26"/>
        </w:rPr>
        <w:t xml:space="preserve">MR. DHANANJAY KUMAR</w:t>
      </w:r>
    </w:p>
    <w:p>
      <w:pPr>
        <w:spacing w:after="400"/>
        <w:jc w:val="center"/>
      </w:pPr>
      <w:r>
        <w:rPr>
          <w:i/>
          <w:iCs/>
          <w:color w:val="8A6D1F"/>
          <w:sz w:val="20"/>
          <w:szCs w:val="20"/>
        </w:rPr>
        <w:t xml:space="preserve">Territory: Bihar Sharif  |  Nalanda  |  Pawapuri</w:t>
      </w:r>
    </w:p>
    <w:p>
      <w:pPr>
        <w:spacing w:after="60"/>
        <w:jc w:val="center"/>
      </w:pPr>
      <w:r>
        <w:rPr>
          <w:sz w:val="19"/>
          <w:szCs w:val="19"/>
        </w:rPr>
        <w:t xml:space="preserve">Prepared by: Shardhan Corporate Consultants LLP</w:t>
      </w:r>
    </w:p>
    <w:p>
      <w:pPr>
        <w:spacing w:after="800"/>
        <w:jc w:val="center"/>
      </w:pPr>
      <w:r>
        <w:rPr>
          <w:sz w:val="19"/>
          <w:szCs w:val="19"/>
        </w:rPr>
        <w:t xml:space="preserve">August 2026</w:t>
      </w:r>
    </w:p>
    <w:p>
      <w:pPr>
        <w:spacing w:before="1200"/>
        <w:jc w:val="center"/>
      </w:pPr>
      <w:r>
        <w:rPr>
          <w:sz w:val="19"/>
          <w:szCs w:val="19"/>
        </w:rPr>
        <w:t xml:space="preserve">Private &amp; Confidential</w:t>
      </w:r>
    </w:p>
    <w:p>
      <w:r>
        <w:br w:type="page"/>
      </w:r>
    </w:p>
    <w:p>
      <w:pPr>
        <w:sectPr>
          <w:headerReference w:type="default" r:id="rId7"/>
          <w:footerReference w:type="default" r:id="rId8"/>
          <w:pgSz w:w="12240" w:h="15840" w:orient="portrait"/>
          <w:pgMar w:top="1300" w:right="1300" w:bottom="1300" w:left="1300" w:header="708" w:footer="708" w:gutter="0"/>
          <w:pgNumType/>
          <w:docGrid w:linePitch="360"/>
        </w:sectPr>
      </w:pPr>
    </w:p>
    <w:p>
      <w:pPr>
        <w:spacing w:after="120" w:line="290"/>
        <w:jc w:val="both"/>
      </w:pPr>
      <w:r>
        <w:rPr>
          <w:sz w:val="19"/>
          <w:szCs w:val="19"/>
        </w:rPr>
        <w:t xml:space="preserve">This Sales Partner Engagement &amp; Onboarding Agreement (“Agreement”) is entered into at Patna on this ____ day of __________, 2026, by and between:</w:t>
      </w:r>
    </w:p>
    <w:p>
      <w:pPr>
        <w:spacing w:after="120" w:line="290"/>
        <w:jc w:val="both"/>
      </w:pPr>
      <w:r>
        <w:rPr>
          <w:sz w:val="19"/>
          <w:szCs w:val="19"/>
        </w:rPr>
        <w:t xml:space="preserve">SHARDHAN CORPORATE CONSULTANTS LLP, a Limited Liability Partnership registered under the laws of India, having its registered office at Anish Kunj, East Patna Central School Chauraha, New Jaganpura, Patna, Sampatchak, Bihar – 800027 (hereinafter referred to as “Shardhan” or “the Company”), of the FIRST PART;</w:t>
      </w:r>
    </w:p>
    <w:p>
      <w:pPr>
        <w:spacing w:after="120" w:line="290"/>
        <w:jc w:val="both"/>
      </w:pPr>
      <w:r>
        <w:rPr>
          <w:sz w:val="19"/>
          <w:szCs w:val="19"/>
        </w:rPr>
        <w:t xml:space="preserve">AND</w:t>
      </w:r>
    </w:p>
    <w:p>
      <w:pPr>
        <w:spacing w:after="120" w:line="290"/>
        <w:jc w:val="both"/>
      </w:pPr>
      <w:r>
        <w:rPr>
          <w:sz w:val="19"/>
          <w:szCs w:val="19"/>
        </w:rPr>
        <w:t xml:space="preserve">Mr. Dhananjay Kumar (hereinafter referred to as the “Sales Partner”), of the SECOND PART.</w:t>
      </w:r>
    </w:p>
    <w:p>
      <w:pPr>
        <w:pStyle w:val="Heading1"/>
        <w:spacing w:after="130" w:before="300"/>
      </w:pPr>
      <w:r>
        <w:rPr>
          <w:b/>
          <w:bCs/>
          <w:color w:val="1A1A1A"/>
          <w:sz w:val="24"/>
          <w:szCs w:val="24"/>
        </w:rPr>
        <w:t xml:space="preserve">1. Appointment &amp; Onboarding</w:t>
      </w:r>
    </w:p>
    <w:p>
      <w:pPr>
        <w:spacing w:after="110" w:line="285"/>
        <w:ind w:left="340" w:hanging="340"/>
        <w:jc w:val="both"/>
      </w:pPr>
      <w:r>
        <w:rPr>
          <w:b/>
          <w:bCs/>
          <w:sz w:val="19"/>
          <w:szCs w:val="19"/>
        </w:rPr>
        <w:t xml:space="preserve">1.1	</w:t>
      </w:r>
      <w:r>
        <w:rPr>
          <w:sz w:val="19"/>
          <w:szCs w:val="19"/>
        </w:rPr>
        <w:t xml:space="preserve">Shardhan hereby appoints Mr. Dhananjay Kumar as its Sales Partner for business development and client referrals, and the Sales Partner accepts such appointment on the terms set out in this Agreement.</w:t>
      </w:r>
    </w:p>
    <w:p>
      <w:pPr>
        <w:spacing w:after="110" w:line="285"/>
        <w:ind w:left="340" w:hanging="340"/>
        <w:jc w:val="both"/>
      </w:pPr>
      <w:r>
        <w:rPr>
          <w:b/>
          <w:bCs/>
          <w:sz w:val="19"/>
          <w:szCs w:val="19"/>
        </w:rPr>
        <w:t xml:space="preserve">1.2	</w:t>
      </w:r>
      <w:r>
        <w:rPr>
          <w:b/>
          <w:bCs/>
          <w:sz w:val="19"/>
          <w:szCs w:val="19"/>
        </w:rPr>
        <w:t xml:space="preserve">Territory. </w:t>
      </w:r>
      <w:r>
        <w:rPr>
          <w:sz w:val="19"/>
          <w:szCs w:val="19"/>
        </w:rPr>
        <w:t xml:space="preserve">The Sales Partner shall be responsible for sales and client acquisition in the region comprising Bihar Sharif, Nalanda, and Pawapuri (“the Territory”). Any lead outside the Territory shall require prior confirmation from Shardhan before being pursued.</w:t>
      </w:r>
    </w:p>
    <w:p>
      <w:pPr>
        <w:spacing w:after="110" w:line="285"/>
        <w:ind w:left="340" w:hanging="340"/>
        <w:jc w:val="both"/>
      </w:pPr>
      <w:r>
        <w:rPr>
          <w:b/>
          <w:bCs/>
          <w:sz w:val="19"/>
          <w:szCs w:val="19"/>
        </w:rPr>
        <w:t xml:space="preserve">1.3	</w:t>
      </w:r>
      <w:r>
        <w:rPr>
          <w:b/>
          <w:bCs/>
          <w:sz w:val="19"/>
          <w:szCs w:val="19"/>
        </w:rPr>
        <w:t xml:space="preserve">Scope of Role. </w:t>
      </w:r>
      <w:r>
        <w:rPr>
          <w:sz w:val="19"/>
          <w:szCs w:val="19"/>
        </w:rPr>
        <w:t xml:space="preserve">The Sales Partner shall identify prospective clients for Shardhan's services (including business incorporation, compliance, taxation, virtual CFO, technology and advisory services), introduce them to Shardhan, and support the initial relationship until the client is formally onboarded by Shardhan.</w:t>
      </w:r>
    </w:p>
    <w:p>
      <w:pPr>
        <w:spacing w:after="110" w:line="285"/>
        <w:ind w:left="340" w:hanging="340"/>
        <w:jc w:val="both"/>
      </w:pPr>
      <w:r>
        <w:rPr>
          <w:b/>
          <w:bCs/>
          <w:sz w:val="19"/>
          <w:szCs w:val="19"/>
        </w:rPr>
        <w:t xml:space="preserve">1.4	</w:t>
      </w:r>
      <w:r>
        <w:rPr>
          <w:b/>
          <w:bCs/>
          <w:sz w:val="19"/>
          <w:szCs w:val="19"/>
        </w:rPr>
        <w:t xml:space="preserve">Nature of Engagement. </w:t>
      </w:r>
      <w:r>
        <w:rPr>
          <w:sz w:val="19"/>
          <w:szCs w:val="19"/>
        </w:rPr>
        <w:t xml:space="preserve">This is a commission-based, principal-to-principal engagement. Nothing in this Agreement creates an employer-employee relationship, partnership, or agency. The Sales Partner shall not sign contracts, collect payments, issue invoices, or make service/pricing commitments on behalf of Shardhan without prior written authorization.</w:t>
      </w:r>
    </w:p>
    <w:p>
      <w:pPr>
        <w:spacing w:after="110" w:line="285"/>
        <w:ind w:left="340" w:hanging="340"/>
        <w:jc w:val="both"/>
      </w:pPr>
      <w:r>
        <w:rPr>
          <w:b/>
          <w:bCs/>
          <w:sz w:val="19"/>
          <w:szCs w:val="19"/>
        </w:rPr>
        <w:t xml:space="preserve">1.5	</w:t>
      </w:r>
      <w:r>
        <w:rPr>
          <w:b/>
          <w:bCs/>
          <w:sz w:val="19"/>
          <w:szCs w:val="19"/>
        </w:rPr>
        <w:t xml:space="preserve">Onboarding Requirements. </w:t>
      </w:r>
      <w:r>
        <w:rPr>
          <w:sz w:val="19"/>
          <w:szCs w:val="19"/>
        </w:rPr>
        <w:t xml:space="preserve">On execution of this Agreement, the Sales Partner shall provide: (a) PAN; (b) Aadhaar; (c) Bank account details for commission payouts; (d) Passport-size photograph; and (e) Signed copy of this Agreement. Shardhan shall provide an introduction to its service lines, indicative pricing guidance, and marketing material for use in the Territory.</w:t>
      </w:r>
    </w:p>
    <w:p>
      <w:pPr>
        <w:pStyle w:val="Heading1"/>
        <w:spacing w:after="130" w:before="300"/>
      </w:pPr>
      <w:r>
        <w:rPr>
          <w:b/>
          <w:bCs/>
          <w:color w:val="1A1A1A"/>
          <w:sz w:val="24"/>
          <w:szCs w:val="24"/>
        </w:rPr>
        <w:t xml:space="preserve">2. The Commission Structure</w:t>
      </w:r>
    </w:p>
    <w:p>
      <w:pPr>
        <w:spacing w:after="90" w:before="170"/>
      </w:pPr>
      <w:r>
        <w:rPr>
          <w:b/>
          <w:bCs/>
          <w:color w:val="8A6D1F"/>
          <w:sz w:val="20"/>
          <w:szCs w:val="20"/>
        </w:rPr>
        <w:t xml:space="preserve">TRACK A: Fixed Assignments (One-Time Projects)</w:t>
      </w:r>
    </w:p>
    <w:p>
      <w:pPr>
        <w:spacing w:after="120" w:line="290"/>
        <w:jc w:val="both"/>
      </w:pPr>
      <w:r>
        <w:rPr>
          <w:sz w:val="19"/>
          <w:szCs w:val="19"/>
        </w:rPr>
        <w:t xml:space="preserve">This applies to project-based, one-off contracts (e.g., fixed-fee developments, single consulting assignments, or one-time engagements). Commission is calculated as a percentage of the total project invoice paid by the client: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700"/>
        <w:gridCol w:w="4320"/>
      </w:tblGrid>
      <w:tr>
        <w:tc>
          <w:tcPr>
            <w:tcW w:type="dxa" w:w="4700"/>
            <w:shd w:fill="D9D9D9" w:val="clear"/>
            <w:tcMar>
              <w:top w:type="dxa" w:w="90"/>
              <w:left w:type="dxa" w:w="110"/>
              <w:bottom w:type="dxa" w:w="90"/>
              <w:right w:type="dxa" w:w="110"/>
            </w:tcMar>
            <w:vAlign w:val="center"/>
          </w:tcPr>
          <w:p>
            <w:r>
              <w:rPr>
                <w:b/>
                <w:bCs/>
                <w:sz w:val="18"/>
                <w:szCs w:val="18"/>
              </w:rPr>
              <w:t xml:space="preserve">Cumulative Deals Closed</w:t>
            </w:r>
          </w:p>
        </w:tc>
        <w:tc>
          <w:tcPr>
            <w:tcW w:type="dxa" w:w="4320"/>
            <w:shd w:fill="D9D9D9" w:val="clear"/>
            <w:tcMar>
              <w:top w:type="dxa" w:w="90"/>
              <w:left w:type="dxa" w:w="110"/>
              <w:bottom w:type="dxa" w:w="90"/>
              <w:right w:type="dxa" w:w="110"/>
            </w:tcMar>
            <w:vAlign w:val="center"/>
          </w:tcPr>
          <w:p>
            <w:r>
              <w:rPr>
                <w:b/>
                <w:bCs/>
                <w:sz w:val="18"/>
                <w:szCs w:val="18"/>
              </w:rPr>
              <w:t xml:space="preserve">Commission Rate</w:t>
            </w:r>
          </w:p>
        </w:tc>
      </w:tr>
      <w:tr>
        <w:tc>
          <w:tcPr>
            <w:tcW w:type="dxa" w:w="4700"/>
            <w:shd w:fill="FFFFFF" w:val="clear"/>
            <w:tcMar>
              <w:top w:type="dxa" w:w="90"/>
              <w:left w:type="dxa" w:w="110"/>
              <w:bottom w:type="dxa" w:w="90"/>
              <w:right w:type="dxa" w:w="110"/>
            </w:tcMar>
            <w:vAlign w:val="center"/>
          </w:tcPr>
          <w:p>
            <w:r>
              <w:rPr>
                <w:b w:val="false"/>
                <w:bCs w:val="false"/>
                <w:sz w:val="18"/>
                <w:szCs w:val="18"/>
              </w:rPr>
              <w:t xml:space="preserve">Deals 1 to 20</w:t>
            </w:r>
          </w:p>
        </w:tc>
        <w:tc>
          <w:tcPr>
            <w:tcW w:type="dxa" w:w="4320"/>
            <w:shd w:fill="FFFFFF" w:val="clear"/>
            <w:tcMar>
              <w:top w:type="dxa" w:w="90"/>
              <w:left w:type="dxa" w:w="110"/>
              <w:bottom w:type="dxa" w:w="90"/>
              <w:right w:type="dxa" w:w="110"/>
            </w:tcMar>
            <w:vAlign w:val="center"/>
          </w:tcPr>
          <w:p>
            <w:r>
              <w:rPr>
                <w:b w:val="false"/>
                <w:bCs w:val="false"/>
                <w:sz w:val="18"/>
                <w:szCs w:val="18"/>
              </w:rPr>
              <w:t xml:space="preserve">15% of the paid contract value</w:t>
            </w:r>
          </w:p>
        </w:tc>
      </w:tr>
      <w:tr>
        <w:tc>
          <w:tcPr>
            <w:tcW w:type="dxa" w:w="4700"/>
            <w:shd w:fill="FFFFFF" w:val="clear"/>
            <w:tcMar>
              <w:top w:type="dxa" w:w="90"/>
              <w:left w:type="dxa" w:w="110"/>
              <w:bottom w:type="dxa" w:w="90"/>
              <w:right w:type="dxa" w:w="110"/>
            </w:tcMar>
            <w:vAlign w:val="center"/>
          </w:tcPr>
          <w:p>
            <w:r>
              <w:rPr>
                <w:b w:val="false"/>
                <w:bCs w:val="false"/>
                <w:sz w:val="18"/>
                <w:szCs w:val="18"/>
              </w:rPr>
              <w:t xml:space="preserve">Deals 21 to 30</w:t>
            </w:r>
          </w:p>
        </w:tc>
        <w:tc>
          <w:tcPr>
            <w:tcW w:type="dxa" w:w="4320"/>
            <w:shd w:fill="FFFFFF" w:val="clear"/>
            <w:tcMar>
              <w:top w:type="dxa" w:w="90"/>
              <w:left w:type="dxa" w:w="110"/>
              <w:bottom w:type="dxa" w:w="90"/>
              <w:right w:type="dxa" w:w="110"/>
            </w:tcMar>
            <w:vAlign w:val="center"/>
          </w:tcPr>
          <w:p>
            <w:r>
              <w:rPr>
                <w:b w:val="false"/>
                <w:bCs w:val="false"/>
                <w:sz w:val="18"/>
                <w:szCs w:val="18"/>
              </w:rPr>
              <w:t xml:space="preserve">20% of the paid contract value</w:t>
            </w:r>
          </w:p>
        </w:tc>
      </w:tr>
      <w:tr>
        <w:tc>
          <w:tcPr>
            <w:tcW w:type="dxa" w:w="4700"/>
            <w:shd w:fill="FFFFFF" w:val="clear"/>
            <w:tcMar>
              <w:top w:type="dxa" w:w="90"/>
              <w:left w:type="dxa" w:w="110"/>
              <w:bottom w:type="dxa" w:w="90"/>
              <w:right w:type="dxa" w:w="110"/>
            </w:tcMar>
            <w:vAlign w:val="center"/>
          </w:tcPr>
          <w:p>
            <w:r>
              <w:rPr>
                <w:b w:val="false"/>
                <w:bCs w:val="false"/>
                <w:sz w:val="18"/>
                <w:szCs w:val="18"/>
              </w:rPr>
              <w:t xml:space="preserve">Deals 31 onwards</w:t>
            </w:r>
          </w:p>
        </w:tc>
        <w:tc>
          <w:tcPr>
            <w:tcW w:type="dxa" w:w="4320"/>
            <w:shd w:fill="FFFFFF" w:val="clear"/>
            <w:tcMar>
              <w:top w:type="dxa" w:w="90"/>
              <w:left w:type="dxa" w:w="110"/>
              <w:bottom w:type="dxa" w:w="90"/>
              <w:right w:type="dxa" w:w="110"/>
            </w:tcMar>
            <w:vAlign w:val="center"/>
          </w:tcPr>
          <w:p>
            <w:r>
              <w:rPr>
                <w:b w:val="false"/>
                <w:bCs w:val="false"/>
                <w:sz w:val="18"/>
                <w:szCs w:val="18"/>
              </w:rPr>
              <w:t xml:space="preserve">25% of the paid contract value</w:t>
            </w:r>
          </w:p>
        </w:tc>
      </w:tr>
      <w:tr>
        <w:tc>
          <w:tcPr>
            <w:tcW w:type="dxa" w:w="4700"/>
            <w:shd w:fill="FFFFFF" w:val="clear"/>
            <w:tcMar>
              <w:top w:type="dxa" w:w="90"/>
              <w:left w:type="dxa" w:w="110"/>
              <w:bottom w:type="dxa" w:w="90"/>
              <w:right w:type="dxa" w:w="110"/>
            </w:tcMar>
            <w:vAlign w:val="center"/>
          </w:tcPr>
          <w:p>
            <w:r>
              <w:rPr>
                <w:b w:val="false"/>
                <w:bCs w:val="false"/>
                <w:sz w:val="18"/>
                <w:szCs w:val="18"/>
              </w:rPr>
              <w:t xml:space="preserve">Beyond sustained 31+ performance</w:t>
            </w:r>
          </w:p>
        </w:tc>
        <w:tc>
          <w:tcPr>
            <w:tcW w:type="dxa" w:w="4320"/>
            <w:shd w:fill="FFFFFF" w:val="clear"/>
            <w:tcMar>
              <w:top w:type="dxa" w:w="90"/>
              <w:left w:type="dxa" w:w="110"/>
              <w:bottom w:type="dxa" w:w="90"/>
              <w:right w:type="dxa" w:w="110"/>
            </w:tcMar>
            <w:vAlign w:val="center"/>
          </w:tcPr>
          <w:p>
            <w:r>
              <w:rPr>
                <w:b w:val="false"/>
                <w:bCs w:val="false"/>
                <w:sz w:val="18"/>
                <w:szCs w:val="18"/>
              </w:rPr>
              <w:t xml:space="preserve">To be mutually discussed and revised</w:t>
            </w:r>
          </w:p>
        </w:tc>
      </w:tr>
    </w:tbl>
    <w:p>
      <w:pPr>
        <w:spacing w:after="90" w:before="170"/>
      </w:pPr>
      <w:r>
        <w:rPr>
          <w:b/>
          <w:bCs/>
          <w:color w:val="8A6D1F"/>
          <w:sz w:val="20"/>
          <w:szCs w:val="20"/>
        </w:rPr>
        <w:t xml:space="preserve">TRACK B: Recurring Assignments (Retainers / Subscriptions)</w:t>
      </w:r>
    </w:p>
    <w:p>
      <w:pPr>
        <w:spacing w:after="120" w:line="290"/>
        <w:jc w:val="both"/>
      </w:pPr>
      <w:r>
        <w:rPr>
          <w:sz w:val="19"/>
          <w:szCs w:val="19"/>
        </w:rPr>
        <w:t xml:space="preserve">This applies to ongoing, monthly, or recurring contracts (e.g., compliance retainers, ongoing monthly engagements, or subscription services). Commission is calculated on the Monthly Recurring Revenue (MRR) received by Shardhan: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700"/>
        <w:gridCol w:w="4320"/>
      </w:tblGrid>
      <w:tr>
        <w:tc>
          <w:tcPr>
            <w:tcW w:type="dxa" w:w="4700"/>
            <w:shd w:fill="D9D9D9" w:val="clear"/>
            <w:tcMar>
              <w:top w:type="dxa" w:w="90"/>
              <w:left w:type="dxa" w:w="110"/>
              <w:bottom w:type="dxa" w:w="90"/>
              <w:right w:type="dxa" w:w="110"/>
            </w:tcMar>
            <w:vAlign w:val="center"/>
          </w:tcPr>
          <w:p>
            <w:r>
              <w:rPr>
                <w:b/>
                <w:bCs/>
                <w:sz w:val="18"/>
                <w:szCs w:val="18"/>
              </w:rPr>
              <w:t xml:space="preserve">Active Paying Clients</w:t>
            </w:r>
          </w:p>
        </w:tc>
        <w:tc>
          <w:tcPr>
            <w:tcW w:type="dxa" w:w="4320"/>
            <w:shd w:fill="D9D9D9" w:val="clear"/>
            <w:tcMar>
              <w:top w:type="dxa" w:w="90"/>
              <w:left w:type="dxa" w:w="110"/>
              <w:bottom w:type="dxa" w:w="90"/>
              <w:right w:type="dxa" w:w="110"/>
            </w:tcMar>
            <w:vAlign w:val="center"/>
          </w:tcPr>
          <w:p>
            <w:r>
              <w:rPr>
                <w:b/>
                <w:bCs/>
                <w:sz w:val="18"/>
                <w:szCs w:val="18"/>
              </w:rPr>
              <w:t xml:space="preserve">Commission Rate</w:t>
            </w:r>
          </w:p>
        </w:tc>
      </w:tr>
      <w:tr>
        <w:tc>
          <w:tcPr>
            <w:tcW w:type="dxa" w:w="4700"/>
            <w:shd w:fill="FFFFFF" w:val="clear"/>
            <w:tcMar>
              <w:top w:type="dxa" w:w="90"/>
              <w:left w:type="dxa" w:w="110"/>
              <w:bottom w:type="dxa" w:w="90"/>
              <w:right w:type="dxa" w:w="110"/>
            </w:tcMar>
            <w:vAlign w:val="center"/>
          </w:tcPr>
          <w:p>
            <w:r>
              <w:rPr>
                <w:b w:val="false"/>
                <w:bCs w:val="false"/>
                <w:sz w:val="18"/>
                <w:szCs w:val="18"/>
              </w:rPr>
              <w:t xml:space="preserve">Active Clients 1 to 20</w:t>
            </w:r>
          </w:p>
        </w:tc>
        <w:tc>
          <w:tcPr>
            <w:tcW w:type="dxa" w:w="4320"/>
            <w:shd w:fill="FFFFFF" w:val="clear"/>
            <w:tcMar>
              <w:top w:type="dxa" w:w="90"/>
              <w:left w:type="dxa" w:w="110"/>
              <w:bottom w:type="dxa" w:w="90"/>
              <w:right w:type="dxa" w:w="110"/>
            </w:tcMar>
            <w:vAlign w:val="center"/>
          </w:tcPr>
          <w:p>
            <w:r>
              <w:rPr>
                <w:b w:val="false"/>
                <w:bCs w:val="false"/>
                <w:sz w:val="18"/>
                <w:szCs w:val="18"/>
              </w:rPr>
              <w:t xml:space="preserve">15% of the MRR</w:t>
            </w:r>
          </w:p>
        </w:tc>
      </w:tr>
      <w:tr>
        <w:tc>
          <w:tcPr>
            <w:tcW w:type="dxa" w:w="4700"/>
            <w:shd w:fill="FFFFFF" w:val="clear"/>
            <w:tcMar>
              <w:top w:type="dxa" w:w="90"/>
              <w:left w:type="dxa" w:w="110"/>
              <w:bottom w:type="dxa" w:w="90"/>
              <w:right w:type="dxa" w:w="110"/>
            </w:tcMar>
            <w:vAlign w:val="center"/>
          </w:tcPr>
          <w:p>
            <w:r>
              <w:rPr>
                <w:b w:val="false"/>
                <w:bCs w:val="false"/>
                <w:sz w:val="18"/>
                <w:szCs w:val="18"/>
              </w:rPr>
              <w:t xml:space="preserve">Active Clients 21 to 30</w:t>
            </w:r>
          </w:p>
        </w:tc>
        <w:tc>
          <w:tcPr>
            <w:tcW w:type="dxa" w:w="4320"/>
            <w:shd w:fill="FFFFFF" w:val="clear"/>
            <w:tcMar>
              <w:top w:type="dxa" w:w="90"/>
              <w:left w:type="dxa" w:w="110"/>
              <w:bottom w:type="dxa" w:w="90"/>
              <w:right w:type="dxa" w:w="110"/>
            </w:tcMar>
            <w:vAlign w:val="center"/>
          </w:tcPr>
          <w:p>
            <w:r>
              <w:rPr>
                <w:b w:val="false"/>
                <w:bCs w:val="false"/>
                <w:sz w:val="18"/>
                <w:szCs w:val="18"/>
              </w:rPr>
              <w:t xml:space="preserve">20% of the MRR</w:t>
            </w:r>
          </w:p>
        </w:tc>
      </w:tr>
      <w:tr>
        <w:tc>
          <w:tcPr>
            <w:tcW w:type="dxa" w:w="4700"/>
            <w:shd w:fill="FFFFFF" w:val="clear"/>
            <w:tcMar>
              <w:top w:type="dxa" w:w="90"/>
              <w:left w:type="dxa" w:w="110"/>
              <w:bottom w:type="dxa" w:w="90"/>
              <w:right w:type="dxa" w:w="110"/>
            </w:tcMar>
            <w:vAlign w:val="center"/>
          </w:tcPr>
          <w:p>
            <w:r>
              <w:rPr>
                <w:b w:val="false"/>
                <w:bCs w:val="false"/>
                <w:sz w:val="18"/>
                <w:szCs w:val="18"/>
              </w:rPr>
              <w:t xml:space="preserve">Active Clients 31 onwards</w:t>
            </w:r>
          </w:p>
        </w:tc>
        <w:tc>
          <w:tcPr>
            <w:tcW w:type="dxa" w:w="4320"/>
            <w:shd w:fill="FFFFFF" w:val="clear"/>
            <w:tcMar>
              <w:top w:type="dxa" w:w="90"/>
              <w:left w:type="dxa" w:w="110"/>
              <w:bottom w:type="dxa" w:w="90"/>
              <w:right w:type="dxa" w:w="110"/>
            </w:tcMar>
            <w:vAlign w:val="center"/>
          </w:tcPr>
          <w:p>
            <w:r>
              <w:rPr>
                <w:b w:val="false"/>
                <w:bCs w:val="false"/>
                <w:sz w:val="18"/>
                <w:szCs w:val="18"/>
              </w:rPr>
              <w:t xml:space="preserve">25% of the MRR</w:t>
            </w:r>
          </w:p>
        </w:tc>
      </w:tr>
      <w:tr>
        <w:tc>
          <w:tcPr>
            <w:tcW w:type="dxa" w:w="4700"/>
            <w:shd w:fill="FFFFFF" w:val="clear"/>
            <w:tcMar>
              <w:top w:type="dxa" w:w="90"/>
              <w:left w:type="dxa" w:w="110"/>
              <w:bottom w:type="dxa" w:w="90"/>
              <w:right w:type="dxa" w:w="110"/>
            </w:tcMar>
            <w:vAlign w:val="center"/>
          </w:tcPr>
          <w:p>
            <w:r>
              <w:rPr>
                <w:b w:val="false"/>
                <w:bCs w:val="false"/>
                <w:sz w:val="18"/>
                <w:szCs w:val="18"/>
              </w:rPr>
              <w:t xml:space="preserve">Beyond sustained 31+ performance</w:t>
            </w:r>
          </w:p>
        </w:tc>
        <w:tc>
          <w:tcPr>
            <w:tcW w:type="dxa" w:w="4320"/>
            <w:shd w:fill="FFFFFF" w:val="clear"/>
            <w:tcMar>
              <w:top w:type="dxa" w:w="90"/>
              <w:left w:type="dxa" w:w="110"/>
              <w:bottom w:type="dxa" w:w="90"/>
              <w:right w:type="dxa" w:w="110"/>
            </w:tcMar>
            <w:vAlign w:val="center"/>
          </w:tcPr>
          <w:p>
            <w:r>
              <w:rPr>
                <w:b w:val="false"/>
                <w:bCs w:val="false"/>
                <w:sz w:val="18"/>
                <w:szCs w:val="18"/>
              </w:rPr>
              <w:t xml:space="preserve">To be mutually discussed and revised</w:t>
            </w:r>
          </w:p>
        </w:tc>
      </w:tr>
    </w:tbl>
    <w:p>
      <w:pPr>
        <w:spacing w:after="90" w:before="170"/>
      </w:pPr>
      <w:r>
        <w:rPr>
          <w:b/>
          <w:bCs/>
          <w:color w:val="8A6D1F"/>
          <w:sz w:val="20"/>
          <w:szCs w:val="20"/>
        </w:rPr>
        <w:t xml:space="preserve">TRACK C: Cross-Pollination Bonus (Upgrades)</w:t>
      </w:r>
    </w:p>
    <w:p>
      <w:pPr>
        <w:spacing w:after="110" w:line="285"/>
        <w:ind w:left="340" w:hanging="340"/>
        <w:jc w:val="both"/>
      </w:pPr>
      <w:r>
        <w:rPr>
          <w:b/>
          <w:bCs/>
          <w:sz w:val="19"/>
          <w:szCs w:val="19"/>
        </w:rPr>
        <w:t xml:space="preserve">2.1	</w:t>
      </w:r>
      <w:r>
        <w:rPr>
          <w:b/>
          <w:bCs/>
          <w:sz w:val="19"/>
          <w:szCs w:val="19"/>
        </w:rPr>
        <w:t xml:space="preserve">The Upgrade Bonus. </w:t>
      </w:r>
      <w:r>
        <w:rPr>
          <w:sz w:val="19"/>
          <w:szCs w:val="19"/>
        </w:rPr>
        <w:t xml:space="preserve">If a client originally brought in for a Track A (Fixed) project later upgrades to a Track B (Recurring) retainer or subscription, Shardhan will pay the Sales Partner a one-time flat Upgrade Bonus, the amount of which shall be mutually discussed at that time. In addition to this bonus, that client will also start contributing to the Sales Partner's Track B monthly recurring commission scale.</w:t>
      </w:r>
    </w:p>
    <w:p>
      <w:pPr>
        <w:pStyle w:val="Heading1"/>
        <w:spacing w:after="130" w:before="300"/>
      </w:pPr>
      <w:r>
        <w:rPr>
          <w:b/>
          <w:bCs/>
          <w:color w:val="1A1A1A"/>
          <w:sz w:val="24"/>
          <w:szCs w:val="24"/>
        </w:rPr>
        <w:t xml:space="preserve">3. Payment Terms &amp; Conditions</w:t>
      </w:r>
    </w:p>
    <w:p>
      <w:pPr>
        <w:spacing w:after="110" w:line="285"/>
        <w:ind w:left="340" w:hanging="340"/>
        <w:jc w:val="both"/>
      </w:pPr>
      <w:r>
        <w:rPr>
          <w:b/>
          <w:bCs/>
          <w:sz w:val="19"/>
          <w:szCs w:val="19"/>
        </w:rPr>
        <w:t xml:space="preserve">3.1	</w:t>
      </w:r>
      <w:r>
        <w:rPr>
          <w:b/>
          <w:bCs/>
          <w:sz w:val="19"/>
          <w:szCs w:val="19"/>
        </w:rPr>
        <w:t xml:space="preserve">Payment Trigger. </w:t>
      </w:r>
      <w:r>
        <w:rPr>
          <w:sz w:val="19"/>
          <w:szCs w:val="19"/>
        </w:rPr>
        <w:t xml:space="preserve">No commission is earned or payable until the referred client has signed the official contract with Shardhan and successfully paid their corresponding invoice to Shardhan.</w:t>
      </w:r>
    </w:p>
    <w:p>
      <w:pPr>
        <w:spacing w:after="110" w:line="285"/>
        <w:ind w:left="340" w:hanging="340"/>
        <w:jc w:val="both"/>
      </w:pPr>
      <w:r>
        <w:rPr>
          <w:b/>
          <w:bCs/>
          <w:sz w:val="19"/>
          <w:szCs w:val="19"/>
        </w:rPr>
        <w:t xml:space="preserve">3.2	</w:t>
      </w:r>
      <w:r>
        <w:rPr>
          <w:b/>
          <w:bCs/>
          <w:sz w:val="19"/>
          <w:szCs w:val="19"/>
        </w:rPr>
        <w:t xml:space="preserve">Payment Schedule. </w:t>
      </w:r>
      <w:r>
        <w:rPr>
          <w:sz w:val="19"/>
          <w:szCs w:val="19"/>
        </w:rPr>
        <w:t xml:space="preserve">All earned commissions will be calculated at the end of each calendar month and paid to the Sales Partner within 15 business days of the following month, subject to applicable TDS deduction under the Income-tax Act, 1961.</w:t>
      </w:r>
    </w:p>
    <w:p>
      <w:pPr>
        <w:spacing w:after="110" w:line="285"/>
        <w:ind w:left="340" w:hanging="340"/>
        <w:jc w:val="both"/>
      </w:pPr>
      <w:r>
        <w:rPr>
          <w:b/>
          <w:bCs/>
          <w:sz w:val="19"/>
          <w:szCs w:val="19"/>
        </w:rPr>
        <w:t xml:space="preserve">3.3	</w:t>
      </w:r>
      <w:r>
        <w:rPr>
          <w:b/>
          <w:bCs/>
          <w:sz w:val="19"/>
          <w:szCs w:val="19"/>
        </w:rPr>
        <w:t xml:space="preserve">The 12-Month Cap on Recurring. </w:t>
      </w:r>
      <w:r>
        <w:rPr>
          <w:sz w:val="19"/>
          <w:szCs w:val="19"/>
        </w:rPr>
        <w:t xml:space="preserve">Track B payouts are capped at a maximum duration of 12 consecutive months per client. After one year, that client transitions fully to Shardhan, allowing the Sales Partner to focus on introducing new clients to keep the recurring revenue stream growing.</w:t>
      </w:r>
    </w:p>
    <w:p>
      <w:pPr>
        <w:spacing w:after="110" w:line="285"/>
        <w:ind w:left="340" w:hanging="340"/>
        <w:jc w:val="both"/>
      </w:pPr>
      <w:r>
        <w:rPr>
          <w:b/>
          <w:bCs/>
          <w:sz w:val="19"/>
          <w:szCs w:val="19"/>
        </w:rPr>
        <w:t xml:space="preserve">3.4	</w:t>
      </w:r>
      <w:r>
        <w:rPr>
          <w:b/>
          <w:bCs/>
          <w:sz w:val="19"/>
          <w:szCs w:val="19"/>
        </w:rPr>
        <w:t xml:space="preserve">The “Active Client” Rule for Recurring. </w:t>
      </w:r>
      <w:r>
        <w:rPr>
          <w:sz w:val="19"/>
          <w:szCs w:val="19"/>
        </w:rPr>
        <w:t xml:space="preserve">For Track B, the commission rate scales up only based on active, paying clients. For example, if the Sales Partner reaches 22 clients but 3 cancel their services, the active count drops back to 19 clients, and the commission rate will adjust back to the 15% tier. This ensures a mutual focus on bringing in high-quality, long-term clients.</w:t>
      </w:r>
    </w:p>
    <w:p>
      <w:pPr>
        <w:spacing w:after="110" w:line="285"/>
        <w:ind w:left="340" w:hanging="340"/>
        <w:jc w:val="both"/>
      </w:pPr>
      <w:r>
        <w:rPr>
          <w:b/>
          <w:bCs/>
          <w:sz w:val="19"/>
          <w:szCs w:val="19"/>
        </w:rPr>
        <w:t xml:space="preserve">3.5	</w:t>
      </w:r>
      <w:r>
        <w:rPr>
          <w:b/>
          <w:bCs/>
          <w:sz w:val="19"/>
          <w:szCs w:val="19"/>
        </w:rPr>
        <w:t xml:space="preserve">Refunds &amp; Defaults. </w:t>
      </w:r>
      <w:r>
        <w:rPr>
          <w:sz w:val="19"/>
          <w:szCs w:val="19"/>
        </w:rPr>
        <w:t xml:space="preserve">If a client's payment is refunded, reversed, or remains unpaid, the corresponding commission shall not be payable, and any commission already paid on such amount shall be adjusted against future payouts.</w:t>
      </w:r>
    </w:p>
    <w:p>
      <w:pPr>
        <w:pStyle w:val="Heading1"/>
        <w:spacing w:after="130" w:before="300"/>
      </w:pPr>
      <w:r>
        <w:rPr>
          <w:b/>
          <w:bCs/>
          <w:color w:val="1A1A1A"/>
          <w:sz w:val="24"/>
          <w:szCs w:val="24"/>
        </w:rPr>
        <w:t xml:space="preserve">4. General Terms</w:t>
      </w:r>
    </w:p>
    <w:p>
      <w:pPr>
        <w:spacing w:after="110" w:line="285"/>
        <w:ind w:left="340" w:hanging="340"/>
        <w:jc w:val="both"/>
      </w:pPr>
      <w:r>
        <w:rPr>
          <w:b/>
          <w:bCs/>
          <w:sz w:val="19"/>
          <w:szCs w:val="19"/>
        </w:rPr>
        <w:t xml:space="preserve">4.1	</w:t>
      </w:r>
      <w:r>
        <w:rPr>
          <w:b/>
          <w:bCs/>
          <w:sz w:val="19"/>
          <w:szCs w:val="19"/>
        </w:rPr>
        <w:t xml:space="preserve">Confidentiality. </w:t>
      </w:r>
      <w:r>
        <w:rPr>
          <w:sz w:val="19"/>
          <w:szCs w:val="19"/>
        </w:rPr>
        <w:t xml:space="preserve">The Sales Partner shall keep confidential all information regarding Shardhan's clients, pricing, commercial terms, and internal processes, both during and after this engagement, and shall use such information solely for performing this engagement.</w:t>
      </w:r>
    </w:p>
    <w:p>
      <w:pPr>
        <w:spacing w:after="110" w:line="285"/>
        <w:ind w:left="340" w:hanging="340"/>
        <w:jc w:val="both"/>
      </w:pPr>
      <w:r>
        <w:rPr>
          <w:b/>
          <w:bCs/>
          <w:sz w:val="19"/>
          <w:szCs w:val="19"/>
        </w:rPr>
        <w:t xml:space="preserve">4.2	</w:t>
      </w:r>
      <w:r>
        <w:rPr>
          <w:b/>
          <w:bCs/>
          <w:sz w:val="19"/>
          <w:szCs w:val="19"/>
        </w:rPr>
        <w:t xml:space="preserve">Conduct. </w:t>
      </w:r>
      <w:r>
        <w:rPr>
          <w:sz w:val="19"/>
          <w:szCs w:val="19"/>
        </w:rPr>
        <w:t xml:space="preserve">The Sales Partner shall not make false claims, misrepresent Shardhan's services or pricing, or engage in any practice that could harm Shardhan's reputation. All client communications shall be professional and truthful.</w:t>
      </w:r>
    </w:p>
    <w:p>
      <w:pPr>
        <w:spacing w:after="110" w:line="285"/>
        <w:ind w:left="340" w:hanging="340"/>
        <w:jc w:val="both"/>
      </w:pPr>
      <w:r>
        <w:rPr>
          <w:b/>
          <w:bCs/>
          <w:sz w:val="19"/>
          <w:szCs w:val="19"/>
        </w:rPr>
        <w:t xml:space="preserve">4.3	</w:t>
      </w:r>
      <w:r>
        <w:rPr>
          <w:b/>
          <w:bCs/>
          <w:sz w:val="19"/>
          <w:szCs w:val="19"/>
        </w:rPr>
        <w:t xml:space="preserve">Non-Circumvention. </w:t>
      </w:r>
      <w:r>
        <w:rPr>
          <w:sz w:val="19"/>
          <w:szCs w:val="19"/>
        </w:rPr>
        <w:t xml:space="preserve">The Sales Partner shall not divert, or attempt to divert, any client or prospect introduced under this Agreement to any competing service provider, during the term of this Agreement and for 12 months thereafter.</w:t>
      </w:r>
    </w:p>
    <w:p>
      <w:pPr>
        <w:spacing w:after="110" w:line="285"/>
        <w:ind w:left="340" w:hanging="340"/>
        <w:jc w:val="both"/>
      </w:pPr>
      <w:r>
        <w:rPr>
          <w:b/>
          <w:bCs/>
          <w:sz w:val="19"/>
          <w:szCs w:val="19"/>
        </w:rPr>
        <w:t xml:space="preserve">4.4	</w:t>
      </w:r>
      <w:r>
        <w:rPr>
          <w:b/>
          <w:bCs/>
          <w:sz w:val="19"/>
          <w:szCs w:val="19"/>
        </w:rPr>
        <w:t xml:space="preserve">Term &amp; Termination. </w:t>
      </w:r>
      <w:r>
        <w:rPr>
          <w:sz w:val="19"/>
          <w:szCs w:val="19"/>
        </w:rPr>
        <w:t xml:space="preserve">This Agreement shall remain in force until terminated by either party with 30 days' written notice. Commissions duly earned up to the effective date of termination (per Clause 3.1) shall be paid as per the normal payment schedule; no commissions accrue on payments received after termination, except Track B payouts already in progress, which shall continue for the remainder of their 12-month cap.</w:t>
      </w:r>
    </w:p>
    <w:p>
      <w:pPr>
        <w:spacing w:after="110" w:line="285"/>
        <w:ind w:left="340" w:hanging="340"/>
        <w:jc w:val="both"/>
      </w:pPr>
      <w:r>
        <w:rPr>
          <w:b/>
          <w:bCs/>
          <w:sz w:val="19"/>
          <w:szCs w:val="19"/>
        </w:rPr>
        <w:t xml:space="preserve">4.5	</w:t>
      </w:r>
      <w:r>
        <w:rPr>
          <w:b/>
          <w:bCs/>
          <w:sz w:val="19"/>
          <w:szCs w:val="19"/>
        </w:rPr>
        <w:t xml:space="preserve">Dispute Resolution. </w:t>
      </w:r>
      <w:r>
        <w:rPr>
          <w:sz w:val="19"/>
          <w:szCs w:val="19"/>
        </w:rPr>
        <w:t xml:space="preserve">Any dispute shall first be resolved amicably, failing which it shall be referred to arbitration by a sole arbitrator appointed by Shardhan under the Arbitration and Conciliation Act, 1996, with seat and venue at Patna. Subject thereto, the courts at Patna shall have exclusive jurisdiction.</w:t>
      </w:r>
    </w:p>
    <w:p>
      <w:pPr>
        <w:spacing w:after="110" w:line="285"/>
        <w:ind w:left="340" w:hanging="340"/>
        <w:jc w:val="both"/>
      </w:pPr>
      <w:r>
        <w:rPr>
          <w:b/>
          <w:bCs/>
          <w:sz w:val="19"/>
          <w:szCs w:val="19"/>
        </w:rPr>
        <w:t xml:space="preserve">4.6	</w:t>
      </w:r>
      <w:r>
        <w:rPr>
          <w:b/>
          <w:bCs/>
          <w:sz w:val="19"/>
          <w:szCs w:val="19"/>
        </w:rPr>
        <w:t xml:space="preserve">Entire Agreement. </w:t>
      </w:r>
      <w:r>
        <w:rPr>
          <w:sz w:val="19"/>
          <w:szCs w:val="19"/>
        </w:rPr>
        <w:t xml:space="preserve">This Agreement constitutes the entire understanding between the parties on the subject matter and supersedes all prior discussions. Any modification shall be valid only if made in writing and signed by both parties.</w:t>
      </w:r>
    </w:p>
    <w:p>
      <w:pPr>
        <w:pBdr>
          <w:top w:val="single" w:color="2E74B5" w:sz="6" w:space="6"/>
        </w:pBdr>
        <w:spacing w:before="500"/>
      </w:pPr>
    </w:p>
    <w:p>
      <w:pPr>
        <w:spacing w:after="250" w:before="250"/>
      </w:pPr>
      <w:r>
        <w:rPr>
          <w:sz w:val="19"/>
          <w:szCs w:val="19"/>
        </w:rPr>
        <w:t xml:space="preserve">IN WITNESS WHEREOF, the parties have executed this Agreement on the day, month and year first above written.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c>
          <w:tcPr>
            <w:tcW w:type="dxa" w:w="4510"/>
            <w:tcMar>
              <w:top w:type="dxa" w:w="300"/>
              <w:left w:type="dxa" w:w="100"/>
              <w:bottom w:type="dxa" w:w="100"/>
              <w:right w:type="dxa" w:w="100"/>
            </w:tcMar>
          </w:tcPr>
          <w:p>
            <w:r>
              <w:rPr>
                <w:b/>
                <w:bCs/>
                <w:sz w:val="19"/>
                <w:szCs w:val="19"/>
              </w:rPr>
              <w:t xml:space="preserve">For Shardhan Corporate Consultants LLP</w:t>
            </w:r>
          </w:p>
          <w:p>
            <w:pPr>
              <w:spacing w:before="600"/>
            </w:pPr>
            <w:r>
              <w:rPr>
                <w:sz w:val="19"/>
                <w:szCs w:val="19"/>
              </w:rPr>
              <w:t xml:space="preserve">_________________________</w:t>
            </w:r>
          </w:p>
          <w:p>
            <w:r>
              <w:rPr>
                <w:sz w:val="18"/>
                <w:szCs w:val="18"/>
              </w:rPr>
              <w:t xml:space="preserve">Authorized Signatory</w:t>
            </w:r>
          </w:p>
          <w:p>
            <w:r>
              <w:rPr>
                <w:color w:val="555555"/>
                <w:sz w:val="18"/>
                <w:szCs w:val="18"/>
              </w:rPr>
              <w:t xml:space="preserve">Date: ______________________</w:t>
            </w:r>
          </w:p>
        </w:tc>
        <w:tc>
          <w:tcPr>
            <w:tcW w:type="dxa" w:w="4510"/>
            <w:tcMar>
              <w:top w:type="dxa" w:w="300"/>
              <w:left w:type="dxa" w:w="100"/>
              <w:bottom w:type="dxa" w:w="100"/>
              <w:right w:type="dxa" w:w="100"/>
            </w:tcMar>
          </w:tcPr>
          <w:p>
            <w:r>
              <w:rPr>
                <w:b/>
                <w:bCs/>
                <w:sz w:val="19"/>
                <w:szCs w:val="19"/>
              </w:rPr>
              <w:t xml:space="preserve">Sales Partner</w:t>
            </w:r>
          </w:p>
          <w:p>
            <w:pPr>
              <w:spacing w:before="600"/>
            </w:pPr>
            <w:r>
              <w:rPr>
                <w:sz w:val="19"/>
                <w:szCs w:val="19"/>
              </w:rPr>
              <w:t xml:space="preserve">_________________________</w:t>
            </w:r>
          </w:p>
          <w:p>
            <w:r>
              <w:rPr>
                <w:sz w:val="18"/>
                <w:szCs w:val="18"/>
              </w:rPr>
              <w:t xml:space="preserve">Dhananjay Kumar</w:t>
            </w:r>
          </w:p>
          <w:p>
            <w:r>
              <w:rPr>
                <w:color w:val="555555"/>
                <w:sz w:val="18"/>
                <w:szCs w:val="18"/>
              </w:rPr>
              <w:t xml:space="preserve">Date: ______________________</w:t>
            </w:r>
          </w:p>
        </w:tc>
      </w:tr>
    </w:tbl>
    <w:sectPr>
      <w:headerReference w:type="default" r:id="rId9"/>
      <w:footerReference w:type="default" r:id="rId10"/>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10"/>
      <w:gridCol w:w="3800"/>
      <w:gridCol w:w="2610"/>
    </w:tblGrid>
    <w:tr>
      <w:tc>
        <w:tcPr>
          <w:tcW w:type="dxa" w:w="2610"/>
          <w:tcBorders>
            <w:top w:val="single" w:color="2E74B5" w:sz="4"/>
            <w:left w:val="none"/>
            <w:bottom w:val="single" w:color="2E74B5" w:sz="4"/>
            <w:right w:val="none"/>
          </w:tcBorders>
        </w:tcPr>
        <w:p/>
      </w:tc>
      <w:tc>
        <w:tcPr>
          <w:tcW w:type="dxa" w:w="3800"/>
          <w:vAlign w:val="center"/>
        </w:tcPr>
        <w:p>
          <w:pPr>
            <w:jc w:val="center"/>
          </w:pPr>
          <w:r>
            <w:rPr>
              <w:color w:val="555555"/>
              <w:sz w:val="16"/>
              <w:szCs w:val="16"/>
            </w:rPr>
            <w:t xml:space="preserve">Private &amp; Confidential  |  Page </w:t>
          </w:r>
          <w:r>
            <w:rPr>
              <w:b/>
              <w:bCs/>
              <w:color w:val="555555"/>
              <w:sz w:val="16"/>
              <w:szCs w:val="16"/>
            </w:rPr>
            <w:fldChar w:fldCharType="begin"/>
            <w:instrText xml:space="preserve">PAGE</w:instrText>
            <w:fldChar w:fldCharType="separate"/>
            <w:fldChar w:fldCharType="end"/>
          </w:r>
          <w:r>
            <w:rPr>
              <w:color w:val="555555"/>
              <w:sz w:val="16"/>
              <w:szCs w:val="16"/>
            </w:rPr>
            <w:t xml:space="preserve"> of </w:t>
          </w:r>
          <w:r>
            <w:rPr>
              <w:b/>
              <w:bCs/>
              <w:color w:val="555555"/>
              <w:sz w:val="16"/>
              <w:szCs w:val="16"/>
            </w:rPr>
            <w:fldChar w:fldCharType="begin"/>
            <w:instrText xml:space="preserve">NUMPAGES</w:instrText>
            <w:fldChar w:fldCharType="separate"/>
            <w:fldChar w:fldCharType="end"/>
          </w:r>
        </w:p>
      </w:tc>
      <w:tc>
        <w:tcPr>
          <w:tcW w:type="dxa" w:w="2610"/>
          <w:tcBorders>
            <w:top w:val="single" w:color="2E74B5" w:sz="4"/>
            <w:left w:val="none"/>
            <w:bottom w:val="single" w:color="2E74B5" w:sz="4"/>
            <w:right w:val="none"/>
          </w:tcBorders>
        </w:tcP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10"/>
      <w:gridCol w:w="3800"/>
      <w:gridCol w:w="2610"/>
    </w:tblGrid>
    <w:tr>
      <w:tc>
        <w:tcPr>
          <w:tcW w:type="dxa" w:w="2610"/>
          <w:tcBorders>
            <w:top w:val="single" w:color="2E74B5" w:sz="4"/>
            <w:left w:val="none"/>
            <w:bottom w:val="single" w:color="2E74B5" w:sz="4"/>
            <w:right w:val="none"/>
          </w:tcBorders>
        </w:tcPr>
        <w:p/>
      </w:tc>
      <w:tc>
        <w:tcPr>
          <w:tcW w:type="dxa" w:w="3800"/>
          <w:vAlign w:val="center"/>
        </w:tcPr>
        <w:p>
          <w:pPr>
            <w:jc w:val="center"/>
          </w:pPr>
          <w:r>
            <w:rPr>
              <w:color w:val="555555"/>
              <w:sz w:val="16"/>
              <w:szCs w:val="16"/>
            </w:rPr>
            <w:t xml:space="preserve">Private &amp; Confidential  |  Page </w:t>
          </w:r>
          <w:r>
            <w:rPr>
              <w:b/>
              <w:bCs/>
              <w:color w:val="555555"/>
              <w:sz w:val="16"/>
              <w:szCs w:val="16"/>
            </w:rPr>
            <w:fldChar w:fldCharType="begin"/>
            <w:instrText xml:space="preserve">PAGE</w:instrText>
            <w:fldChar w:fldCharType="separate"/>
            <w:fldChar w:fldCharType="end"/>
          </w:r>
          <w:r>
            <w:rPr>
              <w:color w:val="555555"/>
              <w:sz w:val="16"/>
              <w:szCs w:val="16"/>
            </w:rPr>
            <w:t xml:space="preserve"> of </w:t>
          </w:r>
          <w:r>
            <w:rPr>
              <w:b/>
              <w:bCs/>
              <w:color w:val="555555"/>
              <w:sz w:val="16"/>
              <w:szCs w:val="16"/>
            </w:rPr>
            <w:fldChar w:fldCharType="begin"/>
            <w:instrText xml:space="preserve">NUMPAGES</w:instrText>
            <w:fldChar w:fldCharType="separate"/>
            <w:fldChar w:fldCharType="end"/>
          </w:r>
        </w:p>
      </w:tc>
      <w:tc>
        <w:tcPr>
          <w:tcW w:type="dxa" w:w="2610"/>
          <w:tcBorders>
            <w:top w:val="single" w:color="2E74B5" w:sz="4"/>
            <w:left w:val="none"/>
            <w:bottom w:val="single" w:color="2E74B5" w:sz="4"/>
            <w:right w:val="none"/>
          </w:tcBorders>
        </w:tcP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55555"/>
        <w:sz w:val="16"/>
        <w:szCs w:val="16"/>
      </w:rPr>
      <w:t xml:space="preserve">Reference Number: SCC-SP-DK-01  |  Shardhan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55555"/>
        <w:sz w:val="16"/>
        <w:szCs w:val="16"/>
      </w:rPr>
      <w:t xml:space="preserve">Reference Number: SCC-SP-DK-01  |  Shardhan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Shardhan Sales Partner Engagement Agreement - Dhananjay Kumar</dc:title>
  <dc:creator>Un-named</dc:creator>
  <dc:description>Sales Partner Engagement &amp; Onboarding</dc:description>
  <cp:lastModifiedBy>Un-named</cp:lastModifiedBy>
  <cp:revision>1</cp:revision>
  <dcterms:created xsi:type="dcterms:W3CDTF">2026-08-18T08:07:09.153Z</dcterms:created>
  <dcterms:modified xsi:type="dcterms:W3CDTF">2026-08-18T08:07:09.168Z</dcterms:modified>
</cp:coreProperties>
</file>

<file path=docProps/custom.xml><?xml version="1.0" encoding="utf-8"?>
<Properties xmlns="http://schemas.openxmlformats.org/officeDocument/2006/custom-properties" xmlns:vt="http://schemas.openxmlformats.org/officeDocument/2006/docPropsVTypes"/>
</file>