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2B6CB0"/>
          <w:sz w:val="22"/>
        </w:rPr>
        <w:t>PROJECT DESIGN PHASE-II</w:t>
        <w:br/>
      </w:r>
      <w:r>
        <w:rPr>
          <w:rFonts w:ascii="Calibri" w:hAnsi="Calibri"/>
          <w:b/>
          <w:color w:val="1A365D"/>
          <w:sz w:val="40"/>
        </w:rPr>
        <w:t>Solution Requirements (Functional &amp; Non-functional)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Date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1 October 2026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Team ID / Name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DG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Project Name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Script-Controlled ACL - Restrict Record Access Based on Field Value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Maximum Marks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4 Marks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Target Platform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ServiceNow Platform (Utah / Washington DC)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Document Version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v1.0 (Final)</w:t>
            </w:r>
          </w:p>
        </w:tc>
      </w:tr>
    </w:tbl>
    <w:p>
      <w:pPr>
        <w:spacing w:after="240"/>
      </w:pPr>
    </w:p>
    <w:p>
      <w:pPr>
        <w:pStyle w:val="Heading1"/>
        <w:spacing w:after="120"/>
      </w:pPr>
      <w:r>
        <w:rPr>
          <w:rFonts w:ascii="Calibri" w:hAnsi="Calibri"/>
          <w:b/>
          <w:color w:val="1A365D"/>
          <w:sz w:val="28"/>
        </w:rPr>
        <w:t>1. Functional Requirements</w:t>
      </w:r>
    </w:p>
    <w:p>
      <w:pPr>
        <w:spacing w:after="200" w:line="276" w:lineRule="auto"/>
      </w:pPr>
      <w:r>
        <w:rPr>
          <w:rFonts w:ascii="Calibri" w:hAnsi="Calibri"/>
          <w:color w:val="2D3748"/>
          <w:sz w:val="20"/>
        </w:rPr>
        <w:t>The functional requirements outline the mandatory system capabilities, features, and workflows designed to implement field-level script-controlled record access control within ServiceNow.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shd w:val="clear" w:color="auto"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FR No.</w:t>
            </w:r>
          </w:p>
        </w:tc>
        <w:tc>
          <w:tcPr>
            <w:tcW w:type="dxa" w:w="3312"/>
            <w:shd w:val="clear" w:color="auto"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type="dxa" w:w="5040"/>
            <w:shd w:val="clear" w:color="auto"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Sub Requirement (Story / Sub-Task)</w:t>
            </w:r>
          </w:p>
        </w:tc>
      </w:tr>
      <w:tr>
        <w:tc>
          <w:tcPr>
            <w:tcW w:type="dxa" w:w="14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FR-1</w:t>
            </w:r>
          </w:p>
        </w:tc>
        <w:tc>
          <w:tcPr>
            <w:tcW w:type="dxa" w:w="3312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ACL Script Configuration &amp; Data Security Rule Definition</w:t>
            </w:r>
          </w:p>
        </w:tc>
        <w:tc>
          <w:tcPr>
            <w:tcW w:type="dxa" w:w="50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• Create Scripted Read Access Control List (ACL) rule on target table (u_incident_confidential).</w:t>
              <w:br/>
              <w:t>• Implement JavaScript condition logic to evaluate field-level privacy flag (current.u_confidential).</w:t>
              <w:br/>
              <w:t>• Validate active user session roles (gs.hasRole(), gs.getUser()) against record owner/department before granting read access.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FR-2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Database Query Interception (Before Query Business Rule)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• Create a 'Before Query' Business Rule executing on the u_incident_confidential table.</w:t>
              <w:br/>
              <w:t>• Dynamically inject current.addQuery() conditions to suppress restricted records at database query time.</w:t>
              <w:br/>
              <w:t>• Eliminate 'Security constraints prevent viewing' warning messages in ServiceNow list views.</w:t>
            </w:r>
          </w:p>
        </w:tc>
      </w:tr>
      <w:tr>
        <w:tc>
          <w:tcPr>
            <w:tcW w:type="dxa" w:w="14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FR-3</w:t>
            </w:r>
          </w:p>
        </w:tc>
        <w:tc>
          <w:tcPr>
            <w:tcW w:type="dxa" w:w="3312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User Role &amp; Departmental Access Control</w:t>
            </w:r>
          </w:p>
        </w:tc>
        <w:tc>
          <w:tcPr>
            <w:tcW w:type="dxa" w:w="50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• Define custom security roles (u_confidential_reader, u_department_lead).</w:t>
              <w:br/>
              <w:t>• Restrict form field visibility and write capabilities for confidential records based on role membership.</w:t>
              <w:br/>
              <w:t>• Enforce record-level restriction across list views, related lists, and global search indexes.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FR-4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Audit Logging &amp; Security Access Verification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• Log unauthorized read or write access attempts in ServiceNow security access logs (sys_audit).</w:t>
              <w:br/>
              <w:t>• Provide Impersonation testing capabilities for System Administrators to verify dynamic role enforcement.</w:t>
              <w:br/>
              <w:t>• Retain full audit trail of u_confidential field state toggles for compliance review.</w:t>
            </w:r>
          </w:p>
        </w:tc>
      </w:tr>
      <w:tr>
        <w:tc>
          <w:tcPr>
            <w:tcW w:type="dxa" w:w="14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FR-5</w:t>
            </w:r>
          </w:p>
        </w:tc>
        <w:tc>
          <w:tcPr>
            <w:tcW w:type="dxa" w:w="3312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Reporting &amp; Dashboard Privacy Enforcement</w:t>
            </w:r>
          </w:p>
        </w:tc>
        <w:tc>
          <w:tcPr>
            <w:tcW w:type="dxa" w:w="50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• Apply table and record security constraints automatically to ServiceNow reporting widgets and dashboards.</w:t>
              <w:br/>
              <w:t>• Ensure data export operations (PDF, Excel, CSV) strictly enforce ACL rules and omit unauthorized field data.</w:t>
            </w:r>
          </w:p>
        </w:tc>
      </w:tr>
    </w:tbl>
    <w:p>
      <w:pPr>
        <w:spacing w:after="320"/>
      </w:pPr>
    </w:p>
    <w:p>
      <w:pPr>
        <w:pStyle w:val="Heading1"/>
        <w:spacing w:after="120"/>
      </w:pPr>
      <w:r>
        <w:rPr>
          <w:rFonts w:ascii="Calibri" w:hAnsi="Calibri"/>
          <w:b/>
          <w:color w:val="1A365D"/>
          <w:sz w:val="28"/>
        </w:rPr>
        <w:t>2. Non-functional Requirements</w:t>
      </w:r>
    </w:p>
    <w:p>
      <w:pPr>
        <w:spacing w:after="200" w:line="276" w:lineRule="auto"/>
      </w:pPr>
      <w:r>
        <w:rPr>
          <w:rFonts w:ascii="Calibri" w:hAnsi="Calibri"/>
          <w:color w:val="2D3748"/>
          <w:sz w:val="20"/>
        </w:rPr>
        <w:t>The non-functional requirements specify quality attributes, operational constraints, system security standards, and performance targets for the proposed ServiceNow ACL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shd w:val="clear" w:color="auto"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NFR No.</w:t>
            </w:r>
          </w:p>
        </w:tc>
        <w:tc>
          <w:tcPr>
            <w:tcW w:type="dxa" w:w="3168"/>
            <w:shd w:val="clear" w:color="auto"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Non-Functional Requirement</w:t>
            </w:r>
          </w:p>
        </w:tc>
        <w:tc>
          <w:tcPr>
            <w:tcW w:type="dxa" w:w="5184"/>
            <w:shd w:val="clear" w:color="auto"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&amp; Standard Target</w:t>
            </w:r>
          </w:p>
        </w:tc>
      </w:tr>
      <w:tr>
        <w:tc>
          <w:tcPr>
            <w:tcW w:type="dxa" w:w="14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NFR-1</w:t>
            </w:r>
          </w:p>
        </w:tc>
        <w:tc>
          <w:tcPr>
            <w:tcW w:type="dxa" w:w="3168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Provides a seamless user experience by suppressing unauthorized rows silently in list views and forms, removing intrusive 'Security constraints prevent viewing' error banners.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NFR-2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Enforces zero-trust field and record-level authorization executing strictly server-side; client-side scripts, browser manipulation, or API calls cannot bypass security evaluations.</w:t>
            </w:r>
          </w:p>
        </w:tc>
      </w:tr>
      <w:tr>
        <w:tc>
          <w:tcPr>
            <w:tcW w:type="dxa" w:w="14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NFR-3</w:t>
            </w:r>
          </w:p>
        </w:tc>
        <w:tc>
          <w:tcPr>
            <w:tcW w:type="dxa" w:w="3168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Reliability</w:t>
            </w:r>
          </w:p>
        </w:tc>
        <w:tc>
          <w:tcPr>
            <w:tcW w:type="dxa" w:w="5184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Ensures 100% consistent security evaluation across all access vectors including ServiceNow UI Forms, List Views, Global Search, REST/SOAP APIs, and Reporting engines.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NFR-4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Performance</w:t>
            </w:r>
          </w:p>
        </w:tc>
        <w:tc>
          <w:tcPr>
            <w:tcW w:type="dxa" w:w="518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Executes query filtering at the database layer with negligible overhead (&lt;15ms query execution delta), ensuring list view rendering times remain under 250ms for large datasets.</w:t>
            </w:r>
          </w:p>
        </w:tc>
      </w:tr>
      <w:tr>
        <w:tc>
          <w:tcPr>
            <w:tcW w:type="dxa" w:w="14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NFR-5</w:t>
            </w:r>
          </w:p>
        </w:tc>
        <w:tc>
          <w:tcPr>
            <w:tcW w:type="dxa" w:w="3168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Operates with high availability matching the ServiceNow cloud platform target uptime (99.99%), employing fail-closed default security logic in case of evaluation errors.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NFR-6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Scalability</w:t>
            </w:r>
          </w:p>
        </w:tc>
        <w:tc>
          <w:tcPr>
            <w:tcW w:type="dxa" w:w="518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Scales horizontally to support hundreds of concurrent fulfillers and thousands of confidential records without degrading database search or ACL evaluation response times.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