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3A8A"/>
          <w:sz w:val="44"/>
        </w:rPr>
        <w:t>Project Design Phase: Solution Architecture</w:t>
      </w:r>
    </w:p>
    <w:p>
      <w:pPr>
        <w:spacing w:after="280"/>
      </w:pPr>
      <w:r>
        <w:rPr>
          <w:rFonts w:ascii="Calibri" w:hAnsi="Calibri"/>
          <w:i/>
          <w:color w:val="475569"/>
          <w:sz w:val="26"/>
        </w:rPr>
        <w:t>Script-Controlled ACL - Restrict Record Access Based on Field Value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1728"/>
            <w:shd w:fill="F1F5F9"/>
            <w:tcMar>
              <w:top w:w="80" w:type="dxa"/>
              <w:bottom w:w="80" w:type="dxa"/>
              <w:left w:w="100" w:type="dxa"/>
              <w:right w:w="100" w:type="dxa"/>
            </w:tcMar>
          </w:tcPr>
          <w:p>
            <w:pPr>
              <w:spacing w:after="40"/>
            </w:pPr>
            <w:r>
              <w:rPr>
                <w:b/>
                <w:color w:val="1E3A8A"/>
                <w:sz w:val="20"/>
              </w:rPr>
              <w:t>Date</w:t>
            </w:r>
          </w:p>
        </w:tc>
        <w:tc>
          <w:tcPr>
            <w:tcW w:type="dxa" w:w="2880"/>
            <w:tcMar>
              <w:top w:w="80" w:type="dxa"/>
              <w:bottom w:w="80" w:type="dxa"/>
              <w:left w:w="100" w:type="dxa"/>
              <w:right w:w="100" w:type="dxa"/>
            </w:tcMar>
          </w:tcPr>
          <w:p>
            <w:pPr>
              <w:spacing w:after="40"/>
            </w:pPr>
            <w:r>
              <w:rPr>
                <w:sz w:val="20"/>
              </w:rPr>
              <w:t>15 February 2025</w:t>
            </w:r>
          </w:p>
        </w:tc>
        <w:tc>
          <w:tcPr>
            <w:tcW w:type="dxa" w:w="2016"/>
            <w:shd w:fill="F1F5F9"/>
            <w:tcMar>
              <w:top w:w="80" w:type="dxa"/>
              <w:bottom w:w="80" w:type="dxa"/>
              <w:left w:w="100" w:type="dxa"/>
              <w:right w:w="100" w:type="dxa"/>
            </w:tcMar>
          </w:tcPr>
          <w:p>
            <w:pPr>
              <w:spacing w:after="40"/>
            </w:pPr>
            <w:r>
              <w:rPr>
                <w:b/>
                <w:color w:val="1E3A8A"/>
                <w:sz w:val="20"/>
              </w:rPr>
              <w:t>Maximum Marks</w:t>
            </w:r>
          </w:p>
        </w:tc>
        <w:tc>
          <w:tcPr>
            <w:tcW w:type="dxa" w:w="3168"/>
            <w:tcMar>
              <w:top w:w="80" w:type="dxa"/>
              <w:bottom w:w="80" w:type="dxa"/>
              <w:left w:w="100" w:type="dxa"/>
              <w:right w:w="100" w:type="dxa"/>
            </w:tcMar>
          </w:tcPr>
          <w:p>
            <w:pPr>
              <w:spacing w:after="40"/>
            </w:pPr>
            <w:r>
              <w:rPr>
                <w:sz w:val="20"/>
              </w:rPr>
              <w:t>4 Marks</w:t>
            </w:r>
          </w:p>
        </w:tc>
      </w:tr>
      <w:tr>
        <w:tc>
          <w:tcPr>
            <w:tcW w:type="dxa" w:w="1728"/>
            <w:shd w:fill="F1F5F9"/>
            <w:tcMar>
              <w:top w:w="80" w:type="dxa"/>
              <w:bottom w:w="80" w:type="dxa"/>
              <w:left w:w="100" w:type="dxa"/>
              <w:right w:w="100" w:type="dxa"/>
            </w:tcMar>
          </w:tcPr>
          <w:p>
            <w:pPr>
              <w:spacing w:after="40"/>
            </w:pPr>
            <w:r>
              <w:rPr>
                <w:b/>
                <w:color w:val="1E3A8A"/>
                <w:sz w:val="20"/>
              </w:rPr>
              <w:t>Team ID</w:t>
            </w:r>
          </w:p>
        </w:tc>
        <w:tc>
          <w:tcPr>
            <w:tcW w:type="dxa" w:w="2880"/>
            <w:tcMar>
              <w:top w:w="80" w:type="dxa"/>
              <w:bottom w:w="80" w:type="dxa"/>
              <w:left w:w="100" w:type="dxa"/>
              <w:right w:w="100" w:type="dxa"/>
            </w:tcMar>
          </w:tcPr>
          <w:p>
            <w:pPr>
              <w:spacing w:after="40"/>
            </w:pPr>
            <w:r>
              <w:rPr>
                <w:sz w:val="20"/>
              </w:rPr>
              <w:t>TEAM-SN-2026</w:t>
            </w:r>
          </w:p>
        </w:tc>
        <w:tc>
          <w:tcPr>
            <w:tcW w:type="dxa" w:w="2016"/>
            <w:shd w:fill="F1F5F9"/>
            <w:tcMar>
              <w:top w:w="80" w:type="dxa"/>
              <w:bottom w:w="80" w:type="dxa"/>
              <w:left w:w="100" w:type="dxa"/>
              <w:right w:w="100" w:type="dxa"/>
            </w:tcMar>
          </w:tcPr>
          <w:p>
            <w:pPr>
              <w:spacing w:after="40"/>
            </w:pPr>
            <w:r>
              <w:rPr>
                <w:b/>
                <w:color w:val="1E3A8A"/>
                <w:sz w:val="20"/>
              </w:rPr>
              <w:t>Project Name</w:t>
            </w:r>
          </w:p>
        </w:tc>
        <w:tc>
          <w:tcPr>
            <w:tcW w:type="dxa" w:w="3168"/>
            <w:tcMar>
              <w:top w:w="80" w:type="dxa"/>
              <w:bottom w:w="80" w:type="dxa"/>
              <w:left w:w="100" w:type="dxa"/>
              <w:right w:w="100" w:type="dxa"/>
            </w:tcMar>
          </w:tcPr>
          <w:p>
            <w:pPr>
              <w:spacing w:after="40"/>
            </w:pPr>
            <w:r>
              <w:rPr>
                <w:sz w:val="20"/>
              </w:rPr>
              <w:t>Script-Controlled ACL</w:t>
            </w:r>
          </w:p>
        </w:tc>
      </w:tr>
    </w:tbl>
    <w:p>
      <w:pPr>
        <w:spacing w:after="200"/>
      </w:pPr>
    </w:p>
    <w:p>
      <w:pPr>
        <w:spacing w:before="240" w:after="120"/>
      </w:pPr>
      <w:r>
        <w:rPr>
          <w:rFonts w:ascii="Calibri" w:hAnsi="Calibri"/>
          <w:b/>
          <w:color w:val="1E3A8A"/>
          <w:sz w:val="30"/>
        </w:rPr>
        <w:t>1. Solution Architecture Overview</w:t>
      </w:r>
    </w:p>
    <w:p>
      <w:pPr>
        <w:spacing w:after="120"/>
      </w:pPr>
      <w:r>
        <w:t>Solution architecture is a vital structural process that bridges the gap between business risk requirements and technical implementation in enterprise software systems. By establishing clear architectural boundaries, data flows, and evaluation engines, solution architecture satisfies four essential project goals:</w:t>
      </w:r>
    </w:p>
    <w:p>
      <w:pPr>
        <w:pStyle w:val="ListBullet"/>
        <w:spacing w:after="80"/>
      </w:pPr>
      <w:r>
        <w:rPr>
          <w:b/>
          <w:color w:val="0F172A"/>
        </w:rPr>
        <w:t>Find the Best Technical Solution:</w:t>
      </w:r>
      <w:r>
        <w:t xml:space="preserve"> Identifies optimal server-side evaluation patterns to satisfy granular security policies while eliminating potential security loopholes across UI and API channels.</w:t>
      </w:r>
    </w:p>
    <w:p>
      <w:pPr>
        <w:pStyle w:val="ListBullet"/>
        <w:spacing w:after="80"/>
      </w:pPr>
      <w:r>
        <w:rPr>
          <w:b/>
          <w:color w:val="0F172A"/>
        </w:rPr>
        <w:t>Stakeholder Communication:</w:t>
      </w:r>
      <w:r>
        <w:t xml:space="preserve"> Clear conceptual and data flow models describe software behavior, security boundaries, and runtime execution rules to system auditors, platform administrators, and business stakeholders.</w:t>
      </w:r>
    </w:p>
    <w:p>
      <w:pPr>
        <w:pStyle w:val="ListBullet"/>
        <w:spacing w:after="80"/>
      </w:pPr>
      <w:r>
        <w:rPr>
          <w:b/>
          <w:color w:val="0F172A"/>
        </w:rPr>
        <w:t>Requirement &amp; Feature Definition:</w:t>
      </w:r>
      <w:r>
        <w:t xml:space="preserve"> Structures functional requirements (field-level restriction, role verification, state checks) and development phases into modular configuration components.</w:t>
      </w:r>
    </w:p>
    <w:p>
      <w:pPr>
        <w:pStyle w:val="ListBullet"/>
        <w:spacing w:after="80"/>
      </w:pPr>
      <w:r>
        <w:rPr>
          <w:b/>
          <w:color w:val="0F172A"/>
        </w:rPr>
        <w:t>Specification &amp; Delivery Management:</w:t>
      </w:r>
      <w:r>
        <w:t xml:space="preserve"> Serves as the precise blueprint according to which security controls are configured, tested, governed, and deployed via Scoped Update Sets.</w:t>
      </w:r>
    </w:p>
    <w:p>
      <w:pPr>
        <w:spacing w:before="280" w:after="120"/>
      </w:pPr>
      <w:r>
        <w:rPr>
          <w:rFonts w:ascii="Calibri" w:hAnsi="Calibri"/>
          <w:b/>
          <w:color w:val="1E3A8A"/>
          <w:sz w:val="30"/>
        </w:rPr>
        <w:t>2. Technical Architecture &amp; System Components</w:t>
      </w:r>
    </w:p>
    <w:p>
      <w:r>
        <w:t>The Script-Controlled ACL architecture leverages ServiceNow's native Access Control List engine at the database transaction layer. Every incoming request—whether initiated via the standard Web Portal, Service Operations Workspace, REST/SOAP integrations, or Background Scripts—must pass through the server-side Security Evaluator before record access or field mutation is permitted.</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592"/>
            <w:shd w:fill="1E3A8A"/>
            <w:tcMar>
              <w:top w:w="100" w:type="dxa"/>
              <w:bottom w:w="100" w:type="dxa"/>
              <w:left w:w="120" w:type="dxa"/>
              <w:right w:w="120" w:type="dxa"/>
            </w:tcMar>
          </w:tcPr>
          <w:p>
            <w:pPr>
              <w:spacing w:after="40"/>
            </w:pPr>
            <w:r>
              <w:rPr>
                <w:b/>
                <w:color w:val="FFFFFF"/>
                <w:sz w:val="20"/>
              </w:rPr>
              <w:t>Component</w:t>
            </w:r>
          </w:p>
        </w:tc>
        <w:tc>
          <w:tcPr>
            <w:tcW w:type="dxa" w:w="2160"/>
            <w:shd w:fill="1E3A8A"/>
            <w:tcMar>
              <w:top w:w="100" w:type="dxa"/>
              <w:bottom w:w="100" w:type="dxa"/>
              <w:left w:w="120" w:type="dxa"/>
              <w:right w:w="120" w:type="dxa"/>
            </w:tcMar>
          </w:tcPr>
          <w:p>
            <w:pPr>
              <w:spacing w:after="40"/>
            </w:pPr>
            <w:r>
              <w:rPr>
                <w:b/>
                <w:color w:val="FFFFFF"/>
                <w:sz w:val="20"/>
              </w:rPr>
              <w:t>Layer / Scope</w:t>
            </w:r>
          </w:p>
        </w:tc>
        <w:tc>
          <w:tcPr>
            <w:tcW w:type="dxa" w:w="5040"/>
            <w:shd w:fill="1E3A8A"/>
            <w:tcMar>
              <w:top w:w="100" w:type="dxa"/>
              <w:bottom w:w="100" w:type="dxa"/>
              <w:left w:w="120" w:type="dxa"/>
              <w:right w:w="120" w:type="dxa"/>
            </w:tcMar>
          </w:tcPr>
          <w:p>
            <w:pPr>
              <w:spacing w:after="40"/>
            </w:pPr>
            <w:r>
              <w:rPr>
                <w:b/>
                <w:color w:val="FFFFFF"/>
                <w:sz w:val="20"/>
              </w:rPr>
              <w:t>Architectural Function &amp; Responsibility</w:t>
            </w:r>
          </w:p>
        </w:tc>
      </w:tr>
      <w:tr>
        <w:tc>
          <w:tcPr>
            <w:tcW w:type="dxa" w:w="2592"/>
            <w:shd w:fill="FFFFFF"/>
            <w:tcMar>
              <w:top w:w="80" w:type="dxa"/>
              <w:bottom w:w="80" w:type="dxa"/>
              <w:left w:w="100" w:type="dxa"/>
              <w:right w:w="100" w:type="dxa"/>
            </w:tcMar>
          </w:tcPr>
          <w:p>
            <w:pPr>
              <w:spacing w:after="40"/>
            </w:pPr>
            <w:r>
              <w:rPr>
                <w:b/>
                <w:color w:val="1E3A8A"/>
                <w:sz w:val="19"/>
              </w:rPr>
              <w:t>Client Access Layer</w:t>
            </w:r>
          </w:p>
        </w:tc>
        <w:tc>
          <w:tcPr>
            <w:tcW w:type="dxa" w:w="2160"/>
            <w:shd w:fill="FFFFFF"/>
            <w:tcMar>
              <w:top w:w="80" w:type="dxa"/>
              <w:bottom w:w="80" w:type="dxa"/>
              <w:left w:w="100" w:type="dxa"/>
              <w:right w:w="100" w:type="dxa"/>
            </w:tcMar>
          </w:tcPr>
          <w:p>
            <w:pPr>
              <w:spacing w:after="40"/>
            </w:pPr>
            <w:r>
              <w:rPr>
                <w:sz w:val="19"/>
              </w:rPr>
              <w:t>Web UI / Workspace / REST API</w:t>
            </w:r>
          </w:p>
        </w:tc>
        <w:tc>
          <w:tcPr>
            <w:tcW w:type="dxa" w:w="5040"/>
            <w:shd w:fill="FFFFFF"/>
            <w:tcMar>
              <w:top w:w="80" w:type="dxa"/>
              <w:bottom w:w="80" w:type="dxa"/>
              <w:left w:w="100" w:type="dxa"/>
              <w:right w:w="100" w:type="dxa"/>
            </w:tcMar>
          </w:tcPr>
          <w:p>
            <w:pPr>
              <w:spacing w:after="40"/>
            </w:pPr>
            <w:r>
              <w:rPr>
                <w:sz w:val="19"/>
              </w:rPr>
              <w:t>Initiates data queries (Read, Write, Create, Delete) against target platform records.</w:t>
            </w:r>
          </w:p>
        </w:tc>
      </w:tr>
      <w:tr>
        <w:tc>
          <w:tcPr>
            <w:tcW w:type="dxa" w:w="2592"/>
            <w:shd w:fill="F8FAFC"/>
            <w:tcMar>
              <w:top w:w="80" w:type="dxa"/>
              <w:bottom w:w="80" w:type="dxa"/>
              <w:left w:w="100" w:type="dxa"/>
              <w:right w:w="100" w:type="dxa"/>
            </w:tcMar>
          </w:tcPr>
          <w:p>
            <w:pPr>
              <w:spacing w:after="40"/>
            </w:pPr>
            <w:r>
              <w:rPr>
                <w:b/>
                <w:color w:val="1E3A8A"/>
                <w:sz w:val="19"/>
              </w:rPr>
              <w:t>Security Manager</w:t>
            </w:r>
          </w:p>
        </w:tc>
        <w:tc>
          <w:tcPr>
            <w:tcW w:type="dxa" w:w="2160"/>
            <w:shd w:fill="F8FAFC"/>
            <w:tcMar>
              <w:top w:w="80" w:type="dxa"/>
              <w:bottom w:w="80" w:type="dxa"/>
              <w:left w:w="100" w:type="dxa"/>
              <w:right w:w="100" w:type="dxa"/>
            </w:tcMar>
          </w:tcPr>
          <w:p>
            <w:pPr>
              <w:spacing w:after="40"/>
            </w:pPr>
            <w:r>
              <w:rPr>
                <w:sz w:val="19"/>
              </w:rPr>
              <w:t>GlideSecurityManager (Server)</w:t>
            </w:r>
          </w:p>
        </w:tc>
        <w:tc>
          <w:tcPr>
            <w:tcW w:type="dxa" w:w="5040"/>
            <w:shd w:fill="F8FAFC"/>
            <w:tcMar>
              <w:top w:w="80" w:type="dxa"/>
              <w:bottom w:w="80" w:type="dxa"/>
              <w:left w:w="100" w:type="dxa"/>
              <w:right w:w="100" w:type="dxa"/>
            </w:tcMar>
          </w:tcPr>
          <w:p>
            <w:pPr>
              <w:spacing w:after="40"/>
            </w:pPr>
            <w:r>
              <w:rPr>
                <w:sz w:val="19"/>
              </w:rPr>
              <w:t>Intercepts all database operations before SQL generation to evaluate security rules.</w:t>
            </w:r>
          </w:p>
        </w:tc>
      </w:tr>
      <w:tr>
        <w:tc>
          <w:tcPr>
            <w:tcW w:type="dxa" w:w="2592"/>
            <w:shd w:fill="FFFFFF"/>
            <w:tcMar>
              <w:top w:w="80" w:type="dxa"/>
              <w:bottom w:w="80" w:type="dxa"/>
              <w:left w:w="100" w:type="dxa"/>
              <w:right w:w="100" w:type="dxa"/>
            </w:tcMar>
          </w:tcPr>
          <w:p>
            <w:pPr>
              <w:spacing w:after="40"/>
            </w:pPr>
            <w:r>
              <w:rPr>
                <w:b/>
                <w:color w:val="1E3A8A"/>
                <w:sz w:val="19"/>
              </w:rPr>
              <w:t>Declarative Evaluator</w:t>
            </w:r>
          </w:p>
        </w:tc>
        <w:tc>
          <w:tcPr>
            <w:tcW w:type="dxa" w:w="2160"/>
            <w:shd w:fill="FFFFFF"/>
            <w:tcMar>
              <w:top w:w="80" w:type="dxa"/>
              <w:bottom w:w="80" w:type="dxa"/>
              <w:left w:w="100" w:type="dxa"/>
              <w:right w:w="100" w:type="dxa"/>
            </w:tcMar>
          </w:tcPr>
          <w:p>
            <w:pPr>
              <w:spacing w:after="40"/>
            </w:pPr>
            <w:r>
              <w:rPr>
                <w:sz w:val="19"/>
              </w:rPr>
              <w:t>sys_security_acl (OOTB)</w:t>
            </w:r>
          </w:p>
        </w:tc>
        <w:tc>
          <w:tcPr>
            <w:tcW w:type="dxa" w:w="5040"/>
            <w:shd w:fill="FFFFFF"/>
            <w:tcMar>
              <w:top w:w="80" w:type="dxa"/>
              <w:bottom w:w="80" w:type="dxa"/>
              <w:left w:w="100" w:type="dxa"/>
              <w:right w:w="100" w:type="dxa"/>
            </w:tcMar>
          </w:tcPr>
          <w:p>
            <w:pPr>
              <w:spacing w:after="40"/>
            </w:pPr>
            <w:r>
              <w:rPr>
                <w:sz w:val="19"/>
              </w:rPr>
              <w:t>Evaluates static user roles (`Requires Role`) and simple condition builder attributes.</w:t>
            </w:r>
          </w:p>
        </w:tc>
      </w:tr>
      <w:tr>
        <w:tc>
          <w:tcPr>
            <w:tcW w:type="dxa" w:w="2592"/>
            <w:shd w:fill="F8FAFC"/>
            <w:tcMar>
              <w:top w:w="80" w:type="dxa"/>
              <w:bottom w:w="80" w:type="dxa"/>
              <w:left w:w="100" w:type="dxa"/>
              <w:right w:w="100" w:type="dxa"/>
            </w:tcMar>
          </w:tcPr>
          <w:p>
            <w:pPr>
              <w:spacing w:after="40"/>
            </w:pPr>
            <w:r>
              <w:rPr>
                <w:b/>
                <w:color w:val="1E3A8A"/>
                <w:sz w:val="19"/>
              </w:rPr>
              <w:t>Script Evaluation Engine</w:t>
            </w:r>
          </w:p>
        </w:tc>
        <w:tc>
          <w:tcPr>
            <w:tcW w:type="dxa" w:w="2160"/>
            <w:shd w:fill="F8FAFC"/>
            <w:tcMar>
              <w:top w:w="80" w:type="dxa"/>
              <w:bottom w:w="80" w:type="dxa"/>
              <w:left w:w="100" w:type="dxa"/>
              <w:right w:w="100" w:type="dxa"/>
            </w:tcMar>
          </w:tcPr>
          <w:p>
            <w:pPr>
              <w:spacing w:after="40"/>
            </w:pPr>
            <w:r>
              <w:rPr>
                <w:sz w:val="19"/>
              </w:rPr>
              <w:t>Server JavaScript Engine</w:t>
            </w:r>
          </w:p>
        </w:tc>
        <w:tc>
          <w:tcPr>
            <w:tcW w:type="dxa" w:w="5040"/>
            <w:shd w:fill="F8FAFC"/>
            <w:tcMar>
              <w:top w:w="80" w:type="dxa"/>
              <w:bottom w:w="80" w:type="dxa"/>
              <w:left w:w="100" w:type="dxa"/>
              <w:right w:w="100" w:type="dxa"/>
            </w:tcMar>
          </w:tcPr>
          <w:p>
            <w:pPr>
              <w:spacing w:after="40"/>
            </w:pPr>
            <w:r>
              <w:rPr>
                <w:sz w:val="19"/>
              </w:rPr>
              <w:t>Executes custom script (`answer = script_result`) evaluating dynamic runtime conditions (`current.&lt;field&gt;` &amp; `gs.getUser()`).</w:t>
            </w:r>
          </w:p>
        </w:tc>
      </w:tr>
      <w:tr>
        <w:tc>
          <w:tcPr>
            <w:tcW w:type="dxa" w:w="2592"/>
            <w:shd w:fill="FFFFFF"/>
            <w:tcMar>
              <w:top w:w="80" w:type="dxa"/>
              <w:bottom w:w="80" w:type="dxa"/>
              <w:left w:w="100" w:type="dxa"/>
              <w:right w:w="100" w:type="dxa"/>
            </w:tcMar>
          </w:tcPr>
          <w:p>
            <w:pPr>
              <w:spacing w:after="40"/>
            </w:pPr>
            <w:r>
              <w:rPr>
                <w:b/>
                <w:color w:val="1E3A8A"/>
                <w:sz w:val="19"/>
              </w:rPr>
              <w:t>Database Execution Layer</w:t>
            </w:r>
          </w:p>
        </w:tc>
        <w:tc>
          <w:tcPr>
            <w:tcW w:type="dxa" w:w="2160"/>
            <w:shd w:fill="FFFFFF"/>
            <w:tcMar>
              <w:top w:w="80" w:type="dxa"/>
              <w:bottom w:w="80" w:type="dxa"/>
              <w:left w:w="100" w:type="dxa"/>
              <w:right w:w="100" w:type="dxa"/>
            </w:tcMar>
          </w:tcPr>
          <w:p>
            <w:pPr>
              <w:spacing w:after="40"/>
            </w:pPr>
            <w:r>
              <w:rPr>
                <w:sz w:val="19"/>
              </w:rPr>
              <w:t>Database / Transaction Layer</w:t>
            </w:r>
          </w:p>
        </w:tc>
        <w:tc>
          <w:tcPr>
            <w:tcW w:type="dxa" w:w="5040"/>
            <w:shd w:fill="FFFFFF"/>
            <w:tcMar>
              <w:top w:w="80" w:type="dxa"/>
              <w:bottom w:w="80" w:type="dxa"/>
              <w:left w:w="100" w:type="dxa"/>
              <w:right w:w="100" w:type="dxa"/>
            </w:tcMar>
          </w:tcPr>
          <w:p>
            <w:pPr>
              <w:spacing w:after="40"/>
            </w:pPr>
            <w:r>
              <w:rPr>
                <w:sz w:val="19"/>
              </w:rPr>
              <w:t>Executes approved queries or blocks non-compliant field edits with security exceptions.</w:t>
            </w:r>
          </w:p>
        </w:tc>
      </w:tr>
      <w:tr>
        <w:tc>
          <w:tcPr>
            <w:tcW w:type="dxa" w:w="2592"/>
            <w:shd w:fill="F8FAFC"/>
            <w:tcMar>
              <w:top w:w="80" w:type="dxa"/>
              <w:bottom w:w="80" w:type="dxa"/>
              <w:left w:w="100" w:type="dxa"/>
              <w:right w:w="100" w:type="dxa"/>
            </w:tcMar>
          </w:tcPr>
          <w:p>
            <w:pPr>
              <w:spacing w:after="40"/>
            </w:pPr>
            <w:r>
              <w:rPr>
                <w:b/>
                <w:color w:val="1E3A8A"/>
                <w:sz w:val="19"/>
              </w:rPr>
              <w:t>Audit &amp; Logging Engine</w:t>
            </w:r>
          </w:p>
        </w:tc>
        <w:tc>
          <w:tcPr>
            <w:tcW w:type="dxa" w:w="2160"/>
            <w:shd w:fill="F8FAFC"/>
            <w:tcMar>
              <w:top w:w="80" w:type="dxa"/>
              <w:bottom w:w="80" w:type="dxa"/>
              <w:left w:w="100" w:type="dxa"/>
              <w:right w:w="100" w:type="dxa"/>
            </w:tcMar>
          </w:tcPr>
          <w:p>
            <w:pPr>
              <w:spacing w:after="40"/>
            </w:pPr>
            <w:r>
              <w:rPr>
                <w:sz w:val="19"/>
              </w:rPr>
              <w:t>System Audit / Transaction Log</w:t>
            </w:r>
          </w:p>
        </w:tc>
        <w:tc>
          <w:tcPr>
            <w:tcW w:type="dxa" w:w="5040"/>
            <w:shd w:fill="F8FAFC"/>
            <w:tcMar>
              <w:top w:w="80" w:type="dxa"/>
              <w:bottom w:w="80" w:type="dxa"/>
              <w:left w:w="100" w:type="dxa"/>
              <w:right w:w="100" w:type="dxa"/>
            </w:tcMar>
          </w:tcPr>
          <w:p>
            <w:pPr>
              <w:spacing w:after="40"/>
            </w:pPr>
            <w:r>
              <w:rPr>
                <w:sz w:val="19"/>
              </w:rPr>
              <w:t>Records security evaluation metrics, denied access attempts, and administrative audit trails.</w:t>
            </w:r>
          </w:p>
        </w:tc>
      </w:tr>
    </w:tbl>
    <w:p>
      <w:pPr>
        <w:spacing w:before="280" w:after="120"/>
      </w:pPr>
      <w:r>
        <w:rPr>
          <w:rFonts w:ascii="Calibri" w:hAnsi="Calibri"/>
          <w:b/>
          <w:color w:val="1E3A8A"/>
          <w:sz w:val="30"/>
        </w:rPr>
        <w:t>3. Solution Architecture &amp; Data Flow Diagram</w:t>
      </w:r>
    </w:p>
    <w:p>
      <w:r>
        <w:t>The following architectural flowchart details the sequence of evaluation steps enforced when a user or external service attempts to access or modify a field value on a protected record:</w:t>
      </w:r>
    </w:p>
    <w:p>
      <w:pPr>
        <w:spacing w:after="240"/>
        <w:ind w:left="288" w:right="288"/>
      </w:pPr>
      <w:r>
        <w:rPr>
          <w:rFonts w:ascii="Consolas" w:hAnsi="Consolas"/>
          <w:color w:val="1E293B"/>
          <w:sz w:val="17"/>
        </w:rPr>
        <w:t>+-----------------------------------------------------------------------------------------+</w:t>
        <w:br/>
        <w:t>|                              INCOMING REQUEST CHANNELS                                  |</w:t>
        <w:br/>
        <w:t>|   [ Service Portal / UI ]    [ Workspace ]    [ REST / SOAP API ]   [ Background Script ]|</w:t>
        <w:br/>
        <w:t>+-----------------------------------------------------------------------------------------+</w:t>
        <w:br/>
        <w:t xml:space="preserve">                                             |</w:t>
        <w:br/>
        <w:t xml:space="preserve">                                             v</w:t>
        <w:br/>
        <w:t>+-----------------------------------------------------------------------------------------+</w:t>
        <w:br/>
        <w:t>|                       SERVICENOW GLIDESECURITYMANAGER (SERVER)                          |</w:t>
        <w:br/>
        <w:t>|  Intercepts data operation before database execution                                   |</w:t>
        <w:br/>
        <w:t>+-----------------------------------------------------------------------------------------+</w:t>
        <w:br/>
        <w:t xml:space="preserve">                                             |</w:t>
        <w:br/>
        <w:t xml:space="preserve">                                             v</w:t>
        <w:br/>
        <w:t>+-----------------------------------------------------------------------------------------+</w:t>
        <w:br/>
        <w:t>|                             ACL EVALUATION CASCADE (3-TIER)                             |</w:t>
        <w:br/>
        <w:t>|                                                                                         |</w:t>
        <w:br/>
        <w:t>|  1. Role Check           : Does user possess required security roles?                   |</w:t>
        <w:br/>
        <w:t>|  2. Condition Check      : Does record meet static condition builder rules?             |</w:t>
        <w:br/>
        <w:t>|  3. SCRIPT EVALUATION    : Executes dynamic JavaScript snippet                          |</w:t>
        <w:br/>
        <w:t>|                            Evaluates current.&lt;field_value&gt; vs gs.getUser() / roles      |</w:t>
        <w:br/>
        <w:t>+-----------------------------------------------------------------------------------------+</w:t>
        <w:br/>
        <w:t xml:space="preserve">                                     /               \</w:t>
        <w:br/>
        <w:t xml:space="preserve">                         [ answer == true ]     [ answer == false ]</w:t>
        <w:br/>
        <w:t xml:space="preserve">                                 /                       \</w:t>
        <w:br/>
        <w:t xml:space="preserve">                                v                         v</w:t>
        <w:br/>
        <w:t>+---------------------------------------+   +---------------------------------------------+</w:t>
        <w:br/>
        <w:t>|       ACCESS GRANTED LAYER            |   |           ACCESS DENIED LAYER               |</w:t>
        <w:br/>
        <w:t>|  - Permitted record query / update    |   |  - Transaction blocked at DB level          |</w:t>
        <w:br/>
        <w:t>|  - Returns requested field data       |   |  - Read/Write access denied on field        |</w:t>
        <w:br/>
        <w:t>|  - Commits database transaction       |   |  - Security log generated in sys_audit      |</w:t>
        <w:br/>
        <w:t>+---------------------------------------+   +---------------------------------------------+</w:t>
        <w:br/>
      </w:r>
    </w:p>
    <w:p>
      <w:pPr>
        <w:spacing w:before="280" w:after="120"/>
      </w:pPr>
      <w:r>
        <w:rPr>
          <w:rFonts w:ascii="Calibri" w:hAnsi="Calibri"/>
          <w:b/>
          <w:color w:val="1E3A8A"/>
          <w:sz w:val="30"/>
        </w:rPr>
        <w:t>4. Security Evaluation Logic &amp; Implementation Specifications</w:t>
      </w:r>
    </w:p>
    <w:p>
      <w:pPr>
        <w:pStyle w:val="ListBullet"/>
        <w:spacing w:after="80"/>
      </w:pPr>
      <w:r>
        <w:rPr>
          <w:b/>
          <w:color w:val="0F172A"/>
        </w:rPr>
        <w:t>Contextual Field Evaluation:</w:t>
      </w:r>
      <w:r>
        <w:t xml:space="preserve"> The script accesses `current.&lt;field_name&gt;` to inspect live record values during transaction time (e.g., state == 'Closed' or sensitive field flag).</w:t>
      </w:r>
    </w:p>
    <w:p>
      <w:pPr>
        <w:pStyle w:val="ListBullet"/>
        <w:spacing w:after="80"/>
      </w:pPr>
      <w:r>
        <w:rPr>
          <w:b/>
          <w:color w:val="0F172A"/>
        </w:rPr>
        <w:t>User Context Inspection:</w:t>
      </w:r>
      <w:r>
        <w:t xml:space="preserve"> System API calls like `gs.getUser()`, `gs.hasRole()`, and `gs.getUserID()` determine user privileges without requiring static role proliferation.</w:t>
      </w:r>
    </w:p>
    <w:p>
      <w:pPr>
        <w:pStyle w:val="ListBullet"/>
        <w:spacing w:after="80"/>
      </w:pPr>
      <w:r>
        <w:rPr>
          <w:b/>
          <w:color w:val="0F172A"/>
        </w:rPr>
        <w:t>Strict Enforcement across REST/UI:</w:t>
      </w:r>
      <w:r>
        <w:t xml:space="preserve"> Because evaluation occurs at the server layer (`sys_security_acl`), UI bypass tricks (such as altering Client Script DOM or issuing direct REST PATCH requests) are strictly blocked.</w:t>
      </w:r>
    </w:p>
    <w:p>
      <w:pPr>
        <w:pStyle w:val="ListBullet"/>
        <w:spacing w:after="80"/>
      </w:pPr>
      <w:r>
        <w:rPr>
          <w:b/>
          <w:color w:val="0F172A"/>
        </w:rPr>
        <w:t>Audit Trail Logging:</w:t>
      </w:r>
      <w:r>
        <w:t xml:space="preserve"> All permission denials trigger standard ServiceNow security log entries, guaranteeing compliance with enterprise governance standards (ISO 27001 / SOC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