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1BF6E" w14:textId="77777777" w:rsidR="0079110A" w:rsidRPr="005E16AF" w:rsidRDefault="0079110A" w:rsidP="0079110A">
      <w:pPr>
        <w:jc w:val="center"/>
        <w:rPr>
          <w:rFonts w:ascii="Comic Sans MS" w:hAnsi="Comic Sans MS"/>
          <w:b/>
          <w:bCs/>
          <w:sz w:val="56"/>
        </w:rPr>
      </w:pPr>
      <w:r>
        <w:rPr>
          <w:rFonts w:ascii="Comic Sans MS" w:hAnsi="Comic Sans MS"/>
          <w:b/>
          <w:bCs/>
          <w:noProof/>
          <w:sz w:val="56"/>
        </w:rPr>
        <w:drawing>
          <wp:inline distT="0" distB="0" distL="0" distR="0" wp14:anchorId="3D8D0703" wp14:editId="6652DE12">
            <wp:extent cx="19716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CO Logo Normal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6B5" w14:textId="77777777" w:rsidR="0079110A" w:rsidRPr="0079110A" w:rsidRDefault="0079110A" w:rsidP="0079110A">
      <w:pPr>
        <w:jc w:val="center"/>
        <w:rPr>
          <w:rFonts w:ascii="Comic Sans MS Bold" w:hAnsi="Comic Sans MS Bold"/>
          <w:b/>
          <w:bCs/>
          <w:sz w:val="36"/>
        </w:rPr>
      </w:pPr>
      <w:r w:rsidRPr="0079110A">
        <w:rPr>
          <w:rFonts w:ascii="Comic Sans MS Bold" w:hAnsi="Comic Sans MS Bold"/>
          <w:b/>
          <w:bCs/>
          <w:sz w:val="36"/>
        </w:rPr>
        <w:t>Manufactured Housing Communities of Oregon</w:t>
      </w:r>
    </w:p>
    <w:p w14:paraId="5722E5C4" w14:textId="77777777" w:rsidR="0079110A" w:rsidRPr="00E63B58" w:rsidRDefault="0079110A" w:rsidP="0079110A">
      <w:pPr>
        <w:jc w:val="center"/>
        <w:rPr>
          <w:rFonts w:ascii="Comic Sans MS Bold" w:hAnsi="Comic Sans MS Bold"/>
          <w:b/>
          <w:bCs/>
          <w:sz w:val="16"/>
          <w:szCs w:val="16"/>
          <w:u w:val="single"/>
        </w:rPr>
      </w:pPr>
    </w:p>
    <w:p w14:paraId="70D569E4" w14:textId="77777777" w:rsidR="0079110A" w:rsidRDefault="0079110A" w:rsidP="0079110A">
      <w:pPr>
        <w:jc w:val="center"/>
        <w:rPr>
          <w:rFonts w:ascii="Comic Sans MS" w:hAnsi="Comic Sans MS"/>
          <w:sz w:val="24"/>
          <w:szCs w:val="24"/>
        </w:rPr>
      </w:pPr>
      <w:bookmarkStart w:id="0" w:name="_GoBack"/>
      <w:r w:rsidRPr="0079110A">
        <w:rPr>
          <w:rFonts w:ascii="Comic Sans MS" w:hAnsi="Comic Sans MS"/>
          <w:sz w:val="24"/>
          <w:szCs w:val="24"/>
        </w:rPr>
        <w:t xml:space="preserve">PO Box 12709, Salem, OR 97309   </w:t>
      </w:r>
    </w:p>
    <w:bookmarkEnd w:id="0"/>
    <w:p w14:paraId="464C39ED" w14:textId="77777777" w:rsidR="0079110A" w:rsidRPr="0079110A" w:rsidRDefault="0079110A" w:rsidP="0079110A">
      <w:pPr>
        <w:jc w:val="center"/>
        <w:rPr>
          <w:rFonts w:ascii="Comic Sans MS" w:hAnsi="Comic Sans MS"/>
          <w:sz w:val="24"/>
          <w:szCs w:val="24"/>
        </w:rPr>
      </w:pPr>
      <w:r w:rsidRPr="0079110A">
        <w:rPr>
          <w:rFonts w:ascii="Comic Sans MS" w:hAnsi="Comic Sans MS"/>
          <w:sz w:val="24"/>
          <w:szCs w:val="24"/>
        </w:rPr>
        <w:t xml:space="preserve"> (503) 391-4496</w:t>
      </w:r>
    </w:p>
    <w:p w14:paraId="75571ABA" w14:textId="77777777" w:rsidR="0079110A" w:rsidRDefault="0079110A" w:rsidP="00E463FA">
      <w:pPr>
        <w:spacing w:after="0" w:line="240" w:lineRule="auto"/>
        <w:jc w:val="center"/>
        <w:rPr>
          <w:rFonts w:ascii="Calibri" w:hAnsi="Calibri"/>
          <w:b/>
          <w:smallCaps/>
          <w:sz w:val="28"/>
          <w:szCs w:val="28"/>
          <w:u w:val="single"/>
        </w:rPr>
      </w:pPr>
    </w:p>
    <w:p w14:paraId="29A94569" w14:textId="77777777" w:rsidR="0079110A" w:rsidRDefault="0079110A" w:rsidP="00E463FA">
      <w:pPr>
        <w:spacing w:after="0" w:line="240" w:lineRule="auto"/>
        <w:jc w:val="center"/>
        <w:rPr>
          <w:rFonts w:ascii="Calibri" w:hAnsi="Calibri"/>
          <w:b/>
          <w:smallCaps/>
          <w:sz w:val="28"/>
          <w:szCs w:val="28"/>
          <w:u w:val="single"/>
        </w:rPr>
      </w:pPr>
    </w:p>
    <w:p w14:paraId="5DD8A017" w14:textId="77777777" w:rsidR="0079110A" w:rsidRDefault="0079110A" w:rsidP="00E463FA">
      <w:pPr>
        <w:spacing w:after="0" w:line="240" w:lineRule="auto"/>
        <w:jc w:val="center"/>
        <w:rPr>
          <w:rFonts w:ascii="Calibri" w:hAnsi="Calibri"/>
          <w:b/>
          <w:smallCaps/>
          <w:sz w:val="28"/>
          <w:szCs w:val="28"/>
          <w:u w:val="single"/>
        </w:rPr>
      </w:pPr>
    </w:p>
    <w:p w14:paraId="5A826F1E" w14:textId="77777777" w:rsidR="00EE30DF" w:rsidRDefault="00E463FA" w:rsidP="00E463FA">
      <w:pPr>
        <w:spacing w:after="0" w:line="240" w:lineRule="auto"/>
        <w:jc w:val="center"/>
        <w:rPr>
          <w:rFonts w:ascii="Calibri" w:hAnsi="Calibri"/>
          <w:b/>
          <w:smallCaps/>
          <w:sz w:val="28"/>
          <w:szCs w:val="28"/>
          <w:u w:val="single"/>
        </w:rPr>
      </w:pPr>
      <w:r>
        <w:rPr>
          <w:rFonts w:ascii="Calibri" w:hAnsi="Calibri"/>
          <w:b/>
          <w:smallCaps/>
          <w:sz w:val="28"/>
          <w:szCs w:val="28"/>
          <w:u w:val="single"/>
        </w:rPr>
        <w:t xml:space="preserve">Written </w:t>
      </w:r>
      <w:r w:rsidR="00D3511E" w:rsidRPr="00D3511E">
        <w:rPr>
          <w:rFonts w:ascii="Calibri" w:hAnsi="Calibri"/>
          <w:b/>
          <w:smallCaps/>
          <w:sz w:val="28"/>
          <w:szCs w:val="28"/>
          <w:u w:val="single"/>
        </w:rPr>
        <w:t>Testimony of Phillip C. Querin</w:t>
      </w:r>
    </w:p>
    <w:p w14:paraId="58EDA6CA" w14:textId="77777777" w:rsidR="00E463FA" w:rsidRDefault="00E463FA" w:rsidP="00E463FA">
      <w:pPr>
        <w:spacing w:after="0" w:line="240" w:lineRule="auto"/>
        <w:jc w:val="center"/>
        <w:rPr>
          <w:rFonts w:ascii="Calibri" w:hAnsi="Calibri"/>
          <w:b/>
          <w:smallCaps/>
          <w:sz w:val="24"/>
          <w:szCs w:val="24"/>
        </w:rPr>
      </w:pPr>
      <w:r w:rsidRPr="00E463FA">
        <w:rPr>
          <w:rFonts w:ascii="Calibri" w:hAnsi="Calibri"/>
          <w:b/>
          <w:smallCaps/>
          <w:sz w:val="24"/>
          <w:szCs w:val="24"/>
        </w:rPr>
        <w:t>Legal Counsel for Manufactured Housing Communities of Oregon</w:t>
      </w:r>
    </w:p>
    <w:p w14:paraId="30248BDE" w14:textId="77777777" w:rsidR="00E463FA" w:rsidRDefault="00E463FA" w:rsidP="00E463FA">
      <w:pPr>
        <w:spacing w:after="0" w:line="240" w:lineRule="auto"/>
        <w:jc w:val="center"/>
        <w:rPr>
          <w:rFonts w:ascii="Calibri" w:hAnsi="Calibri"/>
          <w:b/>
          <w:smallCaps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>In Opposition to HB 4085 (2018)</w:t>
      </w:r>
    </w:p>
    <w:p w14:paraId="0516A07D" w14:textId="77777777" w:rsidR="00E463FA" w:rsidRPr="00E463FA" w:rsidRDefault="00E463FA" w:rsidP="00E463FA">
      <w:pPr>
        <w:jc w:val="center"/>
        <w:rPr>
          <w:rFonts w:ascii="Calibri" w:hAnsi="Calibri"/>
          <w:b/>
          <w:smallCaps/>
          <w:sz w:val="24"/>
          <w:szCs w:val="24"/>
        </w:rPr>
      </w:pPr>
    </w:p>
    <w:p w14:paraId="501790E9" w14:textId="77777777" w:rsidR="008C4026" w:rsidRDefault="00D3511E" w:rsidP="00E463FA">
      <w:pPr>
        <w:spacing w:after="0" w:line="240" w:lineRule="auto"/>
        <w:jc w:val="both"/>
      </w:pPr>
      <w:r w:rsidRPr="00D3511E">
        <w:rPr>
          <w:smallCaps/>
          <w:sz w:val="24"/>
          <w:szCs w:val="24"/>
        </w:rPr>
        <w:t xml:space="preserve"> </w:t>
      </w:r>
      <w:r w:rsidRPr="00D3511E">
        <w:t xml:space="preserve">Judges already have statutory guidelines when it comes to awarding attorney fees. </w:t>
      </w:r>
    </w:p>
    <w:p w14:paraId="331F08A5" w14:textId="77777777" w:rsidR="008C4026" w:rsidRDefault="008C4026" w:rsidP="00D3511E">
      <w:pPr>
        <w:pStyle w:val="outlinelevel1"/>
        <w:spacing w:before="0" w:beforeAutospacing="0" w:after="0" w:afterAutospacing="0"/>
        <w:jc w:val="both"/>
        <w:rPr>
          <w:rFonts w:asciiTheme="minorHAnsi" w:hAnsiTheme="minorHAnsi"/>
        </w:rPr>
      </w:pPr>
    </w:p>
    <w:p w14:paraId="489B7F27" w14:textId="77777777" w:rsidR="00D3511E" w:rsidRPr="00D3511E" w:rsidRDefault="00D3511E" w:rsidP="00D3511E">
      <w:pPr>
        <w:pStyle w:val="outlinelevel1"/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  <w:r w:rsidRPr="00D3511E">
        <w:rPr>
          <w:rFonts w:asciiTheme="minorHAnsi" w:hAnsiTheme="minorHAnsi"/>
        </w:rPr>
        <w:t>ORS 20.075 provides that</w:t>
      </w:r>
      <w:r>
        <w:rPr>
          <w:rFonts w:asciiTheme="minorHAnsi" w:hAnsiTheme="minorHAnsi"/>
        </w:rPr>
        <w:t xml:space="preserve"> as to </w:t>
      </w:r>
      <w:r w:rsidRPr="00D3511E">
        <w:rPr>
          <w:rFonts w:asciiTheme="minorHAnsi" w:hAnsiTheme="minorHAnsi"/>
          <w:i/>
          <w:u w:val="single"/>
        </w:rPr>
        <w:t>whether</w:t>
      </w:r>
      <w:r>
        <w:rPr>
          <w:rFonts w:asciiTheme="minorHAnsi" w:hAnsiTheme="minorHAnsi"/>
        </w:rPr>
        <w:t xml:space="preserve"> to award fees, the court should consider such </w:t>
      </w:r>
      <w:r w:rsidR="008C4026">
        <w:rPr>
          <w:rFonts w:asciiTheme="minorHAnsi" w:hAnsiTheme="minorHAnsi"/>
        </w:rPr>
        <w:t xml:space="preserve">factors </w:t>
      </w:r>
      <w:r>
        <w:rPr>
          <w:rFonts w:asciiTheme="minorHAnsi" w:hAnsiTheme="minorHAnsi"/>
        </w:rPr>
        <w:t>as</w:t>
      </w:r>
      <w:r w:rsidRPr="00D3511E">
        <w:rPr>
          <w:rFonts w:asciiTheme="minorHAnsi" w:hAnsiTheme="minorHAnsi" w:cs="Arial"/>
          <w:color w:val="352D27"/>
        </w:rPr>
        <w:t>:</w:t>
      </w:r>
    </w:p>
    <w:p w14:paraId="1069D383" w14:textId="77777777" w:rsidR="00D3511E" w:rsidRDefault="00D3511E" w:rsidP="008C4026">
      <w:pPr>
        <w:pStyle w:val="outlinelevel2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  <w:r w:rsidRPr="00D3511E">
        <w:rPr>
          <w:rFonts w:asciiTheme="minorHAnsi" w:hAnsiTheme="minorHAnsi" w:cs="Arial"/>
          <w:color w:val="352D27"/>
        </w:rPr>
        <w:t xml:space="preserve">The conduct of the parties </w:t>
      </w:r>
      <w:r w:rsidR="008C4026">
        <w:rPr>
          <w:rFonts w:asciiTheme="minorHAnsi" w:hAnsiTheme="minorHAnsi" w:cs="Arial"/>
          <w:color w:val="352D27"/>
        </w:rPr>
        <w:t xml:space="preserve">giving rise to the </w:t>
      </w:r>
      <w:r w:rsidRPr="00D3511E">
        <w:rPr>
          <w:rFonts w:asciiTheme="minorHAnsi" w:hAnsiTheme="minorHAnsi" w:cs="Arial"/>
          <w:color w:val="352D27"/>
        </w:rPr>
        <w:t>litigation</w:t>
      </w:r>
      <w:r w:rsidR="008C4026">
        <w:rPr>
          <w:rFonts w:asciiTheme="minorHAnsi" w:hAnsiTheme="minorHAnsi" w:cs="Arial"/>
          <w:color w:val="352D27"/>
        </w:rPr>
        <w:t xml:space="preserve">; whether it was </w:t>
      </w:r>
      <w:r w:rsidRPr="00D3511E">
        <w:rPr>
          <w:rFonts w:asciiTheme="minorHAnsi" w:hAnsiTheme="minorHAnsi" w:cs="Arial"/>
          <w:color w:val="352D27"/>
        </w:rPr>
        <w:t>reckless, willful, malicious, in bad faith</w:t>
      </w:r>
      <w:r w:rsidR="004A34DF">
        <w:rPr>
          <w:rFonts w:asciiTheme="minorHAnsi" w:hAnsiTheme="minorHAnsi" w:cs="Arial"/>
          <w:color w:val="352D27"/>
        </w:rPr>
        <w:t>,</w:t>
      </w:r>
      <w:r w:rsidRPr="00D3511E">
        <w:rPr>
          <w:rFonts w:asciiTheme="minorHAnsi" w:hAnsiTheme="minorHAnsi" w:cs="Arial"/>
          <w:color w:val="352D27"/>
        </w:rPr>
        <w:t xml:space="preserve"> or illegal</w:t>
      </w:r>
      <w:r w:rsidR="008C4026">
        <w:rPr>
          <w:rFonts w:asciiTheme="minorHAnsi" w:hAnsiTheme="minorHAnsi" w:cs="Arial"/>
          <w:color w:val="352D27"/>
        </w:rPr>
        <w:t>;</w:t>
      </w:r>
    </w:p>
    <w:p w14:paraId="46E401FC" w14:textId="77777777" w:rsidR="00D3511E" w:rsidRDefault="008C4026" w:rsidP="008C4026">
      <w:pPr>
        <w:pStyle w:val="outlinelevel2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  <w:r w:rsidRPr="008C4026">
        <w:rPr>
          <w:rStyle w:val="outlineheading2"/>
          <w:rFonts w:asciiTheme="minorHAnsi" w:hAnsiTheme="minorHAnsi" w:cs="Arial"/>
          <w:bCs/>
          <w:color w:val="241C16"/>
        </w:rPr>
        <w:t>T</w:t>
      </w:r>
      <w:r w:rsidR="00D3511E" w:rsidRPr="00D3511E">
        <w:rPr>
          <w:rFonts w:asciiTheme="minorHAnsi" w:hAnsiTheme="minorHAnsi" w:cs="Arial"/>
          <w:color w:val="352D27"/>
        </w:rPr>
        <w:t xml:space="preserve">he objective reasonableness of the claims and defenses </w:t>
      </w:r>
      <w:r>
        <w:rPr>
          <w:rFonts w:asciiTheme="minorHAnsi" w:hAnsiTheme="minorHAnsi" w:cs="Arial"/>
          <w:color w:val="352D27"/>
        </w:rPr>
        <w:t>being a</w:t>
      </w:r>
      <w:r w:rsidR="00D3511E" w:rsidRPr="00D3511E">
        <w:rPr>
          <w:rFonts w:asciiTheme="minorHAnsi" w:hAnsiTheme="minorHAnsi" w:cs="Arial"/>
          <w:color w:val="352D27"/>
        </w:rPr>
        <w:t>sserted by the parties.</w:t>
      </w:r>
    </w:p>
    <w:p w14:paraId="342CFFA2" w14:textId="77777777" w:rsidR="008C4026" w:rsidRDefault="001939E7" w:rsidP="008C4026">
      <w:pPr>
        <w:pStyle w:val="outlinelevel2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  <w:r>
        <w:rPr>
          <w:rStyle w:val="outlineheading2"/>
          <w:rFonts w:asciiTheme="minorHAnsi" w:hAnsiTheme="minorHAnsi" w:cs="Arial"/>
          <w:bCs/>
          <w:color w:val="241C16"/>
        </w:rPr>
        <w:t>Deterrence</w:t>
      </w:r>
      <w:r w:rsidR="008C4026">
        <w:rPr>
          <w:rStyle w:val="outlineheading2"/>
          <w:rFonts w:asciiTheme="minorHAnsi" w:hAnsiTheme="minorHAnsi" w:cs="Arial"/>
          <w:bCs/>
          <w:color w:val="241C16"/>
        </w:rPr>
        <w:t>;</w:t>
      </w:r>
    </w:p>
    <w:p w14:paraId="3D57B096" w14:textId="77777777" w:rsidR="008C4026" w:rsidRDefault="008C4026" w:rsidP="008C4026">
      <w:pPr>
        <w:pStyle w:val="outlinelevel2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  <w:r>
        <w:rPr>
          <w:rFonts w:asciiTheme="minorHAnsi" w:hAnsiTheme="minorHAnsi" w:cs="Arial"/>
          <w:color w:val="352D27"/>
        </w:rPr>
        <w:t>O</w:t>
      </w:r>
      <w:r w:rsidR="00D3511E" w:rsidRPr="00D3511E">
        <w:rPr>
          <w:rFonts w:asciiTheme="minorHAnsi" w:hAnsiTheme="minorHAnsi" w:cs="Arial"/>
          <w:color w:val="352D27"/>
        </w:rPr>
        <w:t xml:space="preserve">bjective reasonableness of the parties and </w:t>
      </w:r>
      <w:r>
        <w:rPr>
          <w:rFonts w:asciiTheme="minorHAnsi" w:hAnsiTheme="minorHAnsi" w:cs="Arial"/>
          <w:color w:val="352D27"/>
        </w:rPr>
        <w:t xml:space="preserve">attorneys </w:t>
      </w:r>
      <w:r w:rsidR="00D3511E" w:rsidRPr="00D3511E">
        <w:rPr>
          <w:rFonts w:asciiTheme="minorHAnsi" w:hAnsiTheme="minorHAnsi" w:cs="Arial"/>
          <w:color w:val="352D27"/>
        </w:rPr>
        <w:t>during the proceedings</w:t>
      </w:r>
      <w:r>
        <w:rPr>
          <w:rFonts w:asciiTheme="minorHAnsi" w:hAnsiTheme="minorHAnsi" w:cs="Arial"/>
          <w:color w:val="352D27"/>
        </w:rPr>
        <w:t>;</w:t>
      </w:r>
    </w:p>
    <w:p w14:paraId="681E2FF3" w14:textId="77777777" w:rsidR="00D3511E" w:rsidRDefault="008C4026" w:rsidP="00874AB2">
      <w:pPr>
        <w:pStyle w:val="outlinelevel2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  <w:r w:rsidRPr="008C4026">
        <w:rPr>
          <w:rFonts w:asciiTheme="minorHAnsi" w:hAnsiTheme="minorHAnsi" w:cs="Arial"/>
          <w:color w:val="352D27"/>
        </w:rPr>
        <w:t xml:space="preserve"> </w:t>
      </w:r>
      <w:r>
        <w:rPr>
          <w:rFonts w:asciiTheme="minorHAnsi" w:hAnsiTheme="minorHAnsi" w:cs="Arial"/>
          <w:color w:val="352D27"/>
        </w:rPr>
        <w:t>And other appropriate factors the court may consider under the circumstances.</w:t>
      </w:r>
    </w:p>
    <w:p w14:paraId="692265BA" w14:textId="77777777" w:rsidR="008C4026" w:rsidRDefault="008C4026" w:rsidP="008C4026">
      <w:pPr>
        <w:pStyle w:val="outlinelevel2"/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</w:p>
    <w:p w14:paraId="67A5725A" w14:textId="77777777" w:rsidR="008C4026" w:rsidRDefault="008C4026" w:rsidP="00D3511E">
      <w:pPr>
        <w:pStyle w:val="outlinelevel2"/>
        <w:spacing w:before="0" w:beforeAutospacing="0" w:after="0" w:afterAutospacing="0"/>
        <w:jc w:val="both"/>
        <w:rPr>
          <w:rStyle w:val="outlineheading2"/>
          <w:rFonts w:asciiTheme="minorHAnsi" w:hAnsiTheme="minorHAnsi" w:cs="Arial"/>
          <w:bCs/>
          <w:color w:val="241C16"/>
        </w:rPr>
      </w:pPr>
      <w:r w:rsidRPr="008C4026">
        <w:rPr>
          <w:rStyle w:val="outlineheading2"/>
          <w:rFonts w:asciiTheme="minorHAnsi" w:hAnsiTheme="minorHAnsi" w:cs="Arial"/>
          <w:bCs/>
          <w:color w:val="241C16"/>
        </w:rPr>
        <w:t xml:space="preserve">As to the </w:t>
      </w:r>
      <w:r w:rsidRPr="008C4026">
        <w:rPr>
          <w:rStyle w:val="outlineheading2"/>
          <w:rFonts w:asciiTheme="minorHAnsi" w:hAnsiTheme="minorHAnsi" w:cs="Arial"/>
          <w:bCs/>
          <w:i/>
          <w:color w:val="241C16"/>
          <w:u w:val="single"/>
        </w:rPr>
        <w:t>amount</w:t>
      </w:r>
      <w:r>
        <w:rPr>
          <w:rStyle w:val="outlineheading2"/>
          <w:rFonts w:asciiTheme="minorHAnsi" w:hAnsiTheme="minorHAnsi" w:cs="Arial"/>
          <w:bCs/>
          <w:color w:val="241C16"/>
        </w:rPr>
        <w:t xml:space="preserve"> of the fees, the court may consider, among other factors: </w:t>
      </w:r>
    </w:p>
    <w:p w14:paraId="5120C21B" w14:textId="77777777" w:rsidR="008C4026" w:rsidRPr="008C4026" w:rsidRDefault="008C4026" w:rsidP="008C4026">
      <w:pPr>
        <w:pStyle w:val="outlinelevel2"/>
        <w:numPr>
          <w:ilvl w:val="0"/>
          <w:numId w:val="2"/>
        </w:numPr>
        <w:spacing w:before="0" w:beforeAutospacing="0" w:after="0" w:afterAutospacing="0"/>
        <w:ind w:left="720"/>
        <w:jc w:val="both"/>
        <w:rPr>
          <w:rStyle w:val="outlineheading2"/>
          <w:rFonts w:asciiTheme="minorHAnsi" w:hAnsiTheme="minorHAnsi" w:cs="Arial"/>
          <w:color w:val="352D27"/>
        </w:rPr>
      </w:pPr>
      <w:r>
        <w:rPr>
          <w:rStyle w:val="outlineheading2"/>
          <w:rFonts w:asciiTheme="minorHAnsi" w:hAnsiTheme="minorHAnsi" w:cs="Arial"/>
          <w:bCs/>
          <w:color w:val="241C16"/>
        </w:rPr>
        <w:t>Novelty and difficulty of issues involved;</w:t>
      </w:r>
    </w:p>
    <w:p w14:paraId="70C376B9" w14:textId="77777777" w:rsidR="008C4026" w:rsidRPr="008C4026" w:rsidRDefault="008C4026" w:rsidP="008C4026">
      <w:pPr>
        <w:pStyle w:val="outlinelevel2"/>
        <w:numPr>
          <w:ilvl w:val="0"/>
          <w:numId w:val="2"/>
        </w:numPr>
        <w:spacing w:before="0" w:beforeAutospacing="0" w:after="0" w:afterAutospacing="0"/>
        <w:ind w:left="720"/>
        <w:jc w:val="both"/>
        <w:rPr>
          <w:rStyle w:val="outlineheading2"/>
          <w:rFonts w:asciiTheme="minorHAnsi" w:hAnsiTheme="minorHAnsi" w:cs="Arial"/>
          <w:color w:val="352D27"/>
        </w:rPr>
      </w:pPr>
      <w:r>
        <w:rPr>
          <w:rStyle w:val="outlineheading2"/>
          <w:rFonts w:asciiTheme="minorHAnsi" w:hAnsiTheme="minorHAnsi" w:cs="Arial"/>
          <w:bCs/>
          <w:color w:val="241C16"/>
        </w:rPr>
        <w:t>Time and labor required;</w:t>
      </w:r>
    </w:p>
    <w:p w14:paraId="15AE8D26" w14:textId="77777777" w:rsidR="008C4026" w:rsidRPr="008C4026" w:rsidRDefault="008C4026" w:rsidP="008C4026">
      <w:pPr>
        <w:pStyle w:val="outlinelevel2"/>
        <w:numPr>
          <w:ilvl w:val="0"/>
          <w:numId w:val="2"/>
        </w:numPr>
        <w:spacing w:before="0" w:beforeAutospacing="0" w:after="0" w:afterAutospacing="0"/>
        <w:ind w:left="720"/>
        <w:jc w:val="both"/>
        <w:rPr>
          <w:rStyle w:val="outlineheading2"/>
          <w:rFonts w:asciiTheme="minorHAnsi" w:hAnsiTheme="minorHAnsi" w:cs="Arial"/>
          <w:color w:val="352D27"/>
        </w:rPr>
      </w:pPr>
      <w:r>
        <w:rPr>
          <w:rStyle w:val="outlineheading2"/>
          <w:rFonts w:asciiTheme="minorHAnsi" w:hAnsiTheme="minorHAnsi" w:cs="Arial"/>
          <w:bCs/>
          <w:color w:val="241C16"/>
        </w:rPr>
        <w:t>Customary fees for similar legal services;</w:t>
      </w:r>
    </w:p>
    <w:p w14:paraId="64699AAF" w14:textId="77777777" w:rsidR="008C4026" w:rsidRDefault="008C4026" w:rsidP="008C4026">
      <w:pPr>
        <w:pStyle w:val="outlinelevel2"/>
        <w:numPr>
          <w:ilvl w:val="0"/>
          <w:numId w:val="2"/>
        </w:numPr>
        <w:spacing w:before="0" w:beforeAutospacing="0" w:after="0" w:afterAutospacing="0"/>
        <w:ind w:left="720"/>
        <w:jc w:val="both"/>
        <w:rPr>
          <w:rStyle w:val="outlineheading2"/>
          <w:rFonts w:asciiTheme="minorHAnsi" w:hAnsiTheme="minorHAnsi" w:cs="Arial"/>
          <w:color w:val="352D27"/>
        </w:rPr>
      </w:pPr>
      <w:r>
        <w:rPr>
          <w:rStyle w:val="outlineheading2"/>
          <w:rFonts w:asciiTheme="minorHAnsi" w:hAnsiTheme="minorHAnsi" w:cs="Arial"/>
          <w:bCs/>
          <w:color w:val="241C16"/>
        </w:rPr>
        <w:t>Experience, reputation of the attorney.</w:t>
      </w:r>
    </w:p>
    <w:p w14:paraId="42600809" w14:textId="77777777" w:rsidR="008C4026" w:rsidRDefault="008C4026" w:rsidP="008C4026">
      <w:pPr>
        <w:pStyle w:val="outlinelevel2"/>
        <w:spacing w:before="0" w:beforeAutospacing="0" w:after="0" w:afterAutospacing="0"/>
        <w:ind w:left="720"/>
        <w:jc w:val="both"/>
        <w:rPr>
          <w:rStyle w:val="outlineheading2"/>
          <w:rFonts w:asciiTheme="minorHAnsi" w:hAnsiTheme="minorHAnsi" w:cs="Arial"/>
          <w:color w:val="352D27"/>
        </w:rPr>
      </w:pPr>
    </w:p>
    <w:p w14:paraId="792120A6" w14:textId="77777777" w:rsidR="008C4026" w:rsidRDefault="008C4026" w:rsidP="008C4026">
      <w:pPr>
        <w:pStyle w:val="outlinelevel2"/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  <w:r>
        <w:rPr>
          <w:rStyle w:val="outlineheading2"/>
          <w:rFonts w:asciiTheme="minorHAnsi" w:hAnsiTheme="minorHAnsi" w:cs="Arial"/>
          <w:color w:val="352D27"/>
        </w:rPr>
        <w:t>In those cases in which a party asserts a claim, counterclaim or defense where t</w:t>
      </w:r>
      <w:r w:rsidRPr="008C4026">
        <w:rPr>
          <w:rFonts w:asciiTheme="minorHAnsi" w:hAnsiTheme="minorHAnsi" w:cs="Arial"/>
          <w:color w:val="352D27"/>
        </w:rPr>
        <w:t xml:space="preserve">here was </w:t>
      </w:r>
      <w:r w:rsidR="001939E7">
        <w:rPr>
          <w:rFonts w:asciiTheme="minorHAnsi" w:hAnsiTheme="minorHAnsi" w:cs="Arial"/>
          <w:color w:val="352D27"/>
        </w:rPr>
        <w:t>“</w:t>
      </w:r>
      <w:r w:rsidRPr="008C4026">
        <w:rPr>
          <w:rFonts w:asciiTheme="minorHAnsi" w:hAnsiTheme="minorHAnsi" w:cs="Arial"/>
          <w:color w:val="352D27"/>
        </w:rPr>
        <w:t>no objectively reasonable basis</w:t>
      </w:r>
      <w:r w:rsidR="001939E7">
        <w:rPr>
          <w:rFonts w:asciiTheme="minorHAnsi" w:hAnsiTheme="minorHAnsi" w:cs="Arial"/>
          <w:color w:val="352D27"/>
        </w:rPr>
        <w:t>”</w:t>
      </w:r>
      <w:r>
        <w:rPr>
          <w:rFonts w:asciiTheme="minorHAnsi" w:hAnsiTheme="minorHAnsi" w:cs="Arial"/>
          <w:color w:val="352D27"/>
        </w:rPr>
        <w:t xml:space="preserve">, judges </w:t>
      </w:r>
      <w:r w:rsidR="001939E7">
        <w:rPr>
          <w:rFonts w:asciiTheme="minorHAnsi" w:hAnsiTheme="minorHAnsi" w:cs="Arial"/>
          <w:color w:val="352D27"/>
        </w:rPr>
        <w:t xml:space="preserve">already </w:t>
      </w:r>
      <w:r>
        <w:rPr>
          <w:rFonts w:asciiTheme="minorHAnsi" w:hAnsiTheme="minorHAnsi" w:cs="Arial"/>
          <w:color w:val="352D27"/>
        </w:rPr>
        <w:t xml:space="preserve">have a right to sanction </w:t>
      </w:r>
      <w:r w:rsidR="004A34DF">
        <w:rPr>
          <w:rFonts w:asciiTheme="minorHAnsi" w:hAnsiTheme="minorHAnsi" w:cs="Arial"/>
          <w:color w:val="352D27"/>
        </w:rPr>
        <w:t>a</w:t>
      </w:r>
      <w:r>
        <w:rPr>
          <w:rFonts w:asciiTheme="minorHAnsi" w:hAnsiTheme="minorHAnsi" w:cs="Arial"/>
          <w:color w:val="352D27"/>
        </w:rPr>
        <w:t xml:space="preserve"> party </w:t>
      </w:r>
      <w:r w:rsidR="004A34DF">
        <w:rPr>
          <w:rFonts w:asciiTheme="minorHAnsi" w:hAnsiTheme="minorHAnsi" w:cs="Arial"/>
          <w:color w:val="352D27"/>
        </w:rPr>
        <w:t xml:space="preserve">for </w:t>
      </w:r>
      <w:r>
        <w:rPr>
          <w:rFonts w:asciiTheme="minorHAnsi" w:hAnsiTheme="minorHAnsi" w:cs="Arial"/>
          <w:color w:val="352D27"/>
        </w:rPr>
        <w:t>doing so.  See, ORS 20.105.</w:t>
      </w:r>
    </w:p>
    <w:p w14:paraId="06EE8947" w14:textId="77777777" w:rsidR="008C4026" w:rsidRDefault="008C4026" w:rsidP="008C4026">
      <w:pPr>
        <w:pStyle w:val="outlinelevel2"/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</w:p>
    <w:p w14:paraId="08151DC5" w14:textId="77777777" w:rsidR="001939E7" w:rsidRDefault="00726432" w:rsidP="008C4026">
      <w:pPr>
        <w:pStyle w:val="outlinelevel2"/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  <w:r>
        <w:rPr>
          <w:rFonts w:asciiTheme="minorHAnsi" w:hAnsiTheme="minorHAnsi" w:cs="Arial"/>
          <w:color w:val="352D27"/>
        </w:rPr>
        <w:lastRenderedPageBreak/>
        <w:t>My opposition to HB 4085 is that it gives no latitude to the court</w:t>
      </w:r>
      <w:r w:rsidR="004A34DF">
        <w:rPr>
          <w:rFonts w:asciiTheme="minorHAnsi" w:hAnsiTheme="minorHAnsi" w:cs="Arial"/>
          <w:color w:val="352D27"/>
        </w:rPr>
        <w:t>s</w:t>
      </w:r>
      <w:r>
        <w:rPr>
          <w:rFonts w:asciiTheme="minorHAnsi" w:hAnsiTheme="minorHAnsi" w:cs="Arial"/>
          <w:color w:val="352D27"/>
        </w:rPr>
        <w:t xml:space="preserve"> on an issue, i.e. attorney </w:t>
      </w:r>
      <w:r w:rsidR="001939E7">
        <w:rPr>
          <w:rFonts w:asciiTheme="minorHAnsi" w:hAnsiTheme="minorHAnsi" w:cs="Arial"/>
          <w:color w:val="352D27"/>
        </w:rPr>
        <w:t>fees</w:t>
      </w:r>
      <w:r w:rsidR="00FF43BF">
        <w:rPr>
          <w:rFonts w:asciiTheme="minorHAnsi" w:hAnsiTheme="minorHAnsi" w:cs="Arial"/>
          <w:color w:val="352D27"/>
        </w:rPr>
        <w:t>,</w:t>
      </w:r>
      <w:r w:rsidR="001939E7">
        <w:rPr>
          <w:rFonts w:asciiTheme="minorHAnsi" w:hAnsiTheme="minorHAnsi" w:cs="Arial"/>
          <w:color w:val="352D27"/>
        </w:rPr>
        <w:t xml:space="preserve"> that</w:t>
      </w:r>
      <w:r>
        <w:rPr>
          <w:rFonts w:asciiTheme="minorHAnsi" w:hAnsiTheme="minorHAnsi" w:cs="Arial"/>
          <w:color w:val="352D27"/>
        </w:rPr>
        <w:t xml:space="preserve"> ha</w:t>
      </w:r>
      <w:r w:rsidR="001939E7">
        <w:rPr>
          <w:rFonts w:asciiTheme="minorHAnsi" w:hAnsiTheme="minorHAnsi" w:cs="Arial"/>
          <w:color w:val="352D27"/>
        </w:rPr>
        <w:t>s</w:t>
      </w:r>
      <w:r>
        <w:rPr>
          <w:rFonts w:asciiTheme="minorHAnsi" w:hAnsiTheme="minorHAnsi" w:cs="Arial"/>
          <w:color w:val="352D27"/>
        </w:rPr>
        <w:t xml:space="preserve"> historically </w:t>
      </w:r>
      <w:r w:rsidR="001939E7" w:rsidRPr="00FF43BF">
        <w:rPr>
          <w:rFonts w:asciiTheme="minorHAnsi" w:hAnsiTheme="minorHAnsi" w:cs="Arial"/>
          <w:i/>
          <w:color w:val="352D27"/>
          <w:u w:val="single"/>
        </w:rPr>
        <w:t>always</w:t>
      </w:r>
      <w:r w:rsidR="001939E7">
        <w:rPr>
          <w:rFonts w:asciiTheme="minorHAnsi" w:hAnsiTheme="minorHAnsi" w:cs="Arial"/>
          <w:color w:val="352D27"/>
        </w:rPr>
        <w:t xml:space="preserve"> </w:t>
      </w:r>
      <w:r>
        <w:rPr>
          <w:rFonts w:asciiTheme="minorHAnsi" w:hAnsiTheme="minorHAnsi" w:cs="Arial"/>
          <w:color w:val="352D27"/>
        </w:rPr>
        <w:t xml:space="preserve">been in the court’s discretion. </w:t>
      </w:r>
      <w:r w:rsidR="001939E7">
        <w:rPr>
          <w:rFonts w:asciiTheme="minorHAnsi" w:hAnsiTheme="minorHAnsi" w:cs="Arial"/>
          <w:color w:val="352D27"/>
        </w:rPr>
        <w:t xml:space="preserve">It must be remembered that the judge is the one person who has viewed the </w:t>
      </w:r>
      <w:r w:rsidR="00FF43BF">
        <w:rPr>
          <w:rFonts w:asciiTheme="minorHAnsi" w:hAnsiTheme="minorHAnsi" w:cs="Arial"/>
          <w:color w:val="352D27"/>
        </w:rPr>
        <w:t xml:space="preserve">entire </w:t>
      </w:r>
      <w:r w:rsidR="001939E7">
        <w:rPr>
          <w:rFonts w:asciiTheme="minorHAnsi" w:hAnsiTheme="minorHAnsi" w:cs="Arial"/>
          <w:color w:val="352D27"/>
        </w:rPr>
        <w:t xml:space="preserve">proceeding as a lawyer, and can evaluate the </w:t>
      </w:r>
      <w:r w:rsidR="001939E7" w:rsidRPr="00FF43BF">
        <w:rPr>
          <w:rFonts w:asciiTheme="minorHAnsi" w:hAnsiTheme="minorHAnsi" w:cs="Arial"/>
          <w:i/>
          <w:color w:val="352D27"/>
        </w:rPr>
        <w:t>bona fides</w:t>
      </w:r>
      <w:r w:rsidR="001939E7">
        <w:rPr>
          <w:rFonts w:asciiTheme="minorHAnsi" w:hAnsiTheme="minorHAnsi" w:cs="Arial"/>
          <w:color w:val="352D27"/>
        </w:rPr>
        <w:t xml:space="preserve"> of the parties</w:t>
      </w:r>
      <w:r w:rsidR="00FF43BF">
        <w:rPr>
          <w:rFonts w:asciiTheme="minorHAnsi" w:hAnsiTheme="minorHAnsi" w:cs="Arial"/>
          <w:color w:val="352D27"/>
        </w:rPr>
        <w:t xml:space="preserve"> and their attorneys</w:t>
      </w:r>
      <w:r w:rsidR="001939E7">
        <w:rPr>
          <w:rFonts w:asciiTheme="minorHAnsi" w:hAnsiTheme="minorHAnsi" w:cs="Arial"/>
          <w:color w:val="352D27"/>
        </w:rPr>
        <w:t>.</w:t>
      </w:r>
      <w:r w:rsidR="00FF43BF">
        <w:rPr>
          <w:rFonts w:asciiTheme="minorHAnsi" w:hAnsiTheme="minorHAnsi" w:cs="Arial"/>
          <w:color w:val="352D27"/>
        </w:rPr>
        <w:t xml:space="preserve"> This perspective is often reflected in the decision to award – or not to award – attorney fees.</w:t>
      </w:r>
    </w:p>
    <w:p w14:paraId="2D23D227" w14:textId="77777777" w:rsidR="001939E7" w:rsidRDefault="001939E7" w:rsidP="008C4026">
      <w:pPr>
        <w:pStyle w:val="outlinelevel2"/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</w:p>
    <w:p w14:paraId="5241F5DD" w14:textId="77777777" w:rsidR="00726432" w:rsidRDefault="00726432" w:rsidP="008C4026">
      <w:pPr>
        <w:pStyle w:val="outlinelevel2"/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  <w:r>
        <w:rPr>
          <w:rFonts w:asciiTheme="minorHAnsi" w:hAnsiTheme="minorHAnsi" w:cs="Arial"/>
          <w:color w:val="352D27"/>
        </w:rPr>
        <w:t xml:space="preserve">Judges are normally reluctant to </w:t>
      </w:r>
      <w:r w:rsidRPr="001939E7">
        <w:rPr>
          <w:rFonts w:asciiTheme="minorHAnsi" w:hAnsiTheme="minorHAnsi" w:cs="Arial"/>
          <w:i/>
          <w:color w:val="352D27"/>
          <w:u w:val="single"/>
        </w:rPr>
        <w:t>ever</w:t>
      </w:r>
      <w:r>
        <w:rPr>
          <w:rFonts w:asciiTheme="minorHAnsi" w:hAnsiTheme="minorHAnsi" w:cs="Arial"/>
          <w:color w:val="352D27"/>
        </w:rPr>
        <w:t xml:space="preserve"> say a claim or defense had no objectively reasonable basis</w:t>
      </w:r>
      <w:r w:rsidR="00FF43BF">
        <w:rPr>
          <w:rFonts w:asciiTheme="minorHAnsi" w:hAnsiTheme="minorHAnsi" w:cs="Arial"/>
          <w:color w:val="352D27"/>
        </w:rPr>
        <w:t>.</w:t>
      </w:r>
      <w:r w:rsidR="001939E7">
        <w:rPr>
          <w:rFonts w:asciiTheme="minorHAnsi" w:hAnsiTheme="minorHAnsi" w:cs="Arial"/>
          <w:color w:val="352D27"/>
        </w:rPr>
        <w:t xml:space="preserve"> The practical effect </w:t>
      </w:r>
      <w:r w:rsidR="00FF43BF">
        <w:rPr>
          <w:rFonts w:asciiTheme="minorHAnsi" w:hAnsiTheme="minorHAnsi" w:cs="Arial"/>
          <w:color w:val="352D27"/>
        </w:rPr>
        <w:t xml:space="preserve">of HB 4085 </w:t>
      </w:r>
      <w:r w:rsidR="001939E7">
        <w:rPr>
          <w:rFonts w:asciiTheme="minorHAnsi" w:hAnsiTheme="minorHAnsi" w:cs="Arial"/>
          <w:color w:val="352D27"/>
        </w:rPr>
        <w:t xml:space="preserve">is that there would little disincentive for tenant attorneys to turn down even the most tenuous of </w:t>
      </w:r>
      <w:r w:rsidR="004A34DF">
        <w:rPr>
          <w:rFonts w:asciiTheme="minorHAnsi" w:hAnsiTheme="minorHAnsi" w:cs="Arial"/>
          <w:color w:val="352D27"/>
        </w:rPr>
        <w:t xml:space="preserve">tenant </w:t>
      </w:r>
      <w:r w:rsidR="001939E7">
        <w:rPr>
          <w:rFonts w:asciiTheme="minorHAnsi" w:hAnsiTheme="minorHAnsi" w:cs="Arial"/>
          <w:color w:val="352D27"/>
        </w:rPr>
        <w:t>claims</w:t>
      </w:r>
      <w:r w:rsidR="004A34DF">
        <w:rPr>
          <w:rFonts w:asciiTheme="minorHAnsi" w:hAnsiTheme="minorHAnsi" w:cs="Arial"/>
          <w:color w:val="352D27"/>
        </w:rPr>
        <w:t xml:space="preserve"> or reject even the most absurd of defen</w:t>
      </w:r>
      <w:r w:rsidR="00144E2F">
        <w:rPr>
          <w:rFonts w:asciiTheme="minorHAnsi" w:hAnsiTheme="minorHAnsi" w:cs="Arial"/>
          <w:color w:val="352D27"/>
        </w:rPr>
        <w:t>s</w:t>
      </w:r>
      <w:r w:rsidR="004A34DF">
        <w:rPr>
          <w:rFonts w:asciiTheme="minorHAnsi" w:hAnsiTheme="minorHAnsi" w:cs="Arial"/>
          <w:color w:val="352D27"/>
        </w:rPr>
        <w:t>es</w:t>
      </w:r>
      <w:r w:rsidR="001939E7">
        <w:rPr>
          <w:rFonts w:asciiTheme="minorHAnsi" w:hAnsiTheme="minorHAnsi" w:cs="Arial"/>
          <w:color w:val="352D27"/>
        </w:rPr>
        <w:t xml:space="preserve">; in other words, </w:t>
      </w:r>
      <w:r w:rsidR="004A34DF">
        <w:rPr>
          <w:rFonts w:asciiTheme="minorHAnsi" w:hAnsiTheme="minorHAnsi" w:cs="Arial"/>
          <w:color w:val="352D27"/>
        </w:rPr>
        <w:t>th</w:t>
      </w:r>
      <w:r w:rsidR="00144E2F">
        <w:rPr>
          <w:rFonts w:asciiTheme="minorHAnsi" w:hAnsiTheme="minorHAnsi" w:cs="Arial"/>
          <w:color w:val="352D27"/>
        </w:rPr>
        <w:t xml:space="preserve">is House </w:t>
      </w:r>
      <w:r w:rsidR="004A34DF">
        <w:rPr>
          <w:rFonts w:asciiTheme="minorHAnsi" w:hAnsiTheme="minorHAnsi" w:cs="Arial"/>
          <w:color w:val="352D27"/>
        </w:rPr>
        <w:t xml:space="preserve">Bill </w:t>
      </w:r>
      <w:r w:rsidR="001939E7">
        <w:rPr>
          <w:rFonts w:asciiTheme="minorHAnsi" w:hAnsiTheme="minorHAnsi" w:cs="Arial"/>
          <w:color w:val="352D27"/>
        </w:rPr>
        <w:t>would have the effect of opening the door to further litigation</w:t>
      </w:r>
      <w:r w:rsidR="004A34DF">
        <w:rPr>
          <w:rFonts w:asciiTheme="minorHAnsi" w:hAnsiTheme="minorHAnsi" w:cs="Arial"/>
          <w:color w:val="352D27"/>
        </w:rPr>
        <w:t xml:space="preserve"> - </w:t>
      </w:r>
      <w:r w:rsidR="001939E7">
        <w:rPr>
          <w:rFonts w:asciiTheme="minorHAnsi" w:hAnsiTheme="minorHAnsi" w:cs="Arial"/>
          <w:color w:val="352D27"/>
        </w:rPr>
        <w:t xml:space="preserve">rather than </w:t>
      </w:r>
      <w:r w:rsidR="00144E2F">
        <w:rPr>
          <w:rFonts w:asciiTheme="minorHAnsi" w:hAnsiTheme="minorHAnsi" w:cs="Arial"/>
          <w:color w:val="352D27"/>
        </w:rPr>
        <w:t xml:space="preserve">having </w:t>
      </w:r>
      <w:r w:rsidR="001939E7">
        <w:rPr>
          <w:rFonts w:asciiTheme="minorHAnsi" w:hAnsiTheme="minorHAnsi" w:cs="Arial"/>
          <w:color w:val="352D27"/>
        </w:rPr>
        <w:t>a prophylactic effect</w:t>
      </w:r>
      <w:r w:rsidR="004A34DF">
        <w:rPr>
          <w:rFonts w:asciiTheme="minorHAnsi" w:hAnsiTheme="minorHAnsi" w:cs="Arial"/>
          <w:color w:val="352D27"/>
        </w:rPr>
        <w:t xml:space="preserve"> on litigation</w:t>
      </w:r>
      <w:r w:rsidR="001939E7">
        <w:rPr>
          <w:rFonts w:asciiTheme="minorHAnsi" w:hAnsiTheme="minorHAnsi" w:cs="Arial"/>
          <w:color w:val="352D27"/>
        </w:rPr>
        <w:t xml:space="preserve">, </w:t>
      </w:r>
      <w:r w:rsidR="00D45B7B">
        <w:rPr>
          <w:rFonts w:asciiTheme="minorHAnsi" w:hAnsiTheme="minorHAnsi" w:cs="Arial"/>
          <w:color w:val="352D27"/>
        </w:rPr>
        <w:t xml:space="preserve">which is what the </w:t>
      </w:r>
      <w:r w:rsidR="001939E7">
        <w:rPr>
          <w:rFonts w:asciiTheme="minorHAnsi" w:hAnsiTheme="minorHAnsi" w:cs="Arial"/>
          <w:color w:val="352D27"/>
        </w:rPr>
        <w:t xml:space="preserve">current text of ORS 90.255 now </w:t>
      </w:r>
      <w:r w:rsidR="00D45B7B">
        <w:rPr>
          <w:rFonts w:asciiTheme="minorHAnsi" w:hAnsiTheme="minorHAnsi" w:cs="Arial"/>
          <w:color w:val="352D27"/>
        </w:rPr>
        <w:t>provides</w:t>
      </w:r>
      <w:r w:rsidR="001939E7">
        <w:rPr>
          <w:rFonts w:asciiTheme="minorHAnsi" w:hAnsiTheme="minorHAnsi" w:cs="Arial"/>
          <w:color w:val="352D27"/>
        </w:rPr>
        <w:t>.</w:t>
      </w:r>
      <w:r>
        <w:rPr>
          <w:rFonts w:asciiTheme="minorHAnsi" w:hAnsiTheme="minorHAnsi" w:cs="Arial"/>
          <w:color w:val="352D27"/>
        </w:rPr>
        <w:t xml:space="preserve"> </w:t>
      </w:r>
    </w:p>
    <w:p w14:paraId="4781F501" w14:textId="77777777" w:rsidR="001939E7" w:rsidRDefault="001939E7" w:rsidP="008C4026">
      <w:pPr>
        <w:pStyle w:val="outlinelevel2"/>
        <w:spacing w:before="0" w:beforeAutospacing="0" w:after="0" w:afterAutospacing="0"/>
        <w:jc w:val="both"/>
        <w:rPr>
          <w:rFonts w:asciiTheme="minorHAnsi" w:hAnsiTheme="minorHAnsi" w:cs="Arial"/>
          <w:color w:val="352D27"/>
        </w:rPr>
      </w:pPr>
    </w:p>
    <w:p w14:paraId="5FA0F968" w14:textId="77777777" w:rsidR="008C4026" w:rsidRPr="008C4026" w:rsidRDefault="001939E7" w:rsidP="008C4026">
      <w:pPr>
        <w:pStyle w:val="outlinelevel2"/>
        <w:spacing w:before="0" w:beforeAutospacing="0" w:after="0" w:afterAutospacing="0"/>
        <w:jc w:val="both"/>
        <w:rPr>
          <w:rStyle w:val="outlineheading2"/>
          <w:rFonts w:asciiTheme="minorHAnsi" w:hAnsiTheme="minorHAnsi" w:cs="Arial"/>
          <w:color w:val="352D27"/>
        </w:rPr>
      </w:pPr>
      <w:r>
        <w:rPr>
          <w:rFonts w:asciiTheme="minorHAnsi" w:hAnsiTheme="minorHAnsi" w:cs="Arial"/>
          <w:color w:val="352D27"/>
        </w:rPr>
        <w:t>The decision to award</w:t>
      </w:r>
      <w:r w:rsidR="00D45B7B">
        <w:rPr>
          <w:rFonts w:asciiTheme="minorHAnsi" w:hAnsiTheme="minorHAnsi" w:cs="Arial"/>
          <w:color w:val="352D27"/>
        </w:rPr>
        <w:t>,</w:t>
      </w:r>
      <w:r>
        <w:rPr>
          <w:rFonts w:asciiTheme="minorHAnsi" w:hAnsiTheme="minorHAnsi" w:cs="Arial"/>
          <w:color w:val="352D27"/>
        </w:rPr>
        <w:t xml:space="preserve"> or not </w:t>
      </w:r>
      <w:r w:rsidR="00D45B7B">
        <w:rPr>
          <w:rFonts w:asciiTheme="minorHAnsi" w:hAnsiTheme="minorHAnsi" w:cs="Arial"/>
          <w:color w:val="352D27"/>
        </w:rPr>
        <w:t xml:space="preserve">to </w:t>
      </w:r>
      <w:r>
        <w:rPr>
          <w:rFonts w:asciiTheme="minorHAnsi" w:hAnsiTheme="minorHAnsi" w:cs="Arial"/>
          <w:color w:val="352D27"/>
        </w:rPr>
        <w:t>award</w:t>
      </w:r>
      <w:r w:rsidR="00D45B7B">
        <w:rPr>
          <w:rFonts w:asciiTheme="minorHAnsi" w:hAnsiTheme="minorHAnsi" w:cs="Arial"/>
          <w:color w:val="352D27"/>
        </w:rPr>
        <w:t>,</w:t>
      </w:r>
      <w:r>
        <w:rPr>
          <w:rFonts w:asciiTheme="minorHAnsi" w:hAnsiTheme="minorHAnsi" w:cs="Arial"/>
          <w:color w:val="352D27"/>
        </w:rPr>
        <w:t xml:space="preserve"> </w:t>
      </w:r>
      <w:r w:rsidR="00D45B7B">
        <w:rPr>
          <w:rFonts w:asciiTheme="minorHAnsi" w:hAnsiTheme="minorHAnsi" w:cs="Arial"/>
          <w:color w:val="352D27"/>
        </w:rPr>
        <w:t xml:space="preserve">attorney </w:t>
      </w:r>
      <w:r>
        <w:rPr>
          <w:rFonts w:asciiTheme="minorHAnsi" w:hAnsiTheme="minorHAnsi" w:cs="Arial"/>
          <w:color w:val="352D27"/>
        </w:rPr>
        <w:t xml:space="preserve">fees has, in my opinion, been the “great equalizer” </w:t>
      </w:r>
      <w:r w:rsidR="00D45B7B">
        <w:rPr>
          <w:rFonts w:asciiTheme="minorHAnsi" w:hAnsiTheme="minorHAnsi" w:cs="Arial"/>
          <w:color w:val="352D27"/>
        </w:rPr>
        <w:t>i</w:t>
      </w:r>
      <w:r>
        <w:rPr>
          <w:rFonts w:asciiTheme="minorHAnsi" w:hAnsiTheme="minorHAnsi" w:cs="Arial"/>
          <w:color w:val="352D27"/>
        </w:rPr>
        <w:t xml:space="preserve">n tactical decisions by counsel for landlords </w:t>
      </w:r>
      <w:r w:rsidRPr="00726432">
        <w:rPr>
          <w:rFonts w:asciiTheme="minorHAnsi" w:hAnsiTheme="minorHAnsi" w:cs="Arial"/>
          <w:i/>
          <w:color w:val="352D27"/>
          <w:u w:val="single"/>
        </w:rPr>
        <w:t>and</w:t>
      </w:r>
      <w:r>
        <w:rPr>
          <w:rFonts w:asciiTheme="minorHAnsi" w:hAnsiTheme="minorHAnsi" w:cs="Arial"/>
          <w:color w:val="352D27"/>
        </w:rPr>
        <w:t xml:space="preserve"> tenants, </w:t>
      </w:r>
      <w:r w:rsidR="00D45B7B">
        <w:rPr>
          <w:rFonts w:asciiTheme="minorHAnsi" w:hAnsiTheme="minorHAnsi" w:cs="Arial"/>
          <w:color w:val="352D27"/>
        </w:rPr>
        <w:t xml:space="preserve">when deciding </w:t>
      </w:r>
      <w:r>
        <w:rPr>
          <w:rFonts w:asciiTheme="minorHAnsi" w:hAnsiTheme="minorHAnsi" w:cs="Arial"/>
          <w:color w:val="352D27"/>
        </w:rPr>
        <w:t>whether a case should be pursued or not.</w:t>
      </w:r>
      <w:r w:rsidR="00D45B7B">
        <w:rPr>
          <w:rFonts w:asciiTheme="minorHAnsi" w:hAnsiTheme="minorHAnsi" w:cs="Arial"/>
          <w:color w:val="352D27"/>
        </w:rPr>
        <w:t xml:space="preserve"> </w:t>
      </w:r>
      <w:r w:rsidR="004A34DF">
        <w:rPr>
          <w:rFonts w:asciiTheme="minorHAnsi" w:hAnsiTheme="minorHAnsi" w:cs="Arial"/>
          <w:color w:val="352D27"/>
        </w:rPr>
        <w:t xml:space="preserve">HB 4085 provides an open invitation to bring tenant claims and defenses under the Landlord-Tenant Act with little or no risk. </w:t>
      </w:r>
      <w:r w:rsidR="00D45B7B">
        <w:rPr>
          <w:rFonts w:asciiTheme="minorHAnsi" w:hAnsiTheme="minorHAnsi" w:cs="Arial"/>
          <w:color w:val="352D27"/>
        </w:rPr>
        <w:t>ORS 90.255</w:t>
      </w:r>
      <w:r w:rsidR="00144E2F">
        <w:rPr>
          <w:rFonts w:asciiTheme="minorHAnsi" w:hAnsiTheme="minorHAnsi" w:cs="Arial"/>
          <w:color w:val="352D27"/>
        </w:rPr>
        <w:t>, as it currently reads,</w:t>
      </w:r>
      <w:r w:rsidR="00D45B7B">
        <w:rPr>
          <w:rFonts w:asciiTheme="minorHAnsi" w:hAnsiTheme="minorHAnsi" w:cs="Arial"/>
          <w:color w:val="352D27"/>
        </w:rPr>
        <w:t xml:space="preserve"> leaves the issue of attorney fees in the hands of th</w:t>
      </w:r>
      <w:r w:rsidR="004A34DF">
        <w:rPr>
          <w:rFonts w:asciiTheme="minorHAnsi" w:hAnsiTheme="minorHAnsi" w:cs="Arial"/>
          <w:color w:val="352D27"/>
        </w:rPr>
        <w:t>ose in the best position to evaluate the parties, their attorneys, and their claims</w:t>
      </w:r>
      <w:r w:rsidR="00D45B7B">
        <w:rPr>
          <w:rFonts w:asciiTheme="minorHAnsi" w:hAnsiTheme="minorHAnsi" w:cs="Arial"/>
          <w:color w:val="352D27"/>
        </w:rPr>
        <w:t>. Changing it to tilt one way or the other is a bad idea.</w:t>
      </w:r>
    </w:p>
    <w:sectPr w:rsidR="008C4026" w:rsidRPr="008C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mic Sans MS Bold">
    <w:panose1 w:val="030F09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F9D"/>
    <w:multiLevelType w:val="hybridMultilevel"/>
    <w:tmpl w:val="B4720B0C"/>
    <w:lvl w:ilvl="0" w:tplc="F44ED75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241C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C55ED"/>
    <w:multiLevelType w:val="hybridMultilevel"/>
    <w:tmpl w:val="3FE83B04"/>
    <w:lvl w:ilvl="0" w:tplc="F44ED758">
      <w:start w:val="2"/>
      <w:numFmt w:val="bullet"/>
      <w:lvlText w:val=""/>
      <w:lvlJc w:val="left"/>
      <w:pPr>
        <w:ind w:left="880" w:hanging="360"/>
      </w:pPr>
      <w:rPr>
        <w:rFonts w:ascii="Symbol" w:eastAsia="Times New Roman" w:hAnsi="Symbol" w:cs="Arial" w:hint="default"/>
        <w:b/>
        <w:color w:val="241C16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AF"/>
    <w:rsid w:val="00144E2F"/>
    <w:rsid w:val="001939E7"/>
    <w:rsid w:val="004A34DF"/>
    <w:rsid w:val="00726432"/>
    <w:rsid w:val="0079110A"/>
    <w:rsid w:val="008C4026"/>
    <w:rsid w:val="00CA1DAF"/>
    <w:rsid w:val="00D3511E"/>
    <w:rsid w:val="00D45B7B"/>
    <w:rsid w:val="00E463FA"/>
    <w:rsid w:val="00E97229"/>
    <w:rsid w:val="00EE30DF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AB7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level1">
    <w:name w:val="outline_level_1"/>
    <w:basedOn w:val="Normal"/>
    <w:rsid w:val="00D3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level2">
    <w:name w:val="outline_level_2"/>
    <w:basedOn w:val="Normal"/>
    <w:rsid w:val="00D3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lineheading2">
    <w:name w:val="outline_heading_2"/>
    <w:basedOn w:val="DefaultParagraphFont"/>
    <w:rsid w:val="00D3511E"/>
  </w:style>
  <w:style w:type="character" w:styleId="Hyperlink">
    <w:name w:val="Hyperlink"/>
    <w:basedOn w:val="DefaultParagraphFont"/>
    <w:uiPriority w:val="99"/>
    <w:semiHidden/>
    <w:unhideWhenUsed/>
    <w:rsid w:val="00D3511E"/>
    <w:rPr>
      <w:color w:val="0000FF"/>
      <w:u w:val="single"/>
    </w:rPr>
  </w:style>
  <w:style w:type="character" w:customStyle="1" w:styleId="annotation">
    <w:name w:val="annotation"/>
    <w:basedOn w:val="DefaultParagraphFont"/>
    <w:rsid w:val="00D3511E"/>
  </w:style>
  <w:style w:type="character" w:customStyle="1" w:styleId="outlineheading1">
    <w:name w:val="outline_heading_1"/>
    <w:basedOn w:val="DefaultParagraphFont"/>
    <w:rsid w:val="00D3511E"/>
  </w:style>
  <w:style w:type="paragraph" w:styleId="BalloonText">
    <w:name w:val="Balloon Text"/>
    <w:basedOn w:val="Normal"/>
    <w:link w:val="BalloonTextChar"/>
    <w:uiPriority w:val="99"/>
    <w:semiHidden/>
    <w:unhideWhenUsed/>
    <w:rsid w:val="007911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1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level1">
    <w:name w:val="outline_level_1"/>
    <w:basedOn w:val="Normal"/>
    <w:rsid w:val="00D3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level2">
    <w:name w:val="outline_level_2"/>
    <w:basedOn w:val="Normal"/>
    <w:rsid w:val="00D3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lineheading2">
    <w:name w:val="outline_heading_2"/>
    <w:basedOn w:val="DefaultParagraphFont"/>
    <w:rsid w:val="00D3511E"/>
  </w:style>
  <w:style w:type="character" w:styleId="Hyperlink">
    <w:name w:val="Hyperlink"/>
    <w:basedOn w:val="DefaultParagraphFont"/>
    <w:uiPriority w:val="99"/>
    <w:semiHidden/>
    <w:unhideWhenUsed/>
    <w:rsid w:val="00D3511E"/>
    <w:rPr>
      <w:color w:val="0000FF"/>
      <w:u w:val="single"/>
    </w:rPr>
  </w:style>
  <w:style w:type="character" w:customStyle="1" w:styleId="annotation">
    <w:name w:val="annotation"/>
    <w:basedOn w:val="DefaultParagraphFont"/>
    <w:rsid w:val="00D3511E"/>
  </w:style>
  <w:style w:type="character" w:customStyle="1" w:styleId="outlineheading1">
    <w:name w:val="outline_heading_1"/>
    <w:basedOn w:val="DefaultParagraphFont"/>
    <w:rsid w:val="00D3511E"/>
  </w:style>
  <w:style w:type="paragraph" w:styleId="BalloonText">
    <w:name w:val="Balloon Text"/>
    <w:basedOn w:val="Normal"/>
    <w:link w:val="BalloonTextChar"/>
    <w:uiPriority w:val="99"/>
    <w:semiHidden/>
    <w:unhideWhenUsed/>
    <w:rsid w:val="007911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1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Querin</dc:creator>
  <cp:keywords/>
  <dc:description/>
  <cp:lastModifiedBy>chuck carpenter</cp:lastModifiedBy>
  <cp:revision>2</cp:revision>
  <cp:lastPrinted>2018-02-14T23:35:00Z</cp:lastPrinted>
  <dcterms:created xsi:type="dcterms:W3CDTF">2018-02-14T23:36:00Z</dcterms:created>
  <dcterms:modified xsi:type="dcterms:W3CDTF">2018-02-14T23:36:00Z</dcterms:modified>
</cp:coreProperties>
</file>