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177BC" w14:textId="582D8E4C" w:rsidR="00DD60B4" w:rsidRDefault="00DD60B4" w:rsidP="00DD60B4">
      <w:pPr>
        <w:jc w:val="center"/>
        <w:rPr>
          <w:rFonts w:eastAsia="Times New Roman"/>
          <w:b/>
          <w:sz w:val="32"/>
          <w:szCs w:val="32"/>
          <w:u w:val="single"/>
        </w:rPr>
      </w:pPr>
      <w:bookmarkStart w:id="0" w:name="_GoBack"/>
      <w:bookmarkEnd w:id="0"/>
      <w:r w:rsidRPr="00DD60B4">
        <w:rPr>
          <w:rFonts w:eastAsia="Times New Roman"/>
          <w:b/>
          <w:sz w:val="32"/>
          <w:szCs w:val="32"/>
          <w:u w:val="single"/>
        </w:rPr>
        <w:t>SB</w:t>
      </w:r>
      <w:r w:rsidR="008D530A">
        <w:rPr>
          <w:rFonts w:eastAsia="Times New Roman"/>
          <w:b/>
          <w:sz w:val="32"/>
          <w:szCs w:val="32"/>
          <w:u w:val="single"/>
        </w:rPr>
        <w:t xml:space="preserve"> </w:t>
      </w:r>
      <w:r w:rsidRPr="00DD60B4">
        <w:rPr>
          <w:rFonts w:eastAsia="Times New Roman"/>
          <w:b/>
          <w:sz w:val="32"/>
          <w:szCs w:val="32"/>
          <w:u w:val="single"/>
        </w:rPr>
        <w:t>608 FAQs</w:t>
      </w:r>
    </w:p>
    <w:p w14:paraId="398DA2F3" w14:textId="5703F393" w:rsidR="00B22AC6" w:rsidRPr="00014433" w:rsidRDefault="00014433" w:rsidP="00DD60B4">
      <w:pPr>
        <w:jc w:val="center"/>
        <w:rPr>
          <w:rFonts w:eastAsia="Times New Roman"/>
          <w:b/>
          <w:sz w:val="24"/>
          <w:szCs w:val="24"/>
        </w:rPr>
      </w:pPr>
      <w:r w:rsidRPr="00014433">
        <w:rPr>
          <w:rFonts w:eastAsia="Times New Roman"/>
          <w:b/>
          <w:sz w:val="24"/>
          <w:szCs w:val="24"/>
        </w:rPr>
        <w:t>By</w:t>
      </w:r>
    </w:p>
    <w:p w14:paraId="4DA443D1" w14:textId="0BE10CE5" w:rsidR="00014433" w:rsidRPr="00014433" w:rsidRDefault="00014433" w:rsidP="00DD60B4">
      <w:pPr>
        <w:jc w:val="center"/>
        <w:rPr>
          <w:rFonts w:eastAsia="Times New Roman"/>
          <w:b/>
          <w:sz w:val="24"/>
          <w:szCs w:val="24"/>
        </w:rPr>
      </w:pPr>
      <w:r w:rsidRPr="00014433">
        <w:rPr>
          <w:rFonts w:eastAsia="Times New Roman"/>
          <w:b/>
          <w:sz w:val="24"/>
          <w:szCs w:val="24"/>
        </w:rPr>
        <w:t>Phillip C. Querin, MHCO Legal Counsel</w:t>
      </w:r>
    </w:p>
    <w:p w14:paraId="24E7162C" w14:textId="77777777" w:rsidR="00014433" w:rsidRDefault="00014433" w:rsidP="00B22AC6">
      <w:pPr>
        <w:tabs>
          <w:tab w:val="left" w:pos="1800"/>
        </w:tabs>
        <w:rPr>
          <w:rFonts w:eastAsia="Times New Roman"/>
          <w:i/>
          <w:sz w:val="24"/>
          <w:szCs w:val="24"/>
        </w:rPr>
      </w:pPr>
    </w:p>
    <w:p w14:paraId="08305C34" w14:textId="77777777" w:rsidR="00EA3182" w:rsidRDefault="00B22AC6" w:rsidP="00B22AC6">
      <w:pPr>
        <w:tabs>
          <w:tab w:val="left" w:pos="1800"/>
        </w:tabs>
        <w:rPr>
          <w:rFonts w:eastAsia="Times New Roman"/>
          <w:i/>
          <w:sz w:val="24"/>
          <w:szCs w:val="24"/>
        </w:rPr>
      </w:pPr>
      <w:r w:rsidRPr="00014433">
        <w:rPr>
          <w:rFonts w:eastAsia="Times New Roman"/>
          <w:i/>
          <w:sz w:val="24"/>
          <w:szCs w:val="24"/>
        </w:rPr>
        <w:t>Caveat: Some of the questions</w:t>
      </w:r>
      <w:r w:rsidR="00EA3182">
        <w:rPr>
          <w:rFonts w:eastAsia="Times New Roman"/>
          <w:i/>
          <w:sz w:val="24"/>
          <w:szCs w:val="24"/>
        </w:rPr>
        <w:t xml:space="preserve"> below raise issues </w:t>
      </w:r>
      <w:r w:rsidRPr="00014433">
        <w:rPr>
          <w:rFonts w:eastAsia="Times New Roman"/>
          <w:i/>
          <w:sz w:val="24"/>
          <w:szCs w:val="24"/>
        </w:rPr>
        <w:t>that are not directly addressed in SB 608</w:t>
      </w:r>
      <w:r w:rsidR="00750FC6">
        <w:rPr>
          <w:rFonts w:eastAsia="Times New Roman"/>
          <w:i/>
          <w:sz w:val="24"/>
          <w:szCs w:val="24"/>
        </w:rPr>
        <w:t xml:space="preserve"> (the Bill”)</w:t>
      </w:r>
      <w:r w:rsidRPr="00014433">
        <w:rPr>
          <w:rFonts w:eastAsia="Times New Roman"/>
          <w:i/>
          <w:sz w:val="24"/>
          <w:szCs w:val="24"/>
        </w:rPr>
        <w:t xml:space="preserve">. </w:t>
      </w:r>
      <w:r w:rsidR="00EA3182">
        <w:rPr>
          <w:rFonts w:eastAsia="Times New Roman"/>
          <w:i/>
          <w:sz w:val="24"/>
          <w:szCs w:val="24"/>
        </w:rPr>
        <w:t>In such instances, I will offer my opinion only. The answers should not be construed as legal advice, as your specific facts and circumstances may differ. In all instances, readers should consult with their own legal counsel.</w:t>
      </w:r>
    </w:p>
    <w:p w14:paraId="34ED7CF9" w14:textId="2318C453" w:rsidR="00B22AC6" w:rsidRPr="00014433" w:rsidRDefault="00B22AC6" w:rsidP="00B22AC6">
      <w:pPr>
        <w:tabs>
          <w:tab w:val="left" w:pos="1800"/>
        </w:tabs>
        <w:rPr>
          <w:rFonts w:eastAsia="Times New Roman"/>
          <w:i/>
          <w:sz w:val="24"/>
          <w:szCs w:val="24"/>
        </w:rPr>
      </w:pPr>
      <w:r w:rsidRPr="00014433">
        <w:rPr>
          <w:rFonts w:eastAsia="Times New Roman"/>
          <w:i/>
          <w:sz w:val="24"/>
          <w:szCs w:val="24"/>
        </w:rPr>
        <w:t xml:space="preserve">  </w:t>
      </w:r>
      <w:r w:rsidRPr="00014433">
        <w:rPr>
          <w:rFonts w:eastAsia="Times New Roman"/>
          <w:i/>
          <w:sz w:val="24"/>
          <w:szCs w:val="24"/>
        </w:rPr>
        <w:tab/>
      </w:r>
    </w:p>
    <w:p w14:paraId="44E815FF" w14:textId="6B467496" w:rsidR="00DD60B4" w:rsidRPr="00047959" w:rsidRDefault="00DD60B4" w:rsidP="0084205D">
      <w:pPr>
        <w:pStyle w:val="ListParagraph"/>
        <w:numPr>
          <w:ilvl w:val="0"/>
          <w:numId w:val="1"/>
        </w:numPr>
        <w:ind w:left="0" w:firstLine="360"/>
        <w:jc w:val="both"/>
        <w:rPr>
          <w:rFonts w:eastAsia="Times New Roman"/>
          <w:b/>
          <w:sz w:val="28"/>
          <w:szCs w:val="28"/>
        </w:rPr>
      </w:pPr>
      <w:r w:rsidRPr="00047959">
        <w:rPr>
          <w:rFonts w:eastAsia="Times New Roman"/>
          <w:b/>
          <w:sz w:val="28"/>
          <w:szCs w:val="28"/>
        </w:rPr>
        <w:t xml:space="preserve">Are long-term leases exempt from rent control under the laws of Oregon?  Does general contract/constitutional law in Oregon exempt a long-term lease from rent control.  The argument would be that a law should not be able to impair a contract.  </w:t>
      </w:r>
      <w:r w:rsidR="00014433" w:rsidRPr="00047959">
        <w:rPr>
          <w:rFonts w:eastAsia="Times New Roman"/>
          <w:b/>
          <w:sz w:val="28"/>
          <w:szCs w:val="28"/>
        </w:rPr>
        <w:t xml:space="preserve"> </w:t>
      </w:r>
    </w:p>
    <w:p w14:paraId="08F392AC" w14:textId="47900FA2" w:rsidR="0084205D" w:rsidRDefault="0084205D" w:rsidP="0084205D">
      <w:pPr>
        <w:jc w:val="both"/>
        <w:rPr>
          <w:rFonts w:eastAsia="Times New Roman"/>
          <w:sz w:val="28"/>
          <w:szCs w:val="28"/>
        </w:rPr>
      </w:pPr>
    </w:p>
    <w:p w14:paraId="613DF7CB" w14:textId="6E7B47ED" w:rsidR="00047959" w:rsidRDefault="0084205D" w:rsidP="0084205D">
      <w:pPr>
        <w:jc w:val="both"/>
        <w:rPr>
          <w:rFonts w:eastAsia="Times New Roman"/>
          <w:i/>
          <w:sz w:val="28"/>
          <w:szCs w:val="28"/>
        </w:rPr>
      </w:pPr>
      <w:r w:rsidRPr="0084205D">
        <w:rPr>
          <w:rFonts w:eastAsia="Times New Roman"/>
          <w:i/>
          <w:sz w:val="28"/>
          <w:szCs w:val="28"/>
        </w:rPr>
        <w:t>Answer:</w:t>
      </w:r>
      <w:r>
        <w:rPr>
          <w:rFonts w:eastAsia="Times New Roman"/>
          <w:i/>
          <w:sz w:val="28"/>
          <w:szCs w:val="28"/>
        </w:rPr>
        <w:t xml:space="preserve"> </w:t>
      </w:r>
      <w:r w:rsidR="00EA3182">
        <w:rPr>
          <w:rFonts w:eastAsia="Times New Roman"/>
          <w:i/>
          <w:sz w:val="28"/>
          <w:szCs w:val="28"/>
        </w:rPr>
        <w:t xml:space="preserve"> It is my opinion that in fixed term leases for manufactured housing communities</w:t>
      </w:r>
      <w:r w:rsidR="00585184">
        <w:rPr>
          <w:rFonts w:eastAsia="Times New Roman"/>
          <w:i/>
          <w:sz w:val="28"/>
          <w:szCs w:val="28"/>
        </w:rPr>
        <w:t xml:space="preserve"> </w:t>
      </w:r>
      <w:r w:rsidR="00624B51">
        <w:rPr>
          <w:rFonts w:eastAsia="Times New Roman"/>
          <w:i/>
          <w:sz w:val="28"/>
          <w:szCs w:val="28"/>
        </w:rPr>
        <w:t>the rent cap formula</w:t>
      </w:r>
      <w:r w:rsidR="00585184">
        <w:rPr>
          <w:rStyle w:val="FootnoteReference"/>
          <w:rFonts w:eastAsia="Times New Roman"/>
          <w:i/>
          <w:sz w:val="28"/>
          <w:szCs w:val="28"/>
        </w:rPr>
        <w:footnoteReference w:id="1"/>
      </w:r>
      <w:r w:rsidR="00624B51">
        <w:rPr>
          <w:rFonts w:eastAsia="Times New Roman"/>
          <w:i/>
          <w:sz w:val="28"/>
          <w:szCs w:val="28"/>
        </w:rPr>
        <w:t xml:space="preserve"> </w:t>
      </w:r>
      <w:r w:rsidR="009C3721">
        <w:rPr>
          <w:rFonts w:eastAsia="Times New Roman"/>
          <w:i/>
          <w:sz w:val="28"/>
          <w:szCs w:val="28"/>
        </w:rPr>
        <w:t>(i.e.)</w:t>
      </w:r>
      <w:r w:rsidR="00F81D3D">
        <w:rPr>
          <w:rFonts w:eastAsia="Times New Roman"/>
          <w:i/>
          <w:sz w:val="28"/>
          <w:szCs w:val="28"/>
        </w:rPr>
        <w:t xml:space="preserve"> </w:t>
      </w:r>
      <w:r w:rsidR="00585184">
        <w:rPr>
          <w:rFonts w:eastAsia="Times New Roman"/>
          <w:i/>
          <w:sz w:val="28"/>
          <w:szCs w:val="28"/>
        </w:rPr>
        <w:t>does not apply</w:t>
      </w:r>
      <w:r w:rsidR="00624B51">
        <w:rPr>
          <w:rFonts w:eastAsia="Times New Roman"/>
          <w:i/>
          <w:sz w:val="28"/>
          <w:szCs w:val="28"/>
        </w:rPr>
        <w:t>.</w:t>
      </w:r>
      <w:r w:rsidR="00A26737">
        <w:rPr>
          <w:rStyle w:val="FootnoteReference"/>
          <w:rFonts w:eastAsia="Times New Roman"/>
          <w:i/>
          <w:sz w:val="28"/>
          <w:szCs w:val="28"/>
        </w:rPr>
        <w:footnoteReference w:id="2"/>
      </w:r>
      <w:r w:rsidR="00624B51">
        <w:rPr>
          <w:rFonts w:eastAsia="Times New Roman"/>
          <w:i/>
          <w:sz w:val="28"/>
          <w:szCs w:val="28"/>
        </w:rPr>
        <w:t xml:space="preserve"> This is because </w:t>
      </w:r>
      <w:r w:rsidR="004E58A8">
        <w:rPr>
          <w:rFonts w:eastAsia="Times New Roman"/>
          <w:i/>
          <w:sz w:val="28"/>
          <w:szCs w:val="28"/>
        </w:rPr>
        <w:t xml:space="preserve">under the Bill, </w:t>
      </w:r>
      <w:r w:rsidR="003F4077">
        <w:rPr>
          <w:rFonts w:eastAsia="Times New Roman"/>
          <w:i/>
          <w:sz w:val="28"/>
          <w:szCs w:val="28"/>
        </w:rPr>
        <w:t>on the manufactured housing side of ORS Chapter 90</w:t>
      </w:r>
      <w:r w:rsidR="00047959">
        <w:rPr>
          <w:rStyle w:val="FootnoteReference"/>
          <w:rFonts w:eastAsia="Times New Roman"/>
          <w:i/>
          <w:sz w:val="28"/>
          <w:szCs w:val="28"/>
        </w:rPr>
        <w:footnoteReference w:id="3"/>
      </w:r>
      <w:r w:rsidR="00624B51">
        <w:rPr>
          <w:rFonts w:eastAsia="Times New Roman"/>
          <w:i/>
          <w:sz w:val="28"/>
          <w:szCs w:val="28"/>
        </w:rPr>
        <w:t xml:space="preserve">only </w:t>
      </w:r>
      <w:hyperlink r:id="rId9" w:history="1">
        <w:r w:rsidR="00624B51" w:rsidRPr="00585184">
          <w:rPr>
            <w:rStyle w:val="Hyperlink"/>
            <w:rFonts w:eastAsia="Times New Roman"/>
            <w:i/>
            <w:sz w:val="28"/>
            <w:szCs w:val="28"/>
          </w:rPr>
          <w:t>ORS 90.600</w:t>
        </w:r>
      </w:hyperlink>
      <w:r w:rsidR="00624B51">
        <w:rPr>
          <w:rFonts w:eastAsia="Times New Roman"/>
          <w:i/>
          <w:sz w:val="28"/>
          <w:szCs w:val="28"/>
        </w:rPr>
        <w:t xml:space="preserve"> was amended by the </w:t>
      </w:r>
      <w:r w:rsidR="00047959">
        <w:rPr>
          <w:rFonts w:eastAsia="Times New Roman"/>
          <w:i/>
          <w:sz w:val="28"/>
          <w:szCs w:val="28"/>
        </w:rPr>
        <w:t xml:space="preserve">rent increase provisions of the </w:t>
      </w:r>
      <w:r w:rsidR="00624B51">
        <w:rPr>
          <w:rFonts w:eastAsia="Times New Roman"/>
          <w:i/>
          <w:sz w:val="28"/>
          <w:szCs w:val="28"/>
        </w:rPr>
        <w:t>Bill</w:t>
      </w:r>
      <w:r w:rsidR="009B4533">
        <w:rPr>
          <w:rFonts w:eastAsia="Times New Roman"/>
          <w:i/>
          <w:sz w:val="28"/>
          <w:szCs w:val="28"/>
        </w:rPr>
        <w:t>;</w:t>
      </w:r>
      <w:r w:rsidR="00624B51">
        <w:rPr>
          <w:rFonts w:eastAsia="Times New Roman"/>
          <w:i/>
          <w:sz w:val="28"/>
          <w:szCs w:val="28"/>
        </w:rPr>
        <w:t xml:space="preserve"> that statute is limited to rent increases for month-to-month tenanci</w:t>
      </w:r>
      <w:r w:rsidR="00585184">
        <w:rPr>
          <w:rFonts w:eastAsia="Times New Roman"/>
          <w:i/>
          <w:sz w:val="28"/>
          <w:szCs w:val="28"/>
        </w:rPr>
        <w:t>es.</w:t>
      </w:r>
      <w:r w:rsidR="006D05E9">
        <w:rPr>
          <w:rFonts w:eastAsia="Times New Roman"/>
          <w:i/>
          <w:sz w:val="28"/>
          <w:szCs w:val="28"/>
        </w:rPr>
        <w:t xml:space="preserve"> Nothing is said </w:t>
      </w:r>
      <w:r w:rsidR="009B4533">
        <w:rPr>
          <w:rFonts w:eastAsia="Times New Roman"/>
          <w:i/>
          <w:sz w:val="28"/>
          <w:szCs w:val="28"/>
        </w:rPr>
        <w:t xml:space="preserve">in ORS 90.600 </w:t>
      </w:r>
      <w:r w:rsidR="006D05E9">
        <w:rPr>
          <w:rFonts w:eastAsia="Times New Roman"/>
          <w:i/>
          <w:sz w:val="28"/>
          <w:szCs w:val="28"/>
        </w:rPr>
        <w:t>about rent increases for fixed term tenancies.</w:t>
      </w:r>
    </w:p>
    <w:p w14:paraId="0A83317B" w14:textId="3BDB3034" w:rsidR="002B3296" w:rsidRDefault="002B3296" w:rsidP="0084205D">
      <w:pPr>
        <w:jc w:val="both"/>
        <w:rPr>
          <w:rFonts w:eastAsia="Times New Roman"/>
          <w:i/>
          <w:sz w:val="28"/>
          <w:szCs w:val="28"/>
        </w:rPr>
      </w:pPr>
    </w:p>
    <w:p w14:paraId="62D51B19" w14:textId="441C1E62" w:rsidR="002B3296" w:rsidRDefault="002B3296" w:rsidP="0084205D">
      <w:pPr>
        <w:jc w:val="both"/>
        <w:rPr>
          <w:rFonts w:eastAsia="Times New Roman"/>
          <w:i/>
          <w:sz w:val="28"/>
          <w:szCs w:val="28"/>
        </w:rPr>
      </w:pPr>
      <w:r>
        <w:rPr>
          <w:rFonts w:eastAsia="Times New Roman"/>
          <w:i/>
          <w:sz w:val="28"/>
          <w:szCs w:val="28"/>
        </w:rPr>
        <w:t xml:space="preserve">Note that under </w:t>
      </w:r>
      <w:hyperlink r:id="rId10" w:history="1">
        <w:r w:rsidRPr="002B3296">
          <w:rPr>
            <w:rStyle w:val="Hyperlink"/>
            <w:rFonts w:eastAsia="Times New Roman"/>
            <w:i/>
            <w:sz w:val="28"/>
            <w:szCs w:val="28"/>
          </w:rPr>
          <w:t>ORS 90.545</w:t>
        </w:r>
      </w:hyperlink>
      <w:r>
        <w:rPr>
          <w:rFonts w:eastAsia="Times New Roman"/>
          <w:i/>
          <w:sz w:val="28"/>
          <w:szCs w:val="28"/>
        </w:rPr>
        <w:t xml:space="preserve">, not less than 60-days prior to the end of the term,  </w:t>
      </w:r>
      <w:r w:rsidR="008D252A">
        <w:rPr>
          <w:rFonts w:eastAsia="Times New Roman"/>
          <w:i/>
          <w:sz w:val="28"/>
          <w:szCs w:val="28"/>
        </w:rPr>
        <w:t xml:space="preserve">a </w:t>
      </w:r>
      <w:r>
        <w:rPr>
          <w:rFonts w:eastAsia="Times New Roman"/>
          <w:i/>
          <w:sz w:val="28"/>
          <w:szCs w:val="28"/>
        </w:rPr>
        <w:t>landlord may send out new park documents (consistent with those being offered to new tenants)</w:t>
      </w:r>
      <w:r w:rsidR="008D252A">
        <w:rPr>
          <w:rFonts w:eastAsia="Times New Roman"/>
          <w:i/>
          <w:sz w:val="28"/>
          <w:szCs w:val="28"/>
        </w:rPr>
        <w:t xml:space="preserve"> and the existing tenant has the right to accept or reject them within 30 days. Questions have arisen whether the Bill applies to this protocol, thus </w:t>
      </w:r>
      <w:r w:rsidR="00AE743D">
        <w:rPr>
          <w:rFonts w:eastAsia="Times New Roman"/>
          <w:i/>
          <w:sz w:val="28"/>
          <w:szCs w:val="28"/>
        </w:rPr>
        <w:t xml:space="preserve">imposing </w:t>
      </w:r>
      <w:r w:rsidR="008D252A">
        <w:rPr>
          <w:rFonts w:eastAsia="Times New Roman"/>
          <w:i/>
          <w:sz w:val="28"/>
          <w:szCs w:val="28"/>
        </w:rPr>
        <w:t xml:space="preserve">the Cap on the amount of rent in the new lease. It is my opinion that since the Bill did not address rent increases in fixed term tenancies (And why would it? Rents in leases are governed by their internal formula, and not </w:t>
      </w:r>
      <w:r w:rsidR="00AE743D">
        <w:rPr>
          <w:rFonts w:eastAsia="Times New Roman"/>
          <w:i/>
          <w:sz w:val="28"/>
          <w:szCs w:val="28"/>
        </w:rPr>
        <w:t xml:space="preserve">90-day notices under </w:t>
      </w:r>
      <w:r w:rsidR="008D252A">
        <w:rPr>
          <w:rFonts w:eastAsia="Times New Roman"/>
          <w:i/>
          <w:sz w:val="28"/>
          <w:szCs w:val="28"/>
        </w:rPr>
        <w:t>ORS 90.600 which, by its terms, is expressly limited to periodic tenancies, such as month-to-month.)</w:t>
      </w:r>
    </w:p>
    <w:p w14:paraId="49B9870A" w14:textId="77777777" w:rsidR="008D252A" w:rsidRDefault="008D252A" w:rsidP="0084205D">
      <w:pPr>
        <w:jc w:val="both"/>
        <w:rPr>
          <w:rFonts w:eastAsia="Times New Roman"/>
          <w:i/>
          <w:sz w:val="28"/>
          <w:szCs w:val="28"/>
        </w:rPr>
      </w:pPr>
    </w:p>
    <w:p w14:paraId="0ED7D544" w14:textId="01E142F6" w:rsidR="008D252A" w:rsidRDefault="00FA7F49" w:rsidP="0084205D">
      <w:pPr>
        <w:jc w:val="both"/>
        <w:rPr>
          <w:rFonts w:eastAsia="Times New Roman"/>
          <w:i/>
          <w:sz w:val="28"/>
          <w:szCs w:val="28"/>
        </w:rPr>
      </w:pPr>
      <w:r>
        <w:rPr>
          <w:rFonts w:eastAsia="Times New Roman"/>
          <w:i/>
          <w:sz w:val="28"/>
          <w:szCs w:val="28"/>
        </w:rPr>
        <w:t>However, t</w:t>
      </w:r>
      <w:r w:rsidR="008D252A">
        <w:rPr>
          <w:rFonts w:eastAsia="Times New Roman"/>
          <w:i/>
          <w:sz w:val="28"/>
          <w:szCs w:val="28"/>
        </w:rPr>
        <w:t xml:space="preserve">here appears to be a division of opinion on this issue. In checking with Bill Miner and Mark Busch, both excellent park landlord attorneys, they agree with my analysis. But there is some </w:t>
      </w:r>
      <w:r>
        <w:rPr>
          <w:rFonts w:eastAsia="Times New Roman"/>
          <w:i/>
          <w:sz w:val="28"/>
          <w:szCs w:val="28"/>
        </w:rPr>
        <w:t xml:space="preserve">respectable </w:t>
      </w:r>
      <w:r w:rsidR="008D252A">
        <w:rPr>
          <w:rFonts w:eastAsia="Times New Roman"/>
          <w:i/>
          <w:sz w:val="28"/>
          <w:szCs w:val="28"/>
        </w:rPr>
        <w:t>opinion</w:t>
      </w:r>
      <w:r w:rsidR="00AE743D">
        <w:rPr>
          <w:rFonts w:eastAsia="Times New Roman"/>
          <w:i/>
          <w:sz w:val="28"/>
          <w:szCs w:val="28"/>
        </w:rPr>
        <w:t xml:space="preserve"> to the contrary. Accordingly, before proceeding, please check with your own attorney.</w:t>
      </w:r>
    </w:p>
    <w:p w14:paraId="3B759B2D" w14:textId="51D553FD" w:rsidR="00AE743D" w:rsidRDefault="00AE743D" w:rsidP="0084205D">
      <w:pPr>
        <w:jc w:val="both"/>
        <w:rPr>
          <w:rFonts w:eastAsia="Times New Roman"/>
          <w:i/>
          <w:sz w:val="28"/>
          <w:szCs w:val="28"/>
        </w:rPr>
      </w:pPr>
      <w:r>
        <w:rPr>
          <w:rFonts w:eastAsia="Times New Roman"/>
          <w:i/>
          <w:sz w:val="28"/>
          <w:szCs w:val="28"/>
        </w:rPr>
        <w:lastRenderedPageBreak/>
        <w:t xml:space="preserve">Remember, this issue really only arises where the rent in the second or subsequent new lease is </w:t>
      </w:r>
      <w:r w:rsidRPr="00FA7F49">
        <w:rPr>
          <w:rFonts w:eastAsia="Times New Roman"/>
          <w:i/>
          <w:sz w:val="28"/>
          <w:szCs w:val="28"/>
          <w:u w:val="single"/>
        </w:rPr>
        <w:t>higher</w:t>
      </w:r>
      <w:r>
        <w:rPr>
          <w:rFonts w:eastAsia="Times New Roman"/>
          <w:i/>
          <w:sz w:val="28"/>
          <w:szCs w:val="28"/>
        </w:rPr>
        <w:t xml:space="preserve"> than the applicable rent cap.</w:t>
      </w:r>
    </w:p>
    <w:p w14:paraId="0003FB16" w14:textId="33C43D3B" w:rsidR="00AE743D" w:rsidRDefault="00AE743D" w:rsidP="0084205D">
      <w:pPr>
        <w:jc w:val="both"/>
        <w:rPr>
          <w:rFonts w:eastAsia="Times New Roman"/>
          <w:i/>
          <w:sz w:val="28"/>
          <w:szCs w:val="28"/>
        </w:rPr>
      </w:pPr>
    </w:p>
    <w:p w14:paraId="0A6DC9CB" w14:textId="158C333F" w:rsidR="00AE743D" w:rsidRDefault="00AE743D" w:rsidP="0084205D">
      <w:pPr>
        <w:jc w:val="both"/>
        <w:rPr>
          <w:rFonts w:eastAsia="Times New Roman"/>
          <w:i/>
          <w:sz w:val="28"/>
          <w:szCs w:val="28"/>
        </w:rPr>
      </w:pPr>
      <w:r w:rsidRPr="00FA7F49">
        <w:rPr>
          <w:rFonts w:eastAsia="Times New Roman"/>
          <w:b/>
          <w:i/>
          <w:sz w:val="28"/>
          <w:szCs w:val="28"/>
          <w:u w:val="single"/>
        </w:rPr>
        <w:t>Caveat</w:t>
      </w:r>
      <w:r>
        <w:rPr>
          <w:rFonts w:eastAsia="Times New Roman"/>
          <w:i/>
          <w:sz w:val="28"/>
          <w:szCs w:val="28"/>
        </w:rPr>
        <w:t>: The above discussion ignores the City of Portland. Parks in the city should strive to keep their rent increase below 10% or risk paying a relocation fees. See discussion below.</w:t>
      </w:r>
    </w:p>
    <w:p w14:paraId="4D42B0CE" w14:textId="77777777" w:rsidR="00047959" w:rsidRDefault="00047959" w:rsidP="0084205D">
      <w:pPr>
        <w:jc w:val="both"/>
        <w:rPr>
          <w:rFonts w:eastAsia="Times New Roman"/>
          <w:i/>
          <w:sz w:val="28"/>
          <w:szCs w:val="28"/>
        </w:rPr>
      </w:pPr>
    </w:p>
    <w:p w14:paraId="31614EC5" w14:textId="6EBCE472" w:rsidR="00047959" w:rsidRDefault="00047959" w:rsidP="0084205D">
      <w:pPr>
        <w:jc w:val="both"/>
        <w:rPr>
          <w:rFonts w:eastAsia="Times New Roman"/>
          <w:i/>
          <w:sz w:val="28"/>
          <w:szCs w:val="28"/>
        </w:rPr>
      </w:pPr>
      <w:r>
        <w:rPr>
          <w:rFonts w:eastAsia="Times New Roman"/>
          <w:i/>
          <w:sz w:val="28"/>
          <w:szCs w:val="28"/>
        </w:rPr>
        <w:t xml:space="preserve">As for the constitutional questions, I can only say that rent control is primarily a state issue, not federal.  In the </w:t>
      </w:r>
      <w:r w:rsidR="006D05E9">
        <w:rPr>
          <w:rFonts w:eastAsia="Times New Roman"/>
          <w:i/>
          <w:sz w:val="28"/>
          <w:szCs w:val="28"/>
        </w:rPr>
        <w:t xml:space="preserve">other </w:t>
      </w:r>
      <w:r>
        <w:rPr>
          <w:rFonts w:eastAsia="Times New Roman"/>
          <w:i/>
          <w:sz w:val="28"/>
          <w:szCs w:val="28"/>
        </w:rPr>
        <w:t>rent control states, New York and California, their laws appear to have survived challenges, and where they d</w:t>
      </w:r>
      <w:r w:rsidR="006D05E9">
        <w:rPr>
          <w:rFonts w:eastAsia="Times New Roman"/>
          <w:i/>
          <w:sz w:val="28"/>
          <w:szCs w:val="28"/>
        </w:rPr>
        <w:t>idn’t</w:t>
      </w:r>
      <w:r>
        <w:rPr>
          <w:rFonts w:eastAsia="Times New Roman"/>
          <w:i/>
          <w:sz w:val="28"/>
          <w:szCs w:val="28"/>
        </w:rPr>
        <w:t>, I assume th</w:t>
      </w:r>
      <w:r w:rsidR="009B4533">
        <w:rPr>
          <w:rFonts w:eastAsia="Times New Roman"/>
          <w:i/>
          <w:sz w:val="28"/>
          <w:szCs w:val="28"/>
        </w:rPr>
        <w:t>ose laws</w:t>
      </w:r>
      <w:r>
        <w:rPr>
          <w:rFonts w:eastAsia="Times New Roman"/>
          <w:i/>
          <w:sz w:val="28"/>
          <w:szCs w:val="28"/>
        </w:rPr>
        <w:t xml:space="preserve"> were amended</w:t>
      </w:r>
      <w:r w:rsidR="009B4533">
        <w:rPr>
          <w:rFonts w:eastAsia="Times New Roman"/>
          <w:i/>
          <w:sz w:val="28"/>
          <w:szCs w:val="28"/>
        </w:rPr>
        <w:t xml:space="preserve"> to comply</w:t>
      </w:r>
      <w:r>
        <w:rPr>
          <w:rFonts w:eastAsia="Times New Roman"/>
          <w:i/>
          <w:sz w:val="28"/>
          <w:szCs w:val="28"/>
        </w:rPr>
        <w:t xml:space="preserve">. I do not </w:t>
      </w:r>
      <w:r w:rsidR="004E58A8">
        <w:rPr>
          <w:rFonts w:eastAsia="Times New Roman"/>
          <w:i/>
          <w:sz w:val="28"/>
          <w:szCs w:val="28"/>
        </w:rPr>
        <w:t xml:space="preserve">know if </w:t>
      </w:r>
      <w:r>
        <w:rPr>
          <w:rFonts w:eastAsia="Times New Roman"/>
          <w:i/>
          <w:sz w:val="28"/>
          <w:szCs w:val="28"/>
        </w:rPr>
        <w:t xml:space="preserve">simply having long term leases </w:t>
      </w:r>
      <w:r w:rsidR="004E58A8">
        <w:rPr>
          <w:rFonts w:eastAsia="Times New Roman"/>
          <w:i/>
          <w:sz w:val="28"/>
          <w:szCs w:val="28"/>
        </w:rPr>
        <w:t>is sufficient to</w:t>
      </w:r>
      <w:r>
        <w:rPr>
          <w:rFonts w:eastAsia="Times New Roman"/>
          <w:i/>
          <w:sz w:val="28"/>
          <w:szCs w:val="28"/>
        </w:rPr>
        <w:t xml:space="preserve"> insulate a landlord against rent control</w:t>
      </w:r>
      <w:r w:rsidR="006D05E9">
        <w:rPr>
          <w:rFonts w:eastAsia="Times New Roman"/>
          <w:i/>
          <w:sz w:val="28"/>
          <w:szCs w:val="28"/>
        </w:rPr>
        <w:t xml:space="preserve"> </w:t>
      </w:r>
      <w:r w:rsidR="004E58A8">
        <w:rPr>
          <w:rFonts w:eastAsia="Times New Roman"/>
          <w:i/>
          <w:sz w:val="28"/>
          <w:szCs w:val="28"/>
        </w:rPr>
        <w:t xml:space="preserve">ordinances </w:t>
      </w:r>
      <w:r w:rsidR="006D05E9">
        <w:rPr>
          <w:rFonts w:eastAsia="Times New Roman"/>
          <w:i/>
          <w:sz w:val="28"/>
          <w:szCs w:val="28"/>
        </w:rPr>
        <w:t xml:space="preserve">– but I’m no expert on the laws of other states. </w:t>
      </w:r>
      <w:r>
        <w:rPr>
          <w:rFonts w:eastAsia="Times New Roman"/>
          <w:i/>
          <w:sz w:val="28"/>
          <w:szCs w:val="28"/>
        </w:rPr>
        <w:t xml:space="preserve">  </w:t>
      </w:r>
    </w:p>
    <w:p w14:paraId="2008281A" w14:textId="77777777" w:rsidR="00DD60B4" w:rsidRPr="00DD60B4" w:rsidRDefault="00DD60B4" w:rsidP="00DD60B4">
      <w:pPr>
        <w:pStyle w:val="ListParagraph"/>
        <w:jc w:val="both"/>
        <w:rPr>
          <w:rFonts w:eastAsia="Times New Roman"/>
          <w:sz w:val="28"/>
          <w:szCs w:val="28"/>
        </w:rPr>
      </w:pPr>
    </w:p>
    <w:p w14:paraId="16A0A6B0" w14:textId="21D57ACD" w:rsidR="00DD60B4" w:rsidRPr="006D05E9" w:rsidRDefault="00DD60B4" w:rsidP="00E84BB2">
      <w:pPr>
        <w:ind w:firstLine="360"/>
        <w:jc w:val="both"/>
        <w:rPr>
          <w:rFonts w:eastAsia="Times New Roman"/>
          <w:b/>
          <w:sz w:val="28"/>
          <w:szCs w:val="28"/>
        </w:rPr>
      </w:pPr>
      <w:r w:rsidRPr="005144FC">
        <w:rPr>
          <w:rFonts w:eastAsia="Times New Roman"/>
          <w:b/>
          <w:sz w:val="28"/>
          <w:szCs w:val="28"/>
        </w:rPr>
        <w:t>2.</w:t>
      </w:r>
      <w:r w:rsidRPr="00DD60B4">
        <w:rPr>
          <w:rFonts w:eastAsia="Times New Roman"/>
          <w:sz w:val="28"/>
          <w:szCs w:val="28"/>
        </w:rPr>
        <w:t>  </w:t>
      </w:r>
      <w:r w:rsidRPr="006D05E9">
        <w:rPr>
          <w:rFonts w:eastAsia="Times New Roman"/>
          <w:b/>
          <w:sz w:val="28"/>
          <w:szCs w:val="28"/>
        </w:rPr>
        <w:t xml:space="preserve">Would long-term leases provide some protection from rent control? Perhaps we should consider offering long-term leases to residents with terms that are slightly more advantageous than those under the statewide rent control formula (max of CPI + 7%).  For example, you could offer a CPI-based lease with a minimum of 5% and a max of 10% (or a minimum of 3% and maximum of 7%).  </w:t>
      </w:r>
      <w:r w:rsidRPr="004E58A8">
        <w:rPr>
          <w:rFonts w:eastAsia="Times New Roman"/>
          <w:b/>
          <w:sz w:val="28"/>
          <w:szCs w:val="28"/>
          <w:u w:val="single"/>
        </w:rPr>
        <w:t>That might look pretty good to residents who now face a possible minimum of 7%.</w:t>
      </w:r>
      <w:r w:rsidRPr="006D05E9">
        <w:rPr>
          <w:rFonts w:eastAsia="Times New Roman"/>
          <w:b/>
          <w:sz w:val="28"/>
          <w:szCs w:val="28"/>
        </w:rPr>
        <w:t xml:space="preserve">  If we offer a </w:t>
      </w:r>
      <w:r w:rsidR="00047959" w:rsidRPr="006D05E9">
        <w:rPr>
          <w:rFonts w:eastAsia="Times New Roman"/>
          <w:b/>
          <w:sz w:val="28"/>
          <w:szCs w:val="28"/>
        </w:rPr>
        <w:t>long-term</w:t>
      </w:r>
      <w:r w:rsidRPr="006D05E9">
        <w:rPr>
          <w:rFonts w:eastAsia="Times New Roman"/>
          <w:b/>
          <w:sz w:val="28"/>
          <w:szCs w:val="28"/>
        </w:rPr>
        <w:t xml:space="preserve"> lease we wou</w:t>
      </w:r>
      <w:r w:rsidR="00F12504">
        <w:rPr>
          <w:rFonts w:eastAsia="Times New Roman"/>
          <w:b/>
          <w:sz w:val="28"/>
          <w:szCs w:val="28"/>
        </w:rPr>
        <w:t>l</w:t>
      </w:r>
      <w:r w:rsidRPr="006D05E9">
        <w:rPr>
          <w:rFonts w:eastAsia="Times New Roman"/>
          <w:b/>
          <w:sz w:val="28"/>
          <w:szCs w:val="28"/>
        </w:rPr>
        <w:t>d not have to worry as much about the state legislature whittling down the minimum allowed year after year.</w:t>
      </w:r>
    </w:p>
    <w:p w14:paraId="0EC6A7EF" w14:textId="77777777" w:rsidR="006D05E9" w:rsidRDefault="006D05E9" w:rsidP="00DD60B4">
      <w:pPr>
        <w:jc w:val="both"/>
        <w:rPr>
          <w:rFonts w:eastAsia="Times New Roman"/>
          <w:sz w:val="28"/>
          <w:szCs w:val="28"/>
        </w:rPr>
      </w:pPr>
    </w:p>
    <w:p w14:paraId="73AEC259" w14:textId="244BBD4D" w:rsidR="00E84BB2" w:rsidRDefault="00F12504" w:rsidP="00DD60B4">
      <w:pPr>
        <w:jc w:val="both"/>
        <w:rPr>
          <w:rFonts w:eastAsia="Times New Roman"/>
          <w:i/>
          <w:sz w:val="28"/>
          <w:szCs w:val="28"/>
        </w:rPr>
      </w:pPr>
      <w:r>
        <w:rPr>
          <w:rFonts w:eastAsia="Times New Roman"/>
          <w:i/>
          <w:sz w:val="28"/>
          <w:szCs w:val="28"/>
        </w:rPr>
        <w:t xml:space="preserve">Answer: </w:t>
      </w:r>
      <w:r w:rsidR="00FB4256">
        <w:rPr>
          <w:rFonts w:eastAsia="Times New Roman"/>
          <w:i/>
          <w:sz w:val="28"/>
          <w:szCs w:val="28"/>
        </w:rPr>
        <w:t xml:space="preserve">I </w:t>
      </w:r>
      <w:r w:rsidR="004E58A8">
        <w:rPr>
          <w:rFonts w:eastAsia="Times New Roman"/>
          <w:i/>
          <w:sz w:val="28"/>
          <w:szCs w:val="28"/>
        </w:rPr>
        <w:t xml:space="preserve">underscored </w:t>
      </w:r>
      <w:r w:rsidR="00FB4256">
        <w:rPr>
          <w:rFonts w:eastAsia="Times New Roman"/>
          <w:i/>
          <w:sz w:val="28"/>
          <w:szCs w:val="28"/>
        </w:rPr>
        <w:t xml:space="preserve">the above sentence since </w:t>
      </w:r>
      <w:r w:rsidR="004E58A8">
        <w:rPr>
          <w:rFonts w:eastAsia="Times New Roman"/>
          <w:i/>
          <w:sz w:val="28"/>
          <w:szCs w:val="28"/>
        </w:rPr>
        <w:t xml:space="preserve">your question seems to </w:t>
      </w:r>
      <w:r w:rsidR="00FB4256">
        <w:rPr>
          <w:rFonts w:eastAsia="Times New Roman"/>
          <w:i/>
          <w:sz w:val="28"/>
          <w:szCs w:val="28"/>
        </w:rPr>
        <w:t xml:space="preserve">assume that the 7% figure in the rent cap represents </w:t>
      </w:r>
      <w:r w:rsidR="004E58A8">
        <w:rPr>
          <w:rFonts w:eastAsia="Times New Roman"/>
          <w:i/>
          <w:sz w:val="28"/>
          <w:szCs w:val="28"/>
        </w:rPr>
        <w:t xml:space="preserve">the </w:t>
      </w:r>
      <w:r w:rsidR="00FB4256">
        <w:rPr>
          <w:rFonts w:eastAsia="Times New Roman"/>
          <w:i/>
          <w:sz w:val="28"/>
          <w:szCs w:val="28"/>
        </w:rPr>
        <w:t>minimum amount of increase</w:t>
      </w:r>
      <w:r w:rsidR="00E84BB2">
        <w:rPr>
          <w:rFonts w:eastAsia="Times New Roman"/>
          <w:i/>
          <w:sz w:val="28"/>
          <w:szCs w:val="28"/>
        </w:rPr>
        <w:t>, not counting CPI</w:t>
      </w:r>
      <w:r w:rsidR="00FB4256">
        <w:rPr>
          <w:rFonts w:eastAsia="Times New Roman"/>
          <w:i/>
          <w:sz w:val="28"/>
          <w:szCs w:val="28"/>
        </w:rPr>
        <w:t xml:space="preserve">. Not so. </w:t>
      </w:r>
      <w:r w:rsidR="00E84BB2">
        <w:rPr>
          <w:rFonts w:eastAsia="Times New Roman"/>
          <w:i/>
          <w:sz w:val="28"/>
          <w:szCs w:val="28"/>
        </w:rPr>
        <w:t>SB608 only limits the upper end of a rent increase, i.e. the ceiling. Rent increase</w:t>
      </w:r>
      <w:r w:rsidR="004E58A8">
        <w:rPr>
          <w:rFonts w:eastAsia="Times New Roman"/>
          <w:i/>
          <w:sz w:val="28"/>
          <w:szCs w:val="28"/>
        </w:rPr>
        <w:t>s</w:t>
      </w:r>
      <w:r w:rsidR="00E84BB2">
        <w:rPr>
          <w:rFonts w:eastAsia="Times New Roman"/>
          <w:i/>
          <w:sz w:val="28"/>
          <w:szCs w:val="28"/>
        </w:rPr>
        <w:t xml:space="preserve"> may always be less</w:t>
      </w:r>
      <w:r w:rsidR="009B4533">
        <w:rPr>
          <w:rFonts w:eastAsia="Times New Roman"/>
          <w:i/>
          <w:sz w:val="28"/>
          <w:szCs w:val="28"/>
        </w:rPr>
        <w:t xml:space="preserve"> than 7%.</w:t>
      </w:r>
    </w:p>
    <w:p w14:paraId="74FDBCE5" w14:textId="77777777" w:rsidR="00E84BB2" w:rsidRDefault="00E84BB2" w:rsidP="00DD60B4">
      <w:pPr>
        <w:jc w:val="both"/>
        <w:rPr>
          <w:rFonts w:eastAsia="Times New Roman"/>
          <w:i/>
          <w:sz w:val="28"/>
          <w:szCs w:val="28"/>
        </w:rPr>
      </w:pPr>
    </w:p>
    <w:p w14:paraId="5CB3A0F5" w14:textId="39D276EA" w:rsidR="00F12504" w:rsidRDefault="00FB4256" w:rsidP="00DD60B4">
      <w:pPr>
        <w:jc w:val="both"/>
        <w:rPr>
          <w:rFonts w:eastAsia="Times New Roman"/>
          <w:i/>
          <w:sz w:val="28"/>
          <w:szCs w:val="28"/>
        </w:rPr>
      </w:pPr>
      <w:r>
        <w:rPr>
          <w:rFonts w:eastAsia="Times New Roman"/>
          <w:i/>
          <w:sz w:val="28"/>
          <w:szCs w:val="28"/>
        </w:rPr>
        <w:t>T</w:t>
      </w:r>
      <w:r w:rsidR="006D05E9">
        <w:rPr>
          <w:rFonts w:eastAsia="Times New Roman"/>
          <w:i/>
          <w:sz w:val="28"/>
          <w:szCs w:val="28"/>
        </w:rPr>
        <w:t>he Bill does not affect park leases in Oregon, long term or short term (2-year</w:t>
      </w:r>
      <w:r w:rsidR="009B4533">
        <w:rPr>
          <w:rFonts w:eastAsia="Times New Roman"/>
          <w:i/>
          <w:sz w:val="28"/>
          <w:szCs w:val="28"/>
        </w:rPr>
        <w:t>s is</w:t>
      </w:r>
      <w:r w:rsidR="006D05E9">
        <w:rPr>
          <w:rFonts w:eastAsia="Times New Roman"/>
          <w:i/>
          <w:sz w:val="28"/>
          <w:szCs w:val="28"/>
        </w:rPr>
        <w:t xml:space="preserve"> </w:t>
      </w:r>
      <w:r w:rsidR="009B4533">
        <w:rPr>
          <w:rFonts w:eastAsia="Times New Roman"/>
          <w:i/>
          <w:sz w:val="28"/>
          <w:szCs w:val="28"/>
        </w:rPr>
        <w:t xml:space="preserve">the </w:t>
      </w:r>
      <w:r w:rsidR="006D05E9">
        <w:rPr>
          <w:rFonts w:eastAsia="Times New Roman"/>
          <w:i/>
          <w:sz w:val="28"/>
          <w:szCs w:val="28"/>
        </w:rPr>
        <w:t>minimum). Two</w:t>
      </w:r>
      <w:r w:rsidR="00F12504">
        <w:rPr>
          <w:rFonts w:eastAsia="Times New Roman"/>
          <w:i/>
          <w:sz w:val="28"/>
          <w:szCs w:val="28"/>
        </w:rPr>
        <w:t>-</w:t>
      </w:r>
      <w:r w:rsidR="006D05E9">
        <w:rPr>
          <w:rFonts w:eastAsia="Times New Roman"/>
          <w:i/>
          <w:sz w:val="28"/>
          <w:szCs w:val="28"/>
        </w:rPr>
        <w:t>year lease</w:t>
      </w:r>
      <w:r w:rsidR="00F12504">
        <w:rPr>
          <w:rFonts w:eastAsia="Times New Roman"/>
          <w:i/>
          <w:sz w:val="28"/>
          <w:szCs w:val="28"/>
        </w:rPr>
        <w:t>s</w:t>
      </w:r>
      <w:r w:rsidR="006D05E9">
        <w:rPr>
          <w:rFonts w:eastAsia="Times New Roman"/>
          <w:i/>
          <w:sz w:val="28"/>
          <w:szCs w:val="28"/>
        </w:rPr>
        <w:t xml:space="preserve"> give the greatest flexibility, since a 25</w:t>
      </w:r>
      <w:r w:rsidR="00F12504">
        <w:rPr>
          <w:rFonts w:eastAsia="Times New Roman"/>
          <w:i/>
          <w:sz w:val="28"/>
          <w:szCs w:val="28"/>
        </w:rPr>
        <w:t>-</w:t>
      </w:r>
      <w:r w:rsidR="006D05E9">
        <w:rPr>
          <w:rFonts w:eastAsia="Times New Roman"/>
          <w:i/>
          <w:sz w:val="28"/>
          <w:szCs w:val="28"/>
        </w:rPr>
        <w:t xml:space="preserve">year lease only triggers </w:t>
      </w:r>
      <w:r w:rsidR="009B4533">
        <w:rPr>
          <w:rFonts w:eastAsia="Times New Roman"/>
          <w:i/>
          <w:sz w:val="28"/>
          <w:szCs w:val="28"/>
        </w:rPr>
        <w:t xml:space="preserve">the requirement to give </w:t>
      </w:r>
      <w:r>
        <w:rPr>
          <w:rFonts w:eastAsia="Times New Roman"/>
          <w:i/>
          <w:sz w:val="28"/>
          <w:szCs w:val="28"/>
        </w:rPr>
        <w:t xml:space="preserve">tenants </w:t>
      </w:r>
      <w:r w:rsidR="006D05E9">
        <w:rPr>
          <w:rFonts w:eastAsia="Times New Roman"/>
          <w:i/>
          <w:sz w:val="28"/>
          <w:szCs w:val="28"/>
        </w:rPr>
        <w:t xml:space="preserve">the </w:t>
      </w:r>
      <w:r>
        <w:rPr>
          <w:rFonts w:eastAsia="Times New Roman"/>
          <w:i/>
          <w:sz w:val="28"/>
          <w:szCs w:val="28"/>
        </w:rPr>
        <w:t xml:space="preserve">current </w:t>
      </w:r>
      <w:r w:rsidR="006D05E9">
        <w:rPr>
          <w:rFonts w:eastAsia="Times New Roman"/>
          <w:i/>
          <w:sz w:val="28"/>
          <w:szCs w:val="28"/>
        </w:rPr>
        <w:t xml:space="preserve">park documents during the last 60 days </w:t>
      </w:r>
      <w:r w:rsidR="004E58A8">
        <w:rPr>
          <w:rFonts w:eastAsia="Times New Roman"/>
          <w:i/>
          <w:sz w:val="28"/>
          <w:szCs w:val="28"/>
        </w:rPr>
        <w:t xml:space="preserve">in the </w:t>
      </w:r>
      <w:r w:rsidR="006D05E9">
        <w:rPr>
          <w:rFonts w:eastAsia="Times New Roman"/>
          <w:i/>
          <w:sz w:val="28"/>
          <w:szCs w:val="28"/>
        </w:rPr>
        <w:t>24</w:t>
      </w:r>
      <w:r w:rsidR="004E58A8" w:rsidRPr="004E58A8">
        <w:rPr>
          <w:rFonts w:eastAsia="Times New Roman"/>
          <w:i/>
          <w:sz w:val="28"/>
          <w:szCs w:val="28"/>
          <w:vertAlign w:val="superscript"/>
        </w:rPr>
        <w:t>th</w:t>
      </w:r>
      <w:r w:rsidR="004E58A8">
        <w:rPr>
          <w:rFonts w:eastAsia="Times New Roman"/>
          <w:i/>
          <w:sz w:val="28"/>
          <w:szCs w:val="28"/>
        </w:rPr>
        <w:t xml:space="preserve"> year</w:t>
      </w:r>
      <w:r w:rsidR="006D05E9">
        <w:rPr>
          <w:rFonts w:eastAsia="Times New Roman"/>
          <w:i/>
          <w:sz w:val="28"/>
          <w:szCs w:val="28"/>
        </w:rPr>
        <w:t xml:space="preserve">. </w:t>
      </w:r>
      <w:r w:rsidR="009B4533">
        <w:rPr>
          <w:rFonts w:eastAsia="Times New Roman"/>
          <w:i/>
          <w:sz w:val="28"/>
          <w:szCs w:val="28"/>
        </w:rPr>
        <w:t xml:space="preserve"> </w:t>
      </w:r>
      <w:r w:rsidR="00F12504">
        <w:rPr>
          <w:rFonts w:eastAsia="Times New Roman"/>
          <w:i/>
          <w:sz w:val="28"/>
          <w:szCs w:val="28"/>
        </w:rPr>
        <w:t>I would not want to keep a tenant under the same lease agreement for 25 years. In my opinion, park landlords should get all of their tenants on 2-year fixed term leases under</w:t>
      </w:r>
      <w:r>
        <w:rPr>
          <w:rFonts w:eastAsia="Times New Roman"/>
          <w:i/>
          <w:sz w:val="28"/>
          <w:szCs w:val="28"/>
        </w:rPr>
        <w:t xml:space="preserve"> </w:t>
      </w:r>
      <w:hyperlink r:id="rId11" w:history="1">
        <w:r w:rsidRPr="0038515D">
          <w:rPr>
            <w:rStyle w:val="Hyperlink"/>
            <w:rFonts w:eastAsia="Times New Roman"/>
            <w:i/>
            <w:sz w:val="28"/>
            <w:szCs w:val="28"/>
          </w:rPr>
          <w:t>ORS 90.545</w:t>
        </w:r>
      </w:hyperlink>
      <w:r w:rsidR="00F12504">
        <w:rPr>
          <w:rFonts w:eastAsia="Times New Roman"/>
          <w:i/>
          <w:sz w:val="28"/>
          <w:szCs w:val="28"/>
        </w:rPr>
        <w:t>.</w:t>
      </w:r>
    </w:p>
    <w:p w14:paraId="5A28B48B" w14:textId="77777777" w:rsidR="00FA7F49" w:rsidRPr="006D05E9" w:rsidRDefault="00FA7F49" w:rsidP="00DD60B4">
      <w:pPr>
        <w:jc w:val="both"/>
        <w:rPr>
          <w:rFonts w:eastAsia="Times New Roman"/>
          <w:i/>
          <w:sz w:val="28"/>
          <w:szCs w:val="28"/>
        </w:rPr>
      </w:pPr>
    </w:p>
    <w:p w14:paraId="2A225C26" w14:textId="77777777" w:rsidR="006D05E9" w:rsidRDefault="006D05E9" w:rsidP="00DD60B4">
      <w:pPr>
        <w:jc w:val="both"/>
        <w:rPr>
          <w:rFonts w:eastAsia="Times New Roman"/>
          <w:sz w:val="28"/>
          <w:szCs w:val="28"/>
        </w:rPr>
      </w:pPr>
    </w:p>
    <w:p w14:paraId="2C27799E" w14:textId="336B3DA4" w:rsidR="00DD60B4" w:rsidRDefault="00DD60B4" w:rsidP="00E84BB2">
      <w:pPr>
        <w:pStyle w:val="ListParagraph"/>
        <w:numPr>
          <w:ilvl w:val="0"/>
          <w:numId w:val="3"/>
        </w:numPr>
        <w:ind w:left="360" w:firstLine="0"/>
        <w:jc w:val="both"/>
        <w:rPr>
          <w:rFonts w:eastAsia="Times New Roman"/>
          <w:b/>
          <w:sz w:val="28"/>
          <w:szCs w:val="28"/>
        </w:rPr>
      </w:pPr>
      <w:r w:rsidRPr="00B56B15">
        <w:rPr>
          <w:rFonts w:eastAsia="Times New Roman"/>
          <w:b/>
          <w:sz w:val="28"/>
          <w:szCs w:val="28"/>
        </w:rPr>
        <w:lastRenderedPageBreak/>
        <w:t xml:space="preserve">Can you </w:t>
      </w:r>
      <w:r w:rsidR="00FB4256">
        <w:rPr>
          <w:rFonts w:eastAsia="Times New Roman"/>
          <w:b/>
          <w:sz w:val="28"/>
          <w:szCs w:val="28"/>
        </w:rPr>
        <w:t xml:space="preserve">require that </w:t>
      </w:r>
      <w:r w:rsidRPr="00B56B15">
        <w:rPr>
          <w:rFonts w:eastAsia="Times New Roman"/>
          <w:b/>
          <w:sz w:val="28"/>
          <w:szCs w:val="28"/>
        </w:rPr>
        <w:t>new resident</w:t>
      </w:r>
      <w:r w:rsidR="00FB4256">
        <w:rPr>
          <w:rFonts w:eastAsia="Times New Roman"/>
          <w:b/>
          <w:sz w:val="28"/>
          <w:szCs w:val="28"/>
        </w:rPr>
        <w:t>s</w:t>
      </w:r>
      <w:r w:rsidRPr="00B56B15">
        <w:rPr>
          <w:rFonts w:eastAsia="Times New Roman"/>
          <w:b/>
          <w:sz w:val="28"/>
          <w:szCs w:val="28"/>
        </w:rPr>
        <w:t xml:space="preserve"> accept a lease</w:t>
      </w:r>
      <w:r w:rsidR="009B4533">
        <w:rPr>
          <w:rFonts w:eastAsia="Times New Roman"/>
          <w:b/>
          <w:sz w:val="28"/>
          <w:szCs w:val="28"/>
        </w:rPr>
        <w:t xml:space="preserve"> as opposed to a month-to-month tenancy</w:t>
      </w:r>
      <w:r w:rsidRPr="00B56B15">
        <w:rPr>
          <w:rFonts w:eastAsia="Times New Roman"/>
          <w:b/>
          <w:sz w:val="28"/>
          <w:szCs w:val="28"/>
        </w:rPr>
        <w:t xml:space="preserve">?  </w:t>
      </w:r>
    </w:p>
    <w:p w14:paraId="682C47A6" w14:textId="23DD1E0A" w:rsidR="00B56B15" w:rsidRPr="00B56B15" w:rsidRDefault="00B56B15" w:rsidP="00B56B15">
      <w:pPr>
        <w:jc w:val="both"/>
        <w:rPr>
          <w:rFonts w:eastAsia="Times New Roman"/>
          <w:sz w:val="28"/>
          <w:szCs w:val="28"/>
        </w:rPr>
      </w:pPr>
    </w:p>
    <w:p w14:paraId="00F81473" w14:textId="09257E8A" w:rsidR="000E6B00" w:rsidRDefault="00B56B15" w:rsidP="00B56B15">
      <w:pPr>
        <w:jc w:val="both"/>
        <w:rPr>
          <w:rFonts w:eastAsia="Times New Roman"/>
          <w:i/>
          <w:sz w:val="28"/>
          <w:szCs w:val="28"/>
        </w:rPr>
      </w:pPr>
      <w:r w:rsidRPr="00B56B15">
        <w:rPr>
          <w:rFonts w:eastAsia="Times New Roman"/>
          <w:i/>
          <w:sz w:val="28"/>
          <w:szCs w:val="28"/>
        </w:rPr>
        <w:t>Answer: I don’t know why not. Tenants can terminate their leases with 30 days</w:t>
      </w:r>
      <w:r>
        <w:rPr>
          <w:rFonts w:eastAsia="Times New Roman"/>
          <w:i/>
          <w:sz w:val="28"/>
          <w:szCs w:val="28"/>
        </w:rPr>
        <w:t>’</w:t>
      </w:r>
      <w:r w:rsidRPr="00B56B15">
        <w:rPr>
          <w:rFonts w:eastAsia="Times New Roman"/>
          <w:i/>
          <w:sz w:val="28"/>
          <w:szCs w:val="28"/>
        </w:rPr>
        <w:t xml:space="preserve"> notice, just the same as if it was a month-to-month tenancy.</w:t>
      </w:r>
      <w:r>
        <w:rPr>
          <w:rFonts w:eastAsia="Times New Roman"/>
          <w:i/>
          <w:sz w:val="28"/>
          <w:szCs w:val="28"/>
        </w:rPr>
        <w:t xml:space="preserve"> Substantively, there is very little difference between the MHCO </w:t>
      </w:r>
      <w:r w:rsidR="00FB4256">
        <w:rPr>
          <w:rFonts w:eastAsia="Times New Roman"/>
          <w:i/>
          <w:sz w:val="28"/>
          <w:szCs w:val="28"/>
        </w:rPr>
        <w:t xml:space="preserve">fixed term tenancy and the </w:t>
      </w:r>
      <w:r>
        <w:rPr>
          <w:rFonts w:eastAsia="Times New Roman"/>
          <w:i/>
          <w:sz w:val="28"/>
          <w:szCs w:val="28"/>
        </w:rPr>
        <w:t xml:space="preserve">month-to-month tenancy. The </w:t>
      </w:r>
      <w:r w:rsidR="000E6B00">
        <w:rPr>
          <w:rFonts w:eastAsia="Times New Roman"/>
          <w:i/>
          <w:sz w:val="28"/>
          <w:szCs w:val="28"/>
        </w:rPr>
        <w:t>major differences are the following:</w:t>
      </w:r>
    </w:p>
    <w:p w14:paraId="74D6307C" w14:textId="62426888" w:rsidR="00B56B15" w:rsidRDefault="000E6B00" w:rsidP="000E6B00">
      <w:pPr>
        <w:pStyle w:val="ListParagraph"/>
        <w:numPr>
          <w:ilvl w:val="0"/>
          <w:numId w:val="2"/>
        </w:numPr>
        <w:jc w:val="both"/>
        <w:rPr>
          <w:rFonts w:eastAsia="Times New Roman"/>
          <w:i/>
          <w:sz w:val="28"/>
          <w:szCs w:val="28"/>
        </w:rPr>
      </w:pPr>
      <w:r>
        <w:rPr>
          <w:rFonts w:eastAsia="Times New Roman"/>
          <w:i/>
          <w:sz w:val="28"/>
          <w:szCs w:val="28"/>
        </w:rPr>
        <w:t xml:space="preserve">Rent increases in the lease are governed by </w:t>
      </w:r>
      <w:r w:rsidR="00FB4256">
        <w:rPr>
          <w:rFonts w:eastAsia="Times New Roman"/>
          <w:i/>
          <w:sz w:val="28"/>
          <w:szCs w:val="28"/>
        </w:rPr>
        <w:t>a</w:t>
      </w:r>
      <w:r>
        <w:rPr>
          <w:rFonts w:eastAsia="Times New Roman"/>
          <w:i/>
          <w:sz w:val="28"/>
          <w:szCs w:val="28"/>
        </w:rPr>
        <w:t xml:space="preserve"> lease formula or other terms agreed </w:t>
      </w:r>
      <w:r w:rsidR="009C3721">
        <w:rPr>
          <w:rFonts w:eastAsia="Times New Roman"/>
          <w:i/>
          <w:sz w:val="28"/>
          <w:szCs w:val="28"/>
        </w:rPr>
        <w:t xml:space="preserve">upon </w:t>
      </w:r>
      <w:r>
        <w:rPr>
          <w:rFonts w:eastAsia="Times New Roman"/>
          <w:i/>
          <w:sz w:val="28"/>
          <w:szCs w:val="28"/>
        </w:rPr>
        <w:t>between landlord and tenant</w:t>
      </w:r>
      <w:r w:rsidR="00FB4256">
        <w:rPr>
          <w:rFonts w:eastAsia="Times New Roman"/>
          <w:i/>
          <w:sz w:val="28"/>
          <w:szCs w:val="28"/>
        </w:rPr>
        <w:t xml:space="preserve">; they do not require 90-days’ advance written notice, </w:t>
      </w:r>
      <w:r w:rsidR="0066217A">
        <w:rPr>
          <w:rFonts w:eastAsia="Times New Roman"/>
          <w:i/>
          <w:sz w:val="28"/>
          <w:szCs w:val="28"/>
        </w:rPr>
        <w:t>al</w:t>
      </w:r>
      <w:r w:rsidR="00FB4256">
        <w:rPr>
          <w:rFonts w:eastAsia="Times New Roman"/>
          <w:i/>
          <w:sz w:val="28"/>
          <w:szCs w:val="28"/>
        </w:rPr>
        <w:t xml:space="preserve">though some do </w:t>
      </w:r>
      <w:r w:rsidR="00491C90">
        <w:rPr>
          <w:rFonts w:eastAsia="Times New Roman"/>
          <w:i/>
          <w:sz w:val="28"/>
          <w:szCs w:val="28"/>
        </w:rPr>
        <w:t>provide</w:t>
      </w:r>
      <w:r w:rsidR="009B4533">
        <w:rPr>
          <w:rFonts w:eastAsia="Times New Roman"/>
          <w:i/>
          <w:sz w:val="28"/>
          <w:szCs w:val="28"/>
        </w:rPr>
        <w:t xml:space="preserve"> for the rent increase to be preceded with a 90-day written notice just so tenants have a heads-up</w:t>
      </w:r>
      <w:r>
        <w:rPr>
          <w:rFonts w:eastAsia="Times New Roman"/>
          <w:i/>
          <w:sz w:val="28"/>
          <w:szCs w:val="28"/>
        </w:rPr>
        <w:t>.</w:t>
      </w:r>
    </w:p>
    <w:p w14:paraId="54E11407" w14:textId="23DC96BF" w:rsidR="00B56B15" w:rsidRPr="000E6B00" w:rsidRDefault="000E6B00" w:rsidP="00116BB0">
      <w:pPr>
        <w:pStyle w:val="ListParagraph"/>
        <w:numPr>
          <w:ilvl w:val="0"/>
          <w:numId w:val="2"/>
        </w:numPr>
        <w:jc w:val="both"/>
        <w:rPr>
          <w:rFonts w:eastAsia="Times New Roman"/>
          <w:sz w:val="28"/>
          <w:szCs w:val="28"/>
        </w:rPr>
      </w:pPr>
      <w:r w:rsidRPr="000E6B00">
        <w:rPr>
          <w:rFonts w:eastAsia="Times New Roman"/>
          <w:i/>
          <w:sz w:val="28"/>
          <w:szCs w:val="28"/>
        </w:rPr>
        <w:t>Rent increases for month-to-month tenancies can be instituted with 90-days</w:t>
      </w:r>
      <w:r w:rsidR="00FB4256">
        <w:rPr>
          <w:rFonts w:eastAsia="Times New Roman"/>
          <w:i/>
          <w:sz w:val="28"/>
          <w:szCs w:val="28"/>
        </w:rPr>
        <w:t>’</w:t>
      </w:r>
      <w:r w:rsidRPr="000E6B00">
        <w:rPr>
          <w:rFonts w:eastAsia="Times New Roman"/>
          <w:i/>
          <w:sz w:val="28"/>
          <w:szCs w:val="28"/>
        </w:rPr>
        <w:t xml:space="preserve"> advance written notice. </w:t>
      </w:r>
      <w:r>
        <w:rPr>
          <w:rFonts w:eastAsia="Times New Roman"/>
          <w:i/>
          <w:sz w:val="28"/>
          <w:szCs w:val="28"/>
        </w:rPr>
        <w:t>Th</w:t>
      </w:r>
      <w:r w:rsidR="00FB4256">
        <w:rPr>
          <w:rFonts w:eastAsia="Times New Roman"/>
          <w:i/>
          <w:sz w:val="28"/>
          <w:szCs w:val="28"/>
        </w:rPr>
        <w:t xml:space="preserve">ose increases </w:t>
      </w:r>
      <w:r>
        <w:rPr>
          <w:rFonts w:eastAsia="Times New Roman"/>
          <w:i/>
          <w:sz w:val="28"/>
          <w:szCs w:val="28"/>
        </w:rPr>
        <w:t xml:space="preserve">would be subject to the rent cap </w:t>
      </w:r>
      <w:r w:rsidR="002461A3">
        <w:rPr>
          <w:rFonts w:eastAsia="Times New Roman"/>
          <w:i/>
          <w:sz w:val="28"/>
          <w:szCs w:val="28"/>
        </w:rPr>
        <w:t>(i.e. 7% over the current rent + the change in CPI</w:t>
      </w:r>
      <w:r w:rsidR="002461A3">
        <w:rPr>
          <w:rStyle w:val="FootnoteReference"/>
          <w:rFonts w:eastAsia="Times New Roman"/>
          <w:i/>
          <w:sz w:val="28"/>
          <w:szCs w:val="28"/>
        </w:rPr>
        <w:footnoteReference w:id="4"/>
      </w:r>
      <w:r w:rsidR="002461A3">
        <w:rPr>
          <w:rFonts w:eastAsia="Times New Roman"/>
          <w:i/>
          <w:sz w:val="28"/>
          <w:szCs w:val="28"/>
        </w:rPr>
        <w:t xml:space="preserve"> for September 2018 which was 3.4% = 10.4%)</w:t>
      </w:r>
      <w:r>
        <w:rPr>
          <w:rFonts w:eastAsia="Times New Roman"/>
          <w:i/>
          <w:sz w:val="28"/>
          <w:szCs w:val="28"/>
        </w:rPr>
        <w:t>.</w:t>
      </w:r>
    </w:p>
    <w:p w14:paraId="75AFF1B5" w14:textId="485AB053" w:rsidR="000E6B00" w:rsidRPr="000E6B00" w:rsidRDefault="000E6B00" w:rsidP="00116BB0">
      <w:pPr>
        <w:pStyle w:val="ListParagraph"/>
        <w:numPr>
          <w:ilvl w:val="0"/>
          <w:numId w:val="2"/>
        </w:numPr>
        <w:jc w:val="both"/>
        <w:rPr>
          <w:rFonts w:eastAsia="Times New Roman"/>
          <w:sz w:val="28"/>
          <w:szCs w:val="28"/>
        </w:rPr>
      </w:pPr>
      <w:r>
        <w:rPr>
          <w:rFonts w:eastAsia="Times New Roman"/>
          <w:i/>
          <w:sz w:val="28"/>
          <w:szCs w:val="28"/>
        </w:rPr>
        <w:t>Leases must address the issuance of new park documents when the 60-day letter goes out</w:t>
      </w:r>
      <w:r w:rsidR="00FB4256">
        <w:rPr>
          <w:rFonts w:eastAsia="Times New Roman"/>
          <w:i/>
          <w:sz w:val="28"/>
          <w:szCs w:val="28"/>
        </w:rPr>
        <w:t xml:space="preserve"> before the end of the term.</w:t>
      </w:r>
      <w:r w:rsidR="0066217A">
        <w:rPr>
          <w:rFonts w:eastAsia="Times New Roman"/>
          <w:i/>
          <w:sz w:val="28"/>
          <w:szCs w:val="28"/>
        </w:rPr>
        <w:t xml:space="preserve"> See, </w:t>
      </w:r>
      <w:hyperlink r:id="rId12" w:history="1">
        <w:r w:rsidR="0066217A" w:rsidRPr="0066217A">
          <w:rPr>
            <w:rStyle w:val="Hyperlink"/>
            <w:rFonts w:eastAsia="Times New Roman"/>
            <w:i/>
            <w:sz w:val="28"/>
            <w:szCs w:val="28"/>
          </w:rPr>
          <w:t>ORS 90.545</w:t>
        </w:r>
      </w:hyperlink>
      <w:r w:rsidR="0066217A">
        <w:rPr>
          <w:rFonts w:eastAsia="Times New Roman"/>
          <w:i/>
          <w:sz w:val="28"/>
          <w:szCs w:val="28"/>
        </w:rPr>
        <w:t>.</w:t>
      </w:r>
    </w:p>
    <w:p w14:paraId="05C77E29" w14:textId="77777777" w:rsidR="000E6B00" w:rsidRPr="000E6B00" w:rsidRDefault="000E6B00" w:rsidP="000E6B00">
      <w:pPr>
        <w:pStyle w:val="ListParagraph"/>
        <w:jc w:val="both"/>
        <w:rPr>
          <w:rFonts w:eastAsia="Times New Roman"/>
          <w:sz w:val="28"/>
          <w:szCs w:val="28"/>
        </w:rPr>
      </w:pPr>
    </w:p>
    <w:p w14:paraId="01716769" w14:textId="636422BD" w:rsidR="00DD60B4" w:rsidRDefault="00DD60B4" w:rsidP="00E84BB2">
      <w:pPr>
        <w:pStyle w:val="ListParagraph"/>
        <w:numPr>
          <w:ilvl w:val="0"/>
          <w:numId w:val="3"/>
        </w:numPr>
        <w:tabs>
          <w:tab w:val="left" w:pos="360"/>
        </w:tabs>
        <w:ind w:left="0" w:firstLine="360"/>
        <w:jc w:val="both"/>
        <w:rPr>
          <w:rFonts w:eastAsia="Times New Roman"/>
          <w:b/>
          <w:sz w:val="28"/>
          <w:szCs w:val="28"/>
        </w:rPr>
      </w:pPr>
      <w:r w:rsidRPr="005144FC">
        <w:rPr>
          <w:rFonts w:eastAsia="Times New Roman"/>
          <w:b/>
          <w:sz w:val="28"/>
          <w:szCs w:val="28"/>
        </w:rPr>
        <w:t>How does this new law impact the renewal of a long-term leases in Oregon?  Is the process the same or has it changed the 60-day notification of new lease documents?</w:t>
      </w:r>
      <w:r w:rsidR="005144FC">
        <w:rPr>
          <w:rFonts w:eastAsia="Times New Roman"/>
          <w:b/>
          <w:sz w:val="28"/>
          <w:szCs w:val="28"/>
        </w:rPr>
        <w:t xml:space="preserve"> </w:t>
      </w:r>
    </w:p>
    <w:p w14:paraId="13958D65" w14:textId="2F73FBCA" w:rsidR="00445284" w:rsidRDefault="00445284" w:rsidP="00180A3E">
      <w:pPr>
        <w:pStyle w:val="ListParagraph"/>
        <w:tabs>
          <w:tab w:val="left" w:pos="360"/>
        </w:tabs>
        <w:ind w:left="360"/>
        <w:jc w:val="both"/>
        <w:rPr>
          <w:rFonts w:eastAsia="Times New Roman"/>
          <w:b/>
          <w:sz w:val="28"/>
          <w:szCs w:val="28"/>
        </w:rPr>
      </w:pPr>
    </w:p>
    <w:p w14:paraId="0F8F3486" w14:textId="6154F385" w:rsidR="00180A3E" w:rsidRPr="00180A3E" w:rsidRDefault="00180A3E" w:rsidP="00E84BB2">
      <w:pPr>
        <w:pStyle w:val="ListParagraph"/>
        <w:tabs>
          <w:tab w:val="left" w:pos="0"/>
        </w:tabs>
        <w:ind w:left="0"/>
        <w:jc w:val="both"/>
        <w:rPr>
          <w:rFonts w:eastAsia="Times New Roman"/>
          <w:i/>
          <w:sz w:val="28"/>
          <w:szCs w:val="28"/>
        </w:rPr>
      </w:pPr>
      <w:r w:rsidRPr="00180A3E">
        <w:rPr>
          <w:rFonts w:eastAsia="Times New Roman"/>
          <w:i/>
          <w:sz w:val="28"/>
          <w:szCs w:val="28"/>
        </w:rPr>
        <w:t>Answer: See Answer to Question No. 1, above.</w:t>
      </w:r>
      <w:r w:rsidR="00E84BB2">
        <w:rPr>
          <w:rFonts w:eastAsia="Times New Roman"/>
          <w:i/>
          <w:sz w:val="28"/>
          <w:szCs w:val="28"/>
        </w:rPr>
        <w:t xml:space="preserve"> </w:t>
      </w:r>
      <w:r w:rsidR="0066217A">
        <w:rPr>
          <w:rFonts w:eastAsia="Times New Roman"/>
          <w:i/>
          <w:sz w:val="28"/>
          <w:szCs w:val="28"/>
        </w:rPr>
        <w:t>There is n</w:t>
      </w:r>
      <w:r w:rsidR="00E84BB2">
        <w:rPr>
          <w:rFonts w:eastAsia="Times New Roman"/>
          <w:i/>
          <w:sz w:val="28"/>
          <w:szCs w:val="28"/>
        </w:rPr>
        <w:t>o change to 60-day notifications</w:t>
      </w:r>
      <w:r w:rsidR="00640830">
        <w:rPr>
          <w:rFonts w:eastAsia="Times New Roman"/>
          <w:i/>
          <w:sz w:val="28"/>
          <w:szCs w:val="28"/>
        </w:rPr>
        <w:t xml:space="preserve"> a</w:t>
      </w:r>
      <w:r w:rsidR="0066217A">
        <w:rPr>
          <w:rFonts w:eastAsia="Times New Roman"/>
          <w:i/>
          <w:sz w:val="28"/>
          <w:szCs w:val="28"/>
        </w:rPr>
        <w:t>t</w:t>
      </w:r>
      <w:r w:rsidR="00640830">
        <w:rPr>
          <w:rFonts w:eastAsia="Times New Roman"/>
          <w:i/>
          <w:sz w:val="28"/>
          <w:szCs w:val="28"/>
        </w:rPr>
        <w:t xml:space="preserve"> the end of the lease term in manufactured housing communities</w:t>
      </w:r>
      <w:r w:rsidR="00E84BB2">
        <w:rPr>
          <w:rFonts w:eastAsia="Times New Roman"/>
          <w:i/>
          <w:sz w:val="28"/>
          <w:szCs w:val="28"/>
        </w:rPr>
        <w:t>.</w:t>
      </w:r>
    </w:p>
    <w:p w14:paraId="0825B3DE" w14:textId="749C7720" w:rsidR="005144FC" w:rsidRDefault="005144FC" w:rsidP="005144FC">
      <w:pPr>
        <w:tabs>
          <w:tab w:val="left" w:pos="360"/>
        </w:tabs>
        <w:jc w:val="both"/>
        <w:rPr>
          <w:rFonts w:eastAsia="Times New Roman"/>
          <w:b/>
          <w:sz w:val="28"/>
          <w:szCs w:val="28"/>
        </w:rPr>
      </w:pPr>
    </w:p>
    <w:p w14:paraId="7698E5C8" w14:textId="719F0F05" w:rsidR="00DD60B4" w:rsidRPr="005144FC" w:rsidRDefault="00DD60B4" w:rsidP="00E84BB2">
      <w:pPr>
        <w:pStyle w:val="ListParagraph"/>
        <w:numPr>
          <w:ilvl w:val="0"/>
          <w:numId w:val="3"/>
        </w:numPr>
        <w:ind w:left="0" w:firstLine="360"/>
        <w:jc w:val="both"/>
        <w:rPr>
          <w:rFonts w:eastAsia="Times New Roman"/>
          <w:b/>
          <w:sz w:val="28"/>
          <w:szCs w:val="28"/>
        </w:rPr>
      </w:pPr>
      <w:r w:rsidRPr="005144FC">
        <w:rPr>
          <w:rFonts w:eastAsia="Times New Roman"/>
          <w:b/>
          <w:sz w:val="28"/>
          <w:szCs w:val="28"/>
        </w:rPr>
        <w:t>In a long-term lease can the landlord include a provision for capital pass</w:t>
      </w:r>
      <w:r w:rsidR="0066217A">
        <w:rPr>
          <w:rFonts w:eastAsia="Times New Roman"/>
          <w:b/>
          <w:sz w:val="28"/>
          <w:szCs w:val="28"/>
        </w:rPr>
        <w:t>-</w:t>
      </w:r>
      <w:r w:rsidRPr="005144FC">
        <w:rPr>
          <w:rFonts w:eastAsia="Times New Roman"/>
          <w:b/>
          <w:sz w:val="28"/>
          <w:szCs w:val="28"/>
        </w:rPr>
        <w:t>through</w:t>
      </w:r>
      <w:r w:rsidR="0066217A">
        <w:rPr>
          <w:rFonts w:eastAsia="Times New Roman"/>
          <w:b/>
          <w:sz w:val="28"/>
          <w:szCs w:val="28"/>
        </w:rPr>
        <w:t>s</w:t>
      </w:r>
      <w:r w:rsidRPr="005144FC">
        <w:rPr>
          <w:rFonts w:eastAsia="Times New Roman"/>
          <w:b/>
          <w:sz w:val="28"/>
          <w:szCs w:val="28"/>
        </w:rPr>
        <w:t xml:space="preserve"> of unexpected expenses such as sewer replacement?</w:t>
      </w:r>
    </w:p>
    <w:p w14:paraId="3550EC80" w14:textId="5768E837" w:rsidR="005144FC" w:rsidRDefault="005144FC" w:rsidP="005144FC">
      <w:pPr>
        <w:pStyle w:val="ListParagraph"/>
        <w:ind w:left="0" w:firstLine="360"/>
        <w:jc w:val="both"/>
        <w:rPr>
          <w:rFonts w:eastAsia="Times New Roman"/>
          <w:b/>
          <w:sz w:val="28"/>
          <w:szCs w:val="28"/>
        </w:rPr>
      </w:pPr>
    </w:p>
    <w:p w14:paraId="3E1DE6B2" w14:textId="4BD953DF" w:rsidR="007C7B40" w:rsidRDefault="00180A3E" w:rsidP="00180A3E">
      <w:pPr>
        <w:pStyle w:val="ListParagraph"/>
        <w:tabs>
          <w:tab w:val="left" w:pos="0"/>
        </w:tabs>
        <w:ind w:left="0"/>
        <w:jc w:val="both"/>
        <w:rPr>
          <w:rFonts w:eastAsia="Times New Roman"/>
          <w:i/>
          <w:sz w:val="28"/>
          <w:szCs w:val="28"/>
        </w:rPr>
      </w:pPr>
      <w:r w:rsidRPr="00180A3E">
        <w:rPr>
          <w:rFonts w:eastAsia="Times New Roman"/>
          <w:i/>
          <w:sz w:val="28"/>
          <w:szCs w:val="28"/>
        </w:rPr>
        <w:t xml:space="preserve">Answer: </w:t>
      </w:r>
      <w:r w:rsidR="009B4533">
        <w:rPr>
          <w:rFonts w:eastAsia="Times New Roman"/>
          <w:i/>
          <w:sz w:val="28"/>
          <w:szCs w:val="28"/>
        </w:rPr>
        <w:t>While there is an argument that as long as the recoupment is not</w:t>
      </w:r>
      <w:r w:rsidR="007C7B40">
        <w:rPr>
          <w:rFonts w:eastAsia="Times New Roman"/>
          <w:i/>
          <w:sz w:val="28"/>
          <w:szCs w:val="28"/>
        </w:rPr>
        <w:t xml:space="preserve"> characterized as a </w:t>
      </w:r>
      <w:r w:rsidR="009B4533">
        <w:rPr>
          <w:rFonts w:eastAsia="Times New Roman"/>
          <w:i/>
          <w:sz w:val="28"/>
          <w:szCs w:val="28"/>
        </w:rPr>
        <w:t>“rent</w:t>
      </w:r>
      <w:r w:rsidR="007C7B40">
        <w:rPr>
          <w:rFonts w:eastAsia="Times New Roman"/>
          <w:i/>
          <w:sz w:val="28"/>
          <w:szCs w:val="28"/>
        </w:rPr>
        <w:t xml:space="preserve"> increase</w:t>
      </w:r>
      <w:r w:rsidR="009B4533">
        <w:rPr>
          <w:rFonts w:eastAsia="Times New Roman"/>
          <w:i/>
          <w:sz w:val="28"/>
          <w:szCs w:val="28"/>
        </w:rPr>
        <w:t xml:space="preserve">” but more in the nature of a “special assessment” akin to what the statute permits for </w:t>
      </w:r>
      <w:r w:rsidR="00DE2C76">
        <w:rPr>
          <w:rFonts w:eastAsia="Times New Roman"/>
          <w:i/>
          <w:sz w:val="28"/>
          <w:szCs w:val="28"/>
        </w:rPr>
        <w:t xml:space="preserve">capital costs for submeter installation, I believe it </w:t>
      </w:r>
      <w:r w:rsidR="00DE2C76" w:rsidRPr="007C7B40">
        <w:rPr>
          <w:rFonts w:eastAsia="Times New Roman"/>
          <w:i/>
          <w:sz w:val="28"/>
          <w:szCs w:val="28"/>
          <w:u w:val="single"/>
        </w:rPr>
        <w:t>could be rejected by the court</w:t>
      </w:r>
      <w:r w:rsidR="007C7B40">
        <w:rPr>
          <w:rFonts w:eastAsia="Times New Roman"/>
          <w:i/>
          <w:sz w:val="28"/>
          <w:szCs w:val="28"/>
        </w:rPr>
        <w:t xml:space="preserve">; there simply is </w:t>
      </w:r>
      <w:r w:rsidR="00DE2C76">
        <w:rPr>
          <w:rFonts w:eastAsia="Times New Roman"/>
          <w:i/>
          <w:sz w:val="28"/>
          <w:szCs w:val="28"/>
        </w:rPr>
        <w:t xml:space="preserve">no comparable </w:t>
      </w:r>
      <w:r w:rsidR="007C7B40">
        <w:rPr>
          <w:rFonts w:eastAsia="Times New Roman"/>
          <w:i/>
          <w:sz w:val="28"/>
          <w:szCs w:val="28"/>
        </w:rPr>
        <w:t xml:space="preserve">statute in ORS Chapter 90 to recover </w:t>
      </w:r>
      <w:r w:rsidR="00DE2C76">
        <w:rPr>
          <w:rFonts w:eastAsia="Times New Roman"/>
          <w:i/>
          <w:sz w:val="28"/>
          <w:szCs w:val="28"/>
        </w:rPr>
        <w:t xml:space="preserve">capital costs for unexpected </w:t>
      </w:r>
      <w:r w:rsidR="00DE2C76">
        <w:rPr>
          <w:rFonts w:eastAsia="Times New Roman"/>
          <w:i/>
          <w:sz w:val="28"/>
          <w:szCs w:val="28"/>
        </w:rPr>
        <w:lastRenderedPageBreak/>
        <w:t xml:space="preserve">major expenses. </w:t>
      </w:r>
      <w:r w:rsidR="00491C90">
        <w:rPr>
          <w:rFonts w:eastAsia="Times New Roman"/>
          <w:i/>
          <w:sz w:val="28"/>
          <w:szCs w:val="28"/>
        </w:rPr>
        <w:t>So,</w:t>
      </w:r>
      <w:r w:rsidR="007C7B40">
        <w:rPr>
          <w:rFonts w:eastAsia="Times New Roman"/>
          <w:i/>
          <w:sz w:val="28"/>
          <w:szCs w:val="28"/>
        </w:rPr>
        <w:t xml:space="preserve"> I would not recommend doing so without first obtaining competent legal advice.</w:t>
      </w:r>
    </w:p>
    <w:p w14:paraId="48E0E7F3" w14:textId="77777777" w:rsidR="007C7B40" w:rsidRDefault="007C7B40" w:rsidP="00180A3E">
      <w:pPr>
        <w:pStyle w:val="ListParagraph"/>
        <w:tabs>
          <w:tab w:val="left" w:pos="0"/>
        </w:tabs>
        <w:ind w:left="0"/>
        <w:jc w:val="both"/>
        <w:rPr>
          <w:rFonts w:eastAsia="Times New Roman"/>
          <w:i/>
          <w:sz w:val="28"/>
          <w:szCs w:val="28"/>
        </w:rPr>
      </w:pPr>
    </w:p>
    <w:p w14:paraId="04FA95B8" w14:textId="764618BD" w:rsidR="00DE2C76" w:rsidRDefault="00DE2C76" w:rsidP="00180A3E">
      <w:pPr>
        <w:pStyle w:val="ListParagraph"/>
        <w:tabs>
          <w:tab w:val="left" w:pos="0"/>
        </w:tabs>
        <w:ind w:left="0"/>
        <w:jc w:val="both"/>
        <w:rPr>
          <w:rFonts w:eastAsia="Times New Roman"/>
          <w:i/>
          <w:sz w:val="28"/>
          <w:szCs w:val="28"/>
        </w:rPr>
      </w:pPr>
      <w:r>
        <w:rPr>
          <w:rFonts w:eastAsia="Times New Roman"/>
          <w:i/>
          <w:sz w:val="28"/>
          <w:szCs w:val="28"/>
        </w:rPr>
        <w:t>This was my primary object</w:t>
      </w:r>
      <w:r w:rsidR="007C7B40">
        <w:rPr>
          <w:rFonts w:eastAsia="Times New Roman"/>
          <w:i/>
          <w:sz w:val="28"/>
          <w:szCs w:val="28"/>
        </w:rPr>
        <w:t>ion</w:t>
      </w:r>
      <w:r>
        <w:rPr>
          <w:rFonts w:eastAsia="Times New Roman"/>
          <w:i/>
          <w:sz w:val="28"/>
          <w:szCs w:val="28"/>
        </w:rPr>
        <w:t xml:space="preserve"> to SB608 as</w:t>
      </w:r>
      <w:r w:rsidR="007C7B40">
        <w:rPr>
          <w:rFonts w:eastAsia="Times New Roman"/>
          <w:i/>
          <w:sz w:val="28"/>
          <w:szCs w:val="28"/>
        </w:rPr>
        <w:t xml:space="preserve"> </w:t>
      </w:r>
      <w:r>
        <w:rPr>
          <w:rFonts w:eastAsia="Times New Roman"/>
          <w:i/>
          <w:sz w:val="28"/>
          <w:szCs w:val="28"/>
        </w:rPr>
        <w:t>applied to manufactured housing. It’s one thing for the plumbing to go out in a rental home, but in a manufactured housing community, the failure could be park-wide, and cost thousands of dollars.</w:t>
      </w:r>
      <w:r w:rsidR="007C7B40">
        <w:rPr>
          <w:rFonts w:eastAsia="Times New Roman"/>
          <w:i/>
          <w:sz w:val="28"/>
          <w:szCs w:val="28"/>
        </w:rPr>
        <w:t xml:space="preserve"> For that reason, </w:t>
      </w:r>
      <w:r w:rsidR="0066217A">
        <w:rPr>
          <w:rFonts w:eastAsia="Times New Roman"/>
          <w:i/>
          <w:sz w:val="28"/>
          <w:szCs w:val="28"/>
        </w:rPr>
        <w:t xml:space="preserve">I believe SB 608 should have included a </w:t>
      </w:r>
      <w:r w:rsidR="007C7B40">
        <w:rPr>
          <w:rFonts w:eastAsia="Times New Roman"/>
          <w:i/>
          <w:sz w:val="28"/>
          <w:szCs w:val="28"/>
        </w:rPr>
        <w:t>methodology to do so.</w:t>
      </w:r>
      <w:r>
        <w:rPr>
          <w:rFonts w:eastAsia="Times New Roman"/>
          <w:i/>
          <w:sz w:val="28"/>
          <w:szCs w:val="28"/>
        </w:rPr>
        <w:t xml:space="preserve"> </w:t>
      </w:r>
    </w:p>
    <w:p w14:paraId="16FB05FB" w14:textId="372137EA" w:rsidR="00180A3E" w:rsidRDefault="00180A3E" w:rsidP="00180A3E">
      <w:pPr>
        <w:pStyle w:val="ListParagraph"/>
        <w:tabs>
          <w:tab w:val="left" w:pos="0"/>
        </w:tabs>
        <w:ind w:left="0"/>
        <w:jc w:val="both"/>
        <w:rPr>
          <w:i/>
          <w:color w:val="000000"/>
          <w:sz w:val="28"/>
          <w:szCs w:val="28"/>
        </w:rPr>
      </w:pPr>
    </w:p>
    <w:p w14:paraId="3D7D58B9" w14:textId="490A2B17" w:rsidR="008A1CCE" w:rsidRDefault="00DE2C76" w:rsidP="00180A3E">
      <w:pPr>
        <w:pStyle w:val="ListParagraph"/>
        <w:tabs>
          <w:tab w:val="left" w:pos="0"/>
        </w:tabs>
        <w:ind w:left="0"/>
        <w:jc w:val="both"/>
        <w:rPr>
          <w:rFonts w:eastAsia="Times New Roman"/>
          <w:i/>
          <w:sz w:val="28"/>
          <w:szCs w:val="28"/>
        </w:rPr>
      </w:pPr>
      <w:r>
        <w:rPr>
          <w:rFonts w:eastAsia="Times New Roman"/>
          <w:i/>
          <w:sz w:val="28"/>
          <w:szCs w:val="28"/>
        </w:rPr>
        <w:t xml:space="preserve">However, I believe this </w:t>
      </w:r>
      <w:r w:rsidR="0066217A">
        <w:rPr>
          <w:rFonts w:eastAsia="Times New Roman"/>
          <w:i/>
          <w:sz w:val="28"/>
          <w:szCs w:val="28"/>
        </w:rPr>
        <w:t xml:space="preserve">issue </w:t>
      </w:r>
      <w:r>
        <w:rPr>
          <w:rFonts w:eastAsia="Times New Roman"/>
          <w:i/>
          <w:sz w:val="28"/>
          <w:szCs w:val="28"/>
        </w:rPr>
        <w:t xml:space="preserve">becomes a closer question if the rent formula </w:t>
      </w:r>
      <w:r w:rsidR="007C7B40">
        <w:rPr>
          <w:rFonts w:eastAsia="Times New Roman"/>
          <w:i/>
          <w:sz w:val="28"/>
          <w:szCs w:val="28"/>
        </w:rPr>
        <w:t>in</w:t>
      </w:r>
      <w:r w:rsidR="0016270F">
        <w:rPr>
          <w:rFonts w:eastAsia="Times New Roman"/>
          <w:i/>
          <w:sz w:val="28"/>
          <w:szCs w:val="28"/>
        </w:rPr>
        <w:t xml:space="preserve"> a fixed-term </w:t>
      </w:r>
      <w:r w:rsidR="007C7B40">
        <w:rPr>
          <w:rFonts w:eastAsia="Times New Roman"/>
          <w:i/>
          <w:sz w:val="28"/>
          <w:szCs w:val="28"/>
        </w:rPr>
        <w:t xml:space="preserve">lease </w:t>
      </w:r>
      <w:r w:rsidR="0016270F">
        <w:rPr>
          <w:rFonts w:eastAsia="Times New Roman"/>
          <w:i/>
          <w:sz w:val="28"/>
          <w:szCs w:val="28"/>
        </w:rPr>
        <w:t>allowed for unanticipated capital improvements</w:t>
      </w:r>
      <w:r>
        <w:rPr>
          <w:rFonts w:eastAsia="Times New Roman"/>
          <w:i/>
          <w:sz w:val="28"/>
          <w:szCs w:val="28"/>
        </w:rPr>
        <w:t xml:space="preserve">. </w:t>
      </w:r>
      <w:r w:rsidR="007C7B40">
        <w:rPr>
          <w:rFonts w:eastAsia="Times New Roman"/>
          <w:i/>
          <w:sz w:val="28"/>
          <w:szCs w:val="28"/>
        </w:rPr>
        <w:t>As noted above, t</w:t>
      </w:r>
      <w:r w:rsidR="00C43CE3">
        <w:rPr>
          <w:rFonts w:eastAsia="Times New Roman"/>
          <w:i/>
          <w:sz w:val="28"/>
          <w:szCs w:val="28"/>
        </w:rPr>
        <w:t>he Bill</w:t>
      </w:r>
      <w:r w:rsidR="00E84BB2">
        <w:rPr>
          <w:rFonts w:eastAsia="Times New Roman"/>
          <w:i/>
          <w:sz w:val="28"/>
          <w:szCs w:val="28"/>
        </w:rPr>
        <w:t xml:space="preserve"> </w:t>
      </w:r>
      <w:r w:rsidR="008A1CCE">
        <w:rPr>
          <w:rFonts w:eastAsia="Times New Roman"/>
          <w:i/>
          <w:sz w:val="28"/>
          <w:szCs w:val="28"/>
        </w:rPr>
        <w:t>did not address or limit landlord rights under fixed term tenancies</w:t>
      </w:r>
      <w:r w:rsidR="007C7B40">
        <w:rPr>
          <w:rFonts w:eastAsia="Times New Roman"/>
          <w:i/>
          <w:sz w:val="28"/>
          <w:szCs w:val="28"/>
        </w:rPr>
        <w:t xml:space="preserve">. However, again, this </w:t>
      </w:r>
      <w:r w:rsidR="0016270F">
        <w:rPr>
          <w:rFonts w:eastAsia="Times New Roman"/>
          <w:i/>
          <w:sz w:val="28"/>
          <w:szCs w:val="28"/>
        </w:rPr>
        <w:t xml:space="preserve">issue </w:t>
      </w:r>
      <w:r w:rsidR="007C7B40">
        <w:rPr>
          <w:rFonts w:eastAsia="Times New Roman"/>
          <w:i/>
          <w:sz w:val="28"/>
          <w:szCs w:val="28"/>
        </w:rPr>
        <w:t xml:space="preserve">should not be pursued without competent legal advice. </w:t>
      </w:r>
    </w:p>
    <w:p w14:paraId="3B7B76C5" w14:textId="0796CA4D" w:rsidR="008A1CCE" w:rsidRDefault="008A1CCE" w:rsidP="00180A3E">
      <w:pPr>
        <w:pStyle w:val="ListParagraph"/>
        <w:tabs>
          <w:tab w:val="left" w:pos="0"/>
        </w:tabs>
        <w:ind w:left="0"/>
        <w:jc w:val="both"/>
        <w:rPr>
          <w:rFonts w:eastAsia="Times New Roman"/>
          <w:i/>
          <w:sz w:val="28"/>
          <w:szCs w:val="28"/>
        </w:rPr>
      </w:pPr>
    </w:p>
    <w:p w14:paraId="62B4242A" w14:textId="0271063B" w:rsidR="00DD60B4" w:rsidRDefault="00DD60B4" w:rsidP="00E84BB2">
      <w:pPr>
        <w:pStyle w:val="ListParagraph"/>
        <w:numPr>
          <w:ilvl w:val="0"/>
          <w:numId w:val="3"/>
        </w:numPr>
        <w:ind w:left="0" w:firstLine="360"/>
        <w:jc w:val="both"/>
        <w:rPr>
          <w:rFonts w:eastAsia="Times New Roman"/>
          <w:b/>
          <w:sz w:val="28"/>
          <w:szCs w:val="28"/>
        </w:rPr>
      </w:pPr>
      <w:r w:rsidRPr="005144FC">
        <w:rPr>
          <w:rFonts w:eastAsia="Times New Roman"/>
          <w:b/>
          <w:sz w:val="28"/>
          <w:szCs w:val="28"/>
        </w:rPr>
        <w:t xml:space="preserve">I sent out </w:t>
      </w:r>
      <w:r w:rsidR="004B61C2">
        <w:rPr>
          <w:rFonts w:eastAsia="Times New Roman"/>
          <w:b/>
          <w:sz w:val="28"/>
          <w:szCs w:val="28"/>
        </w:rPr>
        <w:t xml:space="preserve">a rent increase notice </w:t>
      </w:r>
      <w:r w:rsidRPr="005144FC">
        <w:rPr>
          <w:rFonts w:eastAsia="Times New Roman"/>
          <w:b/>
          <w:sz w:val="28"/>
          <w:szCs w:val="28"/>
        </w:rPr>
        <w:t>in January effective date of June 1</w:t>
      </w:r>
      <w:r w:rsidRPr="005144FC">
        <w:rPr>
          <w:rFonts w:eastAsia="Times New Roman"/>
          <w:b/>
          <w:sz w:val="28"/>
          <w:szCs w:val="28"/>
          <w:vertAlign w:val="superscript"/>
        </w:rPr>
        <w:t>st</w:t>
      </w:r>
      <w:r w:rsidRPr="005144FC">
        <w:rPr>
          <w:rFonts w:eastAsia="Times New Roman"/>
          <w:b/>
          <w:sz w:val="28"/>
          <w:szCs w:val="28"/>
        </w:rPr>
        <w:t>.  If it is more than the 7+3.4% is it valid?  Does this now count toward my yearly rent increase or can I raise rent again within the year?</w:t>
      </w:r>
    </w:p>
    <w:p w14:paraId="2E3138C3" w14:textId="2E3049BF" w:rsidR="004B61C2" w:rsidRPr="004B61C2" w:rsidRDefault="004B61C2" w:rsidP="004B61C2">
      <w:pPr>
        <w:jc w:val="both"/>
        <w:rPr>
          <w:rFonts w:eastAsia="Times New Roman"/>
          <w:i/>
          <w:sz w:val="28"/>
          <w:szCs w:val="28"/>
        </w:rPr>
      </w:pPr>
    </w:p>
    <w:p w14:paraId="0D89DD56" w14:textId="3F93CBF6" w:rsidR="004B61C2" w:rsidRPr="004B61C2" w:rsidRDefault="00AF117A" w:rsidP="004B61C2">
      <w:pPr>
        <w:jc w:val="both"/>
        <w:rPr>
          <w:rFonts w:eastAsia="Times New Roman"/>
          <w:i/>
          <w:sz w:val="28"/>
          <w:szCs w:val="28"/>
        </w:rPr>
      </w:pPr>
      <w:r>
        <w:rPr>
          <w:rFonts w:eastAsia="Times New Roman"/>
          <w:i/>
          <w:sz w:val="28"/>
          <w:szCs w:val="28"/>
        </w:rPr>
        <w:t xml:space="preserve">Answer: </w:t>
      </w:r>
      <w:r w:rsidR="004B61C2" w:rsidRPr="004B61C2">
        <w:rPr>
          <w:rFonts w:eastAsia="Times New Roman"/>
          <w:i/>
          <w:sz w:val="28"/>
          <w:szCs w:val="28"/>
        </w:rPr>
        <w:t>My reading of the Bill is that it applies to rent increases mailed or delivered on or after the Effective Date of the ne</w:t>
      </w:r>
      <w:r w:rsidR="00751BE3">
        <w:rPr>
          <w:rFonts w:eastAsia="Times New Roman"/>
          <w:i/>
          <w:sz w:val="28"/>
          <w:szCs w:val="28"/>
        </w:rPr>
        <w:t>w</w:t>
      </w:r>
      <w:r w:rsidR="004B61C2" w:rsidRPr="004B61C2">
        <w:rPr>
          <w:rFonts w:eastAsia="Times New Roman"/>
          <w:i/>
          <w:sz w:val="28"/>
          <w:szCs w:val="28"/>
        </w:rPr>
        <w:t xml:space="preserve"> law, which was February 28, 2019, the date the Governor signed it.</w:t>
      </w:r>
      <w:r w:rsidR="0081288D">
        <w:rPr>
          <w:rFonts w:eastAsia="Times New Roman"/>
          <w:i/>
          <w:sz w:val="28"/>
          <w:szCs w:val="28"/>
        </w:rPr>
        <w:t xml:space="preserve"> Note that the Bill does </w:t>
      </w:r>
      <w:r w:rsidR="0081288D" w:rsidRPr="00751BE3">
        <w:rPr>
          <w:rFonts w:eastAsia="Times New Roman"/>
          <w:i/>
          <w:sz w:val="28"/>
          <w:szCs w:val="28"/>
          <w:u w:val="single"/>
        </w:rPr>
        <w:t>not</w:t>
      </w:r>
      <w:r w:rsidR="0081288D">
        <w:rPr>
          <w:rFonts w:eastAsia="Times New Roman"/>
          <w:i/>
          <w:sz w:val="28"/>
          <w:szCs w:val="28"/>
        </w:rPr>
        <w:t xml:space="preserve"> limit the frequency of rent increases after the first year.</w:t>
      </w:r>
    </w:p>
    <w:p w14:paraId="69957B9B" w14:textId="77777777" w:rsidR="005144FC" w:rsidRPr="005144FC" w:rsidRDefault="005144FC" w:rsidP="005144FC">
      <w:pPr>
        <w:pStyle w:val="ListParagraph"/>
        <w:ind w:left="0" w:firstLine="360"/>
        <w:jc w:val="both"/>
        <w:rPr>
          <w:rFonts w:eastAsia="Times New Roman"/>
          <w:b/>
          <w:sz w:val="28"/>
          <w:szCs w:val="28"/>
        </w:rPr>
      </w:pPr>
    </w:p>
    <w:p w14:paraId="33DC440A" w14:textId="4FA39F22" w:rsidR="00DD60B4" w:rsidRDefault="00DD60B4" w:rsidP="00E84BB2">
      <w:pPr>
        <w:pStyle w:val="ListParagraph"/>
        <w:numPr>
          <w:ilvl w:val="0"/>
          <w:numId w:val="3"/>
        </w:numPr>
        <w:ind w:left="0" w:firstLine="360"/>
        <w:jc w:val="both"/>
        <w:rPr>
          <w:rFonts w:eastAsia="Times New Roman"/>
          <w:b/>
          <w:sz w:val="28"/>
          <w:szCs w:val="28"/>
        </w:rPr>
      </w:pPr>
      <w:r w:rsidRPr="005144FC">
        <w:rPr>
          <w:rFonts w:eastAsia="Times New Roman"/>
          <w:b/>
          <w:sz w:val="28"/>
          <w:szCs w:val="28"/>
        </w:rPr>
        <w:t xml:space="preserve">Are RVs in RV parks exempt </w:t>
      </w:r>
      <w:r w:rsidR="0016270F">
        <w:rPr>
          <w:rFonts w:eastAsia="Times New Roman"/>
          <w:b/>
          <w:sz w:val="28"/>
          <w:szCs w:val="28"/>
        </w:rPr>
        <w:t xml:space="preserve">under the new law, </w:t>
      </w:r>
      <w:r w:rsidRPr="005144FC">
        <w:rPr>
          <w:rFonts w:eastAsia="Times New Roman"/>
          <w:b/>
          <w:sz w:val="28"/>
          <w:szCs w:val="28"/>
        </w:rPr>
        <w:t xml:space="preserve">or </w:t>
      </w:r>
      <w:r w:rsidR="0016270F">
        <w:rPr>
          <w:rFonts w:eastAsia="Times New Roman"/>
          <w:b/>
          <w:sz w:val="28"/>
          <w:szCs w:val="28"/>
        </w:rPr>
        <w:t xml:space="preserve">am I limited to issuing </w:t>
      </w:r>
      <w:r w:rsidRPr="005144FC">
        <w:rPr>
          <w:rFonts w:eastAsia="Times New Roman"/>
          <w:b/>
          <w:sz w:val="28"/>
          <w:szCs w:val="28"/>
        </w:rPr>
        <w:t xml:space="preserve">‘for cause’ </w:t>
      </w:r>
      <w:r w:rsidR="00751BE3">
        <w:rPr>
          <w:rFonts w:eastAsia="Times New Roman"/>
          <w:b/>
          <w:sz w:val="28"/>
          <w:szCs w:val="28"/>
        </w:rPr>
        <w:t xml:space="preserve">notices </w:t>
      </w:r>
      <w:r w:rsidRPr="005144FC">
        <w:rPr>
          <w:rFonts w:eastAsia="Times New Roman"/>
          <w:b/>
          <w:sz w:val="28"/>
          <w:szCs w:val="28"/>
        </w:rPr>
        <w:t xml:space="preserve">for </w:t>
      </w:r>
      <w:r w:rsidR="00F913F1">
        <w:rPr>
          <w:rFonts w:eastAsia="Times New Roman"/>
          <w:b/>
          <w:sz w:val="28"/>
          <w:szCs w:val="28"/>
        </w:rPr>
        <w:t>violators in</w:t>
      </w:r>
      <w:r w:rsidRPr="005144FC">
        <w:rPr>
          <w:rFonts w:eastAsia="Times New Roman"/>
          <w:b/>
          <w:sz w:val="28"/>
          <w:szCs w:val="28"/>
        </w:rPr>
        <w:t xml:space="preserve"> my RV park who have been there over a year?</w:t>
      </w:r>
    </w:p>
    <w:p w14:paraId="10B766EB" w14:textId="2FF35159" w:rsidR="0081288D" w:rsidRDefault="0081288D" w:rsidP="0081288D">
      <w:pPr>
        <w:jc w:val="both"/>
        <w:rPr>
          <w:rFonts w:eastAsia="Times New Roman"/>
          <w:b/>
          <w:sz w:val="28"/>
          <w:szCs w:val="28"/>
        </w:rPr>
      </w:pPr>
    </w:p>
    <w:p w14:paraId="0624E7BC" w14:textId="1D6CCEEE" w:rsidR="0081288D" w:rsidRPr="0081288D" w:rsidRDefault="0081288D" w:rsidP="0081288D">
      <w:pPr>
        <w:jc w:val="both"/>
        <w:rPr>
          <w:rFonts w:eastAsia="Times New Roman"/>
          <w:i/>
          <w:sz w:val="28"/>
          <w:szCs w:val="28"/>
        </w:rPr>
      </w:pPr>
      <w:r>
        <w:rPr>
          <w:rFonts w:eastAsia="Times New Roman"/>
          <w:i/>
          <w:sz w:val="28"/>
          <w:szCs w:val="28"/>
        </w:rPr>
        <w:t>Answer: RVs are not treated the same as manufactured homes. They are subject to the general landlord-tenant law</w:t>
      </w:r>
      <w:r w:rsidR="007C7B40">
        <w:rPr>
          <w:rFonts w:eastAsia="Times New Roman"/>
          <w:i/>
          <w:sz w:val="28"/>
          <w:szCs w:val="28"/>
        </w:rPr>
        <w:t xml:space="preserve"> (as opposed to the manufactured housing side of that law)</w:t>
      </w:r>
      <w:r>
        <w:rPr>
          <w:rFonts w:eastAsia="Times New Roman"/>
          <w:i/>
          <w:sz w:val="28"/>
          <w:szCs w:val="28"/>
        </w:rPr>
        <w:t>. This means that</w:t>
      </w:r>
      <w:r w:rsidR="00751BE3">
        <w:rPr>
          <w:rFonts w:eastAsia="Times New Roman"/>
          <w:i/>
          <w:sz w:val="28"/>
          <w:szCs w:val="28"/>
        </w:rPr>
        <w:t xml:space="preserve"> </w:t>
      </w:r>
      <w:r w:rsidR="007C7B40">
        <w:rPr>
          <w:rFonts w:eastAsia="Times New Roman"/>
          <w:i/>
          <w:sz w:val="28"/>
          <w:szCs w:val="28"/>
        </w:rPr>
        <w:t xml:space="preserve">if </w:t>
      </w:r>
      <w:r w:rsidR="00751BE3">
        <w:rPr>
          <w:rFonts w:eastAsia="Times New Roman"/>
          <w:i/>
          <w:sz w:val="28"/>
          <w:szCs w:val="28"/>
        </w:rPr>
        <w:t xml:space="preserve">an RV tenant is </w:t>
      </w:r>
      <w:r>
        <w:rPr>
          <w:rFonts w:eastAsia="Times New Roman"/>
          <w:i/>
          <w:sz w:val="28"/>
          <w:szCs w:val="28"/>
        </w:rPr>
        <w:t>renting the space on a month-to-month basis, you cannot increase the rent during the first year, and after that only with the issuance of a 90-day written notice. Also, after the first year, you cannot terminate without cause</w:t>
      </w:r>
      <w:r w:rsidR="00FA7F49">
        <w:rPr>
          <w:rFonts w:eastAsia="Times New Roman"/>
          <w:i/>
          <w:sz w:val="28"/>
          <w:szCs w:val="28"/>
        </w:rPr>
        <w:t xml:space="preserve">. </w:t>
      </w:r>
    </w:p>
    <w:p w14:paraId="41FA04D1" w14:textId="77777777" w:rsidR="005144FC" w:rsidRPr="005144FC" w:rsidRDefault="005144FC" w:rsidP="005144FC">
      <w:pPr>
        <w:ind w:firstLine="360"/>
        <w:jc w:val="both"/>
        <w:rPr>
          <w:rFonts w:eastAsia="Times New Roman"/>
          <w:b/>
          <w:sz w:val="28"/>
          <w:szCs w:val="28"/>
        </w:rPr>
      </w:pPr>
    </w:p>
    <w:p w14:paraId="242AF2E0" w14:textId="3F9890A9" w:rsidR="00DD60B4" w:rsidRDefault="00DD60B4" w:rsidP="00E84BB2">
      <w:pPr>
        <w:pStyle w:val="ListParagraph"/>
        <w:numPr>
          <w:ilvl w:val="0"/>
          <w:numId w:val="3"/>
        </w:numPr>
        <w:ind w:left="0" w:firstLine="360"/>
        <w:jc w:val="both"/>
        <w:rPr>
          <w:rFonts w:eastAsia="Times New Roman"/>
          <w:b/>
          <w:sz w:val="28"/>
          <w:szCs w:val="28"/>
        </w:rPr>
      </w:pPr>
      <w:r w:rsidRPr="005144FC">
        <w:rPr>
          <w:rFonts w:eastAsia="Times New Roman"/>
          <w:b/>
          <w:sz w:val="28"/>
          <w:szCs w:val="28"/>
        </w:rPr>
        <w:t>Under the new law, what notice do I give for a rent increase? Can I give a rent increase to a new resident who has been in the park for less than a year?</w:t>
      </w:r>
    </w:p>
    <w:p w14:paraId="5AF26FF8" w14:textId="5A1527C4" w:rsidR="002461A3" w:rsidRDefault="002461A3" w:rsidP="002461A3">
      <w:pPr>
        <w:jc w:val="both"/>
        <w:rPr>
          <w:rFonts w:eastAsia="Times New Roman"/>
          <w:b/>
          <w:sz w:val="28"/>
          <w:szCs w:val="28"/>
        </w:rPr>
      </w:pPr>
    </w:p>
    <w:p w14:paraId="78A367EF" w14:textId="269DA2E7" w:rsidR="002461A3" w:rsidRPr="002461A3" w:rsidRDefault="002461A3" w:rsidP="002461A3">
      <w:pPr>
        <w:jc w:val="both"/>
        <w:rPr>
          <w:rFonts w:eastAsia="Times New Roman"/>
          <w:i/>
          <w:sz w:val="28"/>
          <w:szCs w:val="28"/>
        </w:rPr>
      </w:pPr>
      <w:r w:rsidRPr="002461A3">
        <w:rPr>
          <w:rFonts w:eastAsia="Times New Roman"/>
          <w:i/>
          <w:sz w:val="28"/>
          <w:szCs w:val="28"/>
        </w:rPr>
        <w:t>Answer:</w:t>
      </w:r>
      <w:r>
        <w:rPr>
          <w:rFonts w:eastAsia="Times New Roman"/>
          <w:i/>
          <w:sz w:val="28"/>
          <w:szCs w:val="28"/>
        </w:rPr>
        <w:t xml:space="preserve">  Park landlords continue to give the same type of 90-day </w:t>
      </w:r>
      <w:r w:rsidR="006742E8">
        <w:rPr>
          <w:rFonts w:eastAsia="Times New Roman"/>
          <w:i/>
          <w:sz w:val="28"/>
          <w:szCs w:val="28"/>
        </w:rPr>
        <w:t xml:space="preserve">rent increase </w:t>
      </w:r>
      <w:r>
        <w:rPr>
          <w:rFonts w:eastAsia="Times New Roman"/>
          <w:i/>
          <w:sz w:val="28"/>
          <w:szCs w:val="28"/>
        </w:rPr>
        <w:t xml:space="preserve">notices as before under ORS 90.600. But now, as amended, the amount of the rent </w:t>
      </w:r>
      <w:r>
        <w:rPr>
          <w:rFonts w:eastAsia="Times New Roman"/>
          <w:i/>
          <w:sz w:val="28"/>
          <w:szCs w:val="28"/>
        </w:rPr>
        <w:lastRenderedPageBreak/>
        <w:t xml:space="preserve">increase cannot exceed more than the rent cap, (i.e. 7% over the current rent + the change in CPI from </w:t>
      </w:r>
      <w:r w:rsidR="00960A23">
        <w:rPr>
          <w:rFonts w:eastAsia="Times New Roman"/>
          <w:i/>
          <w:sz w:val="28"/>
          <w:szCs w:val="28"/>
        </w:rPr>
        <w:t>September</w:t>
      </w:r>
      <w:r>
        <w:rPr>
          <w:rFonts w:eastAsia="Times New Roman"/>
          <w:i/>
          <w:sz w:val="28"/>
          <w:szCs w:val="28"/>
        </w:rPr>
        <w:t xml:space="preserve"> 2018 which was 3.4% = 10.4%)</w:t>
      </w:r>
    </w:p>
    <w:p w14:paraId="14AF77B6" w14:textId="77777777" w:rsidR="005144FC" w:rsidRPr="005144FC" w:rsidRDefault="005144FC" w:rsidP="005144FC">
      <w:pPr>
        <w:pStyle w:val="ListParagraph"/>
        <w:ind w:left="0" w:firstLine="360"/>
        <w:jc w:val="both"/>
        <w:rPr>
          <w:rFonts w:eastAsia="Times New Roman"/>
          <w:b/>
          <w:sz w:val="28"/>
          <w:szCs w:val="28"/>
        </w:rPr>
      </w:pPr>
    </w:p>
    <w:p w14:paraId="1EB43A8B" w14:textId="375F0F7C" w:rsidR="00DD60B4" w:rsidRPr="005144FC" w:rsidRDefault="00DD60B4" w:rsidP="00E84BB2">
      <w:pPr>
        <w:pStyle w:val="ListParagraph"/>
        <w:numPr>
          <w:ilvl w:val="0"/>
          <w:numId w:val="3"/>
        </w:numPr>
        <w:ind w:left="0" w:firstLine="360"/>
        <w:jc w:val="both"/>
        <w:rPr>
          <w:rFonts w:eastAsia="Times New Roman"/>
          <w:b/>
          <w:sz w:val="28"/>
          <w:szCs w:val="28"/>
        </w:rPr>
      </w:pPr>
      <w:r w:rsidRPr="005144FC">
        <w:rPr>
          <w:rFonts w:eastAsia="Times New Roman"/>
          <w:b/>
          <w:sz w:val="28"/>
          <w:szCs w:val="28"/>
        </w:rPr>
        <w:t xml:space="preserve">If </w:t>
      </w:r>
      <w:r w:rsidR="006742E8">
        <w:rPr>
          <w:rFonts w:eastAsia="Times New Roman"/>
          <w:b/>
          <w:sz w:val="28"/>
          <w:szCs w:val="28"/>
        </w:rPr>
        <w:t xml:space="preserve">a new tenant is </w:t>
      </w:r>
      <w:r w:rsidRPr="005144FC">
        <w:rPr>
          <w:rFonts w:eastAsia="Times New Roman"/>
          <w:b/>
          <w:sz w:val="28"/>
          <w:szCs w:val="28"/>
        </w:rPr>
        <w:t>added to an existing rental agreement with resident</w:t>
      </w:r>
      <w:r w:rsidR="006742E8">
        <w:rPr>
          <w:rFonts w:eastAsia="Times New Roman"/>
          <w:b/>
          <w:sz w:val="28"/>
          <w:szCs w:val="28"/>
        </w:rPr>
        <w:t>s who</w:t>
      </w:r>
      <w:r w:rsidRPr="005144FC">
        <w:rPr>
          <w:rFonts w:eastAsia="Times New Roman"/>
          <w:b/>
          <w:sz w:val="28"/>
          <w:szCs w:val="28"/>
        </w:rPr>
        <w:t xml:space="preserve"> have been in the park for three years does that </w:t>
      </w:r>
      <w:r w:rsidR="006742E8">
        <w:rPr>
          <w:rFonts w:eastAsia="Times New Roman"/>
          <w:b/>
          <w:sz w:val="28"/>
          <w:szCs w:val="28"/>
        </w:rPr>
        <w:t>“</w:t>
      </w:r>
      <w:r w:rsidRPr="005144FC">
        <w:rPr>
          <w:rFonts w:eastAsia="Times New Roman"/>
          <w:b/>
          <w:sz w:val="28"/>
          <w:szCs w:val="28"/>
        </w:rPr>
        <w:t>reset</w:t>
      </w:r>
      <w:r w:rsidR="006742E8">
        <w:rPr>
          <w:rFonts w:eastAsia="Times New Roman"/>
          <w:b/>
          <w:sz w:val="28"/>
          <w:szCs w:val="28"/>
        </w:rPr>
        <w:t>”</w:t>
      </w:r>
      <w:r w:rsidRPr="005144FC">
        <w:rPr>
          <w:rFonts w:eastAsia="Times New Roman"/>
          <w:b/>
          <w:sz w:val="28"/>
          <w:szCs w:val="28"/>
        </w:rPr>
        <w:t xml:space="preserve"> the rental agreement so that I cannot give them a rent increase in the first year</w:t>
      </w:r>
      <w:r w:rsidR="006742E8">
        <w:rPr>
          <w:rFonts w:eastAsia="Times New Roman"/>
          <w:b/>
          <w:sz w:val="28"/>
          <w:szCs w:val="28"/>
        </w:rPr>
        <w:t xml:space="preserve"> of the new tenant’s occupancy</w:t>
      </w:r>
      <w:r w:rsidRPr="005144FC">
        <w:rPr>
          <w:rFonts w:eastAsia="Times New Roman"/>
          <w:b/>
          <w:sz w:val="28"/>
          <w:szCs w:val="28"/>
        </w:rPr>
        <w:t>? </w:t>
      </w:r>
    </w:p>
    <w:p w14:paraId="14FA3D84" w14:textId="04B07519" w:rsidR="005144FC" w:rsidRDefault="005144FC" w:rsidP="005144FC">
      <w:pPr>
        <w:pStyle w:val="ListParagraph"/>
        <w:ind w:left="0" w:firstLine="360"/>
        <w:jc w:val="both"/>
        <w:rPr>
          <w:rFonts w:eastAsia="Times New Roman"/>
          <w:b/>
          <w:sz w:val="28"/>
          <w:szCs w:val="28"/>
        </w:rPr>
      </w:pPr>
    </w:p>
    <w:p w14:paraId="0088E9F9" w14:textId="632B74AA" w:rsidR="00B977AD" w:rsidRDefault="00B977AD" w:rsidP="00B977AD">
      <w:pPr>
        <w:pStyle w:val="ListParagraph"/>
        <w:ind w:left="0"/>
        <w:jc w:val="both"/>
        <w:rPr>
          <w:rFonts w:eastAsia="Times New Roman"/>
          <w:i/>
          <w:sz w:val="28"/>
          <w:szCs w:val="28"/>
        </w:rPr>
      </w:pPr>
      <w:r w:rsidRPr="002461A3">
        <w:rPr>
          <w:rFonts w:eastAsia="Times New Roman"/>
          <w:i/>
          <w:sz w:val="28"/>
          <w:szCs w:val="28"/>
        </w:rPr>
        <w:t>Answer:</w:t>
      </w:r>
      <w:r>
        <w:rPr>
          <w:rFonts w:eastAsia="Times New Roman"/>
          <w:i/>
          <w:sz w:val="28"/>
          <w:szCs w:val="28"/>
        </w:rPr>
        <w:t xml:space="preserve">  This isn’t directly addressed in the Bill, but since it is the space that is being rented, and the home with tenants have been there three years, I don’t view this as a new tenancy. As I see it, rent increases going forward are for a </w:t>
      </w:r>
      <w:r w:rsidR="00F913F1">
        <w:rPr>
          <w:rFonts w:eastAsia="Times New Roman"/>
          <w:i/>
          <w:sz w:val="28"/>
          <w:szCs w:val="28"/>
        </w:rPr>
        <w:t xml:space="preserve">home that has been on the space to the same residents for </w:t>
      </w:r>
      <w:r w:rsidR="00960A23">
        <w:rPr>
          <w:rFonts w:eastAsia="Times New Roman"/>
          <w:i/>
          <w:sz w:val="28"/>
          <w:szCs w:val="28"/>
        </w:rPr>
        <w:t>three-year</w:t>
      </w:r>
      <w:r w:rsidR="00F913F1">
        <w:rPr>
          <w:rFonts w:eastAsia="Times New Roman"/>
          <w:i/>
          <w:sz w:val="28"/>
          <w:szCs w:val="28"/>
        </w:rPr>
        <w:t xml:space="preserve">s; bringing in </w:t>
      </w:r>
      <w:r w:rsidR="007C7B40">
        <w:rPr>
          <w:rFonts w:eastAsia="Times New Roman"/>
          <w:i/>
          <w:sz w:val="28"/>
          <w:szCs w:val="28"/>
        </w:rPr>
        <w:t xml:space="preserve">an additional tenant who </w:t>
      </w:r>
      <w:r>
        <w:rPr>
          <w:rFonts w:eastAsia="Times New Roman"/>
          <w:i/>
          <w:sz w:val="28"/>
          <w:szCs w:val="28"/>
        </w:rPr>
        <w:t>has been there less than one year</w:t>
      </w:r>
      <w:r w:rsidR="00F913F1">
        <w:rPr>
          <w:rFonts w:eastAsia="Times New Roman"/>
          <w:i/>
          <w:sz w:val="28"/>
          <w:szCs w:val="28"/>
        </w:rPr>
        <w:t xml:space="preserve"> is not a factor, since the base rent is for the home on the space, and is not measured on a per tenant basis</w:t>
      </w:r>
      <w:r>
        <w:rPr>
          <w:rFonts w:eastAsia="Times New Roman"/>
          <w:i/>
          <w:sz w:val="28"/>
          <w:szCs w:val="28"/>
        </w:rPr>
        <w:t xml:space="preserve">. </w:t>
      </w:r>
      <w:r w:rsidR="00425FC7">
        <w:rPr>
          <w:rFonts w:eastAsia="Times New Roman"/>
          <w:i/>
          <w:sz w:val="28"/>
          <w:szCs w:val="28"/>
        </w:rPr>
        <w:t>But this could be subject to differing interpretations.</w:t>
      </w:r>
    </w:p>
    <w:p w14:paraId="2C2069DB" w14:textId="7289C71B" w:rsidR="00B977AD" w:rsidRDefault="00B977AD" w:rsidP="00B977AD">
      <w:pPr>
        <w:pStyle w:val="ListParagraph"/>
        <w:ind w:left="0"/>
        <w:jc w:val="both"/>
        <w:rPr>
          <w:rFonts w:eastAsia="Times New Roman"/>
          <w:i/>
          <w:sz w:val="28"/>
          <w:szCs w:val="28"/>
        </w:rPr>
      </w:pPr>
    </w:p>
    <w:p w14:paraId="119890F3" w14:textId="47F59FFE" w:rsidR="005604C4" w:rsidRDefault="006742E8" w:rsidP="00B977AD">
      <w:pPr>
        <w:pStyle w:val="ListParagraph"/>
        <w:ind w:left="0"/>
        <w:jc w:val="both"/>
        <w:rPr>
          <w:rFonts w:eastAsia="Times New Roman"/>
          <w:i/>
          <w:sz w:val="28"/>
          <w:szCs w:val="28"/>
        </w:rPr>
      </w:pPr>
      <w:r>
        <w:rPr>
          <w:rFonts w:eastAsia="Times New Roman"/>
          <w:i/>
          <w:sz w:val="28"/>
          <w:szCs w:val="28"/>
        </w:rPr>
        <w:t xml:space="preserve">By the way, </w:t>
      </w:r>
      <w:r w:rsidR="00B977AD">
        <w:rPr>
          <w:rFonts w:eastAsia="Times New Roman"/>
          <w:i/>
          <w:sz w:val="28"/>
          <w:szCs w:val="28"/>
        </w:rPr>
        <w:t xml:space="preserve">I do not view the </w:t>
      </w:r>
      <w:r>
        <w:rPr>
          <w:rFonts w:eastAsia="Times New Roman"/>
          <w:i/>
          <w:sz w:val="28"/>
          <w:szCs w:val="28"/>
        </w:rPr>
        <w:t>first</w:t>
      </w:r>
      <w:r w:rsidR="00F913F1">
        <w:rPr>
          <w:rFonts w:eastAsia="Times New Roman"/>
          <w:i/>
          <w:sz w:val="28"/>
          <w:szCs w:val="28"/>
        </w:rPr>
        <w:t>-</w:t>
      </w:r>
      <w:r w:rsidR="00B977AD">
        <w:rPr>
          <w:rFonts w:eastAsia="Times New Roman"/>
          <w:i/>
          <w:sz w:val="28"/>
          <w:szCs w:val="28"/>
        </w:rPr>
        <w:t>year freeze on rent increases as particularly harsh, since the landlord can negotiate the first year’s rent</w:t>
      </w:r>
      <w:r w:rsidR="00960A23">
        <w:rPr>
          <w:rFonts w:eastAsia="Times New Roman"/>
          <w:i/>
          <w:sz w:val="28"/>
          <w:szCs w:val="28"/>
        </w:rPr>
        <w:t xml:space="preserve"> </w:t>
      </w:r>
      <w:r w:rsidR="00960A23" w:rsidRPr="006742E8">
        <w:rPr>
          <w:rFonts w:eastAsia="Times New Roman"/>
          <w:i/>
          <w:sz w:val="28"/>
          <w:szCs w:val="28"/>
          <w:u w:val="single"/>
        </w:rPr>
        <w:t>before</w:t>
      </w:r>
      <w:r w:rsidR="00960A23">
        <w:rPr>
          <w:rFonts w:eastAsia="Times New Roman"/>
          <w:i/>
          <w:sz w:val="28"/>
          <w:szCs w:val="28"/>
        </w:rPr>
        <w:t xml:space="preserve"> allowing the tenant to come in. For example, if current residents are paying $400/month for space rent, but you are planning a rent increase – or </w:t>
      </w:r>
      <w:r>
        <w:rPr>
          <w:rFonts w:eastAsia="Times New Roman"/>
          <w:i/>
          <w:sz w:val="28"/>
          <w:szCs w:val="28"/>
        </w:rPr>
        <w:t xml:space="preserve">have </w:t>
      </w:r>
      <w:r w:rsidR="00960A23">
        <w:rPr>
          <w:rFonts w:eastAsia="Times New Roman"/>
          <w:i/>
          <w:sz w:val="28"/>
          <w:szCs w:val="28"/>
        </w:rPr>
        <w:t>already issued one, for $</w:t>
      </w:r>
      <w:r>
        <w:rPr>
          <w:rFonts w:eastAsia="Times New Roman"/>
          <w:i/>
          <w:sz w:val="28"/>
          <w:szCs w:val="28"/>
        </w:rPr>
        <w:t>4</w:t>
      </w:r>
      <w:r w:rsidR="00960A23">
        <w:rPr>
          <w:rFonts w:eastAsia="Times New Roman"/>
          <w:i/>
          <w:sz w:val="28"/>
          <w:szCs w:val="28"/>
        </w:rPr>
        <w:t xml:space="preserve">0 dollars, </w:t>
      </w:r>
      <w:r w:rsidR="00F913F1">
        <w:rPr>
          <w:rFonts w:eastAsia="Times New Roman"/>
          <w:i/>
          <w:sz w:val="28"/>
          <w:szCs w:val="28"/>
        </w:rPr>
        <w:t xml:space="preserve">you </w:t>
      </w:r>
      <w:r w:rsidR="00425FC7">
        <w:rPr>
          <w:rFonts w:eastAsia="Times New Roman"/>
          <w:i/>
          <w:sz w:val="28"/>
          <w:szCs w:val="28"/>
        </w:rPr>
        <w:t xml:space="preserve">would presumably </w:t>
      </w:r>
      <w:r w:rsidR="00F913F1">
        <w:rPr>
          <w:rFonts w:eastAsia="Times New Roman"/>
          <w:i/>
          <w:sz w:val="28"/>
          <w:szCs w:val="28"/>
        </w:rPr>
        <w:t xml:space="preserve">accept the new tenant at </w:t>
      </w:r>
      <w:r w:rsidR="00960A23">
        <w:rPr>
          <w:rFonts w:eastAsia="Times New Roman"/>
          <w:i/>
          <w:sz w:val="28"/>
          <w:szCs w:val="28"/>
        </w:rPr>
        <w:t>$4</w:t>
      </w:r>
      <w:r>
        <w:rPr>
          <w:rFonts w:eastAsia="Times New Roman"/>
          <w:i/>
          <w:sz w:val="28"/>
          <w:szCs w:val="28"/>
        </w:rPr>
        <w:t>4</w:t>
      </w:r>
      <w:r w:rsidR="00960A23">
        <w:rPr>
          <w:rFonts w:eastAsia="Times New Roman"/>
          <w:i/>
          <w:sz w:val="28"/>
          <w:szCs w:val="28"/>
        </w:rPr>
        <w:t>0</w:t>
      </w:r>
      <w:r w:rsidR="00F913F1">
        <w:rPr>
          <w:rFonts w:eastAsia="Times New Roman"/>
          <w:i/>
          <w:sz w:val="28"/>
          <w:szCs w:val="28"/>
        </w:rPr>
        <w:t xml:space="preserve"> – thus making </w:t>
      </w:r>
      <w:r w:rsidR="00960A23">
        <w:rPr>
          <w:rFonts w:eastAsia="Times New Roman"/>
          <w:i/>
          <w:sz w:val="28"/>
          <w:szCs w:val="28"/>
        </w:rPr>
        <w:t xml:space="preserve">the </w:t>
      </w:r>
      <w:r w:rsidR="00F913F1">
        <w:rPr>
          <w:rFonts w:eastAsia="Times New Roman"/>
          <w:i/>
          <w:sz w:val="28"/>
          <w:szCs w:val="28"/>
        </w:rPr>
        <w:t>first</w:t>
      </w:r>
      <w:r w:rsidR="00960A23">
        <w:rPr>
          <w:rFonts w:eastAsia="Times New Roman"/>
          <w:i/>
          <w:sz w:val="28"/>
          <w:szCs w:val="28"/>
        </w:rPr>
        <w:t xml:space="preserve">-year </w:t>
      </w:r>
      <w:r w:rsidR="00F913F1">
        <w:rPr>
          <w:rFonts w:eastAsia="Times New Roman"/>
          <w:i/>
          <w:sz w:val="28"/>
          <w:szCs w:val="28"/>
        </w:rPr>
        <w:t>freeze irrelevant</w:t>
      </w:r>
      <w:r w:rsidR="00960A23">
        <w:rPr>
          <w:rFonts w:eastAsia="Times New Roman"/>
          <w:i/>
          <w:sz w:val="28"/>
          <w:szCs w:val="28"/>
        </w:rPr>
        <w:t>.</w:t>
      </w:r>
      <w:r w:rsidR="005604C4">
        <w:rPr>
          <w:rFonts w:eastAsia="Times New Roman"/>
          <w:i/>
          <w:sz w:val="28"/>
          <w:szCs w:val="28"/>
        </w:rPr>
        <w:t xml:space="preserve">  </w:t>
      </w:r>
    </w:p>
    <w:p w14:paraId="2AA83AC4" w14:textId="4DE165E0" w:rsidR="00B977AD" w:rsidRPr="005144FC" w:rsidRDefault="005604C4" w:rsidP="005604C4">
      <w:pPr>
        <w:pStyle w:val="ListParagraph"/>
        <w:ind w:left="0"/>
        <w:rPr>
          <w:rFonts w:eastAsia="Times New Roman"/>
          <w:b/>
          <w:sz w:val="28"/>
          <w:szCs w:val="28"/>
        </w:rPr>
      </w:pPr>
      <w:r>
        <w:rPr>
          <w:rFonts w:eastAsia="Times New Roman"/>
          <w:i/>
          <w:sz w:val="28"/>
          <w:szCs w:val="28"/>
        </w:rPr>
        <w:t xml:space="preserve">There is no “cap” on the amount of the first year’s rent, only the rent increases </w:t>
      </w:r>
      <w:r w:rsidR="007C7B40">
        <w:rPr>
          <w:rFonts w:eastAsia="Times New Roman"/>
          <w:i/>
          <w:sz w:val="28"/>
          <w:szCs w:val="28"/>
        </w:rPr>
        <w:t xml:space="preserve">assessed </w:t>
      </w:r>
      <w:r>
        <w:rPr>
          <w:rFonts w:eastAsia="Times New Roman"/>
          <w:i/>
          <w:sz w:val="28"/>
          <w:szCs w:val="28"/>
        </w:rPr>
        <w:t>thereafter, assuming a month-to-month tenancy.</w:t>
      </w:r>
      <w:r>
        <w:rPr>
          <w:rFonts w:eastAsia="Times New Roman"/>
          <w:i/>
          <w:sz w:val="28"/>
          <w:szCs w:val="28"/>
        </w:rPr>
        <w:br/>
      </w:r>
    </w:p>
    <w:p w14:paraId="03369EB2" w14:textId="5B0E2581" w:rsidR="00DD60B4" w:rsidRDefault="007C7B40" w:rsidP="00E84BB2">
      <w:pPr>
        <w:pStyle w:val="ListParagraph"/>
        <w:numPr>
          <w:ilvl w:val="0"/>
          <w:numId w:val="3"/>
        </w:numPr>
        <w:ind w:left="0" w:firstLine="360"/>
        <w:jc w:val="both"/>
        <w:rPr>
          <w:rFonts w:eastAsia="Times New Roman"/>
          <w:b/>
          <w:sz w:val="28"/>
          <w:szCs w:val="28"/>
        </w:rPr>
      </w:pPr>
      <w:r>
        <w:rPr>
          <w:rFonts w:eastAsia="Times New Roman"/>
          <w:b/>
          <w:sz w:val="28"/>
          <w:szCs w:val="28"/>
        </w:rPr>
        <w:t xml:space="preserve"> </w:t>
      </w:r>
      <w:r w:rsidR="00DD60B4" w:rsidRPr="005144FC">
        <w:rPr>
          <w:rFonts w:eastAsia="Times New Roman"/>
          <w:b/>
          <w:sz w:val="28"/>
          <w:szCs w:val="28"/>
        </w:rPr>
        <w:t>Now that we are in a rent control regulatory environment would you recommend leases over month-to-month rental agreements?</w:t>
      </w:r>
    </w:p>
    <w:p w14:paraId="733B6F74" w14:textId="6963BE51" w:rsidR="00960A23" w:rsidRDefault="00960A23" w:rsidP="00960A23">
      <w:pPr>
        <w:jc w:val="both"/>
        <w:rPr>
          <w:rFonts w:eastAsia="Times New Roman"/>
          <w:b/>
          <w:sz w:val="28"/>
          <w:szCs w:val="28"/>
        </w:rPr>
      </w:pPr>
    </w:p>
    <w:p w14:paraId="32891F5D" w14:textId="68AA6929" w:rsidR="00960A23" w:rsidRDefault="00AF117A" w:rsidP="00960A23">
      <w:pPr>
        <w:jc w:val="both"/>
        <w:rPr>
          <w:rFonts w:eastAsia="Times New Roman"/>
          <w:i/>
          <w:sz w:val="28"/>
          <w:szCs w:val="28"/>
        </w:rPr>
      </w:pPr>
      <w:r>
        <w:rPr>
          <w:rFonts w:eastAsia="Times New Roman"/>
          <w:i/>
          <w:sz w:val="28"/>
          <w:szCs w:val="28"/>
        </w:rPr>
        <w:t xml:space="preserve">Answer: </w:t>
      </w:r>
      <w:r w:rsidR="00960A23" w:rsidRPr="00960A23">
        <w:rPr>
          <w:rFonts w:eastAsia="Times New Roman"/>
          <w:i/>
          <w:sz w:val="28"/>
          <w:szCs w:val="28"/>
        </w:rPr>
        <w:t>Yes, as discussed above.</w:t>
      </w:r>
      <w:r w:rsidR="00F913F1">
        <w:rPr>
          <w:rFonts w:eastAsia="Times New Roman"/>
          <w:i/>
          <w:sz w:val="28"/>
          <w:szCs w:val="28"/>
        </w:rPr>
        <w:t xml:space="preserve"> </w:t>
      </w:r>
    </w:p>
    <w:p w14:paraId="6C9143CD" w14:textId="1BE2FD9F" w:rsidR="00491C90" w:rsidRDefault="00491C90" w:rsidP="00960A23">
      <w:pPr>
        <w:jc w:val="both"/>
        <w:rPr>
          <w:rFonts w:eastAsia="Times New Roman"/>
          <w:i/>
          <w:sz w:val="28"/>
          <w:szCs w:val="28"/>
        </w:rPr>
      </w:pPr>
    </w:p>
    <w:p w14:paraId="6E2870D6" w14:textId="12F40642" w:rsidR="00491C90" w:rsidRPr="00205FCF" w:rsidRDefault="00491C90" w:rsidP="00205FCF">
      <w:pPr>
        <w:jc w:val="center"/>
        <w:rPr>
          <w:rFonts w:asciiTheme="minorHAnsi" w:eastAsia="Times New Roman" w:hAnsiTheme="minorHAnsi" w:cstheme="minorHAnsi"/>
          <w:b/>
          <w:i/>
          <w:sz w:val="28"/>
          <w:szCs w:val="28"/>
        </w:rPr>
      </w:pPr>
      <w:r w:rsidRPr="00205FCF">
        <w:rPr>
          <w:rFonts w:asciiTheme="minorHAnsi" w:eastAsia="Times New Roman" w:hAnsiTheme="minorHAnsi" w:cstheme="minorHAnsi"/>
          <w:b/>
          <w:i/>
          <w:sz w:val="28"/>
          <w:szCs w:val="28"/>
          <w:u w:val="single"/>
        </w:rPr>
        <w:t xml:space="preserve">Comment on Portland’s </w:t>
      </w:r>
      <w:r w:rsidR="00205FCF">
        <w:rPr>
          <w:rFonts w:asciiTheme="minorHAnsi" w:eastAsia="Times New Roman" w:hAnsiTheme="minorHAnsi" w:cstheme="minorHAnsi"/>
          <w:b/>
          <w:i/>
          <w:sz w:val="28"/>
          <w:szCs w:val="28"/>
          <w:u w:val="single"/>
        </w:rPr>
        <w:t>L</w:t>
      </w:r>
      <w:r w:rsidRPr="00205FCF">
        <w:rPr>
          <w:rFonts w:asciiTheme="minorHAnsi" w:eastAsia="Times New Roman" w:hAnsiTheme="minorHAnsi" w:cstheme="minorHAnsi"/>
          <w:b/>
          <w:i/>
          <w:sz w:val="28"/>
          <w:szCs w:val="28"/>
          <w:u w:val="single"/>
        </w:rPr>
        <w:t>andlord-</w:t>
      </w:r>
      <w:r w:rsidR="00205FCF">
        <w:rPr>
          <w:rFonts w:asciiTheme="minorHAnsi" w:eastAsia="Times New Roman" w:hAnsiTheme="minorHAnsi" w:cstheme="minorHAnsi"/>
          <w:b/>
          <w:i/>
          <w:sz w:val="28"/>
          <w:szCs w:val="28"/>
          <w:u w:val="single"/>
        </w:rPr>
        <w:t>T</w:t>
      </w:r>
      <w:r w:rsidRPr="00205FCF">
        <w:rPr>
          <w:rFonts w:asciiTheme="minorHAnsi" w:eastAsia="Times New Roman" w:hAnsiTheme="minorHAnsi" w:cstheme="minorHAnsi"/>
          <w:b/>
          <w:i/>
          <w:sz w:val="28"/>
          <w:szCs w:val="28"/>
          <w:u w:val="single"/>
        </w:rPr>
        <w:t xml:space="preserve">enant </w:t>
      </w:r>
      <w:r w:rsidR="00205FCF">
        <w:rPr>
          <w:rFonts w:asciiTheme="minorHAnsi" w:eastAsia="Times New Roman" w:hAnsiTheme="minorHAnsi" w:cstheme="minorHAnsi"/>
          <w:b/>
          <w:i/>
          <w:sz w:val="28"/>
          <w:szCs w:val="28"/>
          <w:u w:val="single"/>
        </w:rPr>
        <w:t>O</w:t>
      </w:r>
      <w:r w:rsidRPr="00205FCF">
        <w:rPr>
          <w:rFonts w:asciiTheme="minorHAnsi" w:eastAsia="Times New Roman" w:hAnsiTheme="minorHAnsi" w:cstheme="minorHAnsi"/>
          <w:b/>
          <w:i/>
          <w:sz w:val="28"/>
          <w:szCs w:val="28"/>
          <w:u w:val="single"/>
        </w:rPr>
        <w:t>rdinances</w:t>
      </w:r>
    </w:p>
    <w:p w14:paraId="64BFED99" w14:textId="320AEFB5" w:rsidR="00205FCF" w:rsidRPr="00205FCF" w:rsidRDefault="00205FCF" w:rsidP="00960A23">
      <w:pPr>
        <w:jc w:val="both"/>
        <w:rPr>
          <w:rFonts w:asciiTheme="minorHAnsi" w:eastAsia="Times New Roman" w:hAnsiTheme="minorHAnsi" w:cstheme="minorHAnsi"/>
          <w:b/>
          <w:i/>
          <w:sz w:val="28"/>
          <w:szCs w:val="28"/>
        </w:rPr>
      </w:pPr>
    </w:p>
    <w:p w14:paraId="50D93A8F" w14:textId="77777777" w:rsidR="00DC2A16" w:rsidRPr="00DC2A16" w:rsidRDefault="00205FCF" w:rsidP="00DC2A16">
      <w:pPr>
        <w:pStyle w:val="Heading2"/>
        <w:shd w:val="clear" w:color="auto" w:fill="FFFFFF"/>
        <w:spacing w:before="0"/>
        <w:jc w:val="both"/>
        <w:textAlignment w:val="baseline"/>
        <w:rPr>
          <w:rStyle w:val="Emphasis"/>
          <w:rFonts w:asciiTheme="minorHAnsi" w:hAnsiTheme="minorHAnsi" w:cstheme="minorHAnsi"/>
          <w:b/>
          <w:i w:val="0"/>
          <w:color w:val="000000"/>
          <w:sz w:val="28"/>
          <w:szCs w:val="28"/>
          <w:bdr w:val="none" w:sz="0" w:space="0" w:color="auto" w:frame="1"/>
        </w:rPr>
      </w:pPr>
      <w:r w:rsidRPr="00DC2A16">
        <w:rPr>
          <w:rFonts w:asciiTheme="minorHAnsi" w:hAnsiTheme="minorHAnsi" w:cstheme="minorHAnsi"/>
          <w:b/>
          <w:color w:val="000000"/>
          <w:sz w:val="28"/>
          <w:szCs w:val="28"/>
        </w:rPr>
        <w:lastRenderedPageBreak/>
        <w:t xml:space="preserve">The Portland City Council </w:t>
      </w:r>
      <w:r w:rsidR="00DC2A16" w:rsidRPr="00DC2A16">
        <w:rPr>
          <w:rFonts w:asciiTheme="minorHAnsi" w:hAnsiTheme="minorHAnsi" w:cstheme="minorHAnsi"/>
          <w:b/>
          <w:color w:val="000000"/>
          <w:sz w:val="28"/>
          <w:szCs w:val="28"/>
        </w:rPr>
        <w:t xml:space="preserve">has an ordinance </w:t>
      </w:r>
      <w:r w:rsidRPr="00DC2A16">
        <w:rPr>
          <w:rFonts w:asciiTheme="minorHAnsi" w:hAnsiTheme="minorHAnsi" w:cstheme="minorHAnsi"/>
          <w:b/>
          <w:color w:val="000000"/>
          <w:sz w:val="28"/>
          <w:szCs w:val="28"/>
        </w:rPr>
        <w:t>provid</w:t>
      </w:r>
      <w:r w:rsidR="00DC2A16" w:rsidRPr="00DC2A16">
        <w:rPr>
          <w:rFonts w:asciiTheme="minorHAnsi" w:hAnsiTheme="minorHAnsi" w:cstheme="minorHAnsi"/>
          <w:b/>
          <w:color w:val="000000"/>
          <w:sz w:val="28"/>
          <w:szCs w:val="28"/>
        </w:rPr>
        <w:t>ing</w:t>
      </w:r>
      <w:r w:rsidRPr="00DC2A16">
        <w:rPr>
          <w:rFonts w:asciiTheme="minorHAnsi" w:hAnsiTheme="minorHAnsi" w:cstheme="minorHAnsi"/>
          <w:b/>
          <w:color w:val="000000"/>
          <w:sz w:val="28"/>
          <w:szCs w:val="28"/>
        </w:rPr>
        <w:t xml:space="preserve"> that rent increases of </w:t>
      </w:r>
      <w:r w:rsidRPr="00DC2A16">
        <w:rPr>
          <w:rFonts w:asciiTheme="minorHAnsi" w:hAnsiTheme="minorHAnsi" w:cstheme="minorHAnsi"/>
          <w:b/>
          <w:color w:val="000000"/>
          <w:sz w:val="28"/>
          <w:szCs w:val="28"/>
          <w:u w:val="single"/>
        </w:rPr>
        <w:t>10 percent or higher over a 12-month period</w:t>
      </w:r>
      <w:r w:rsidRPr="00DC2A16">
        <w:rPr>
          <w:rFonts w:asciiTheme="minorHAnsi" w:hAnsiTheme="minorHAnsi" w:cstheme="minorHAnsi"/>
          <w:b/>
          <w:color w:val="000000"/>
          <w:sz w:val="28"/>
          <w:szCs w:val="28"/>
        </w:rPr>
        <w:t xml:space="preserve"> trigger a landlord duty to pay “relocation assistance”.  </w:t>
      </w:r>
      <w:r w:rsidRPr="00DC2A16">
        <w:rPr>
          <w:rStyle w:val="Emphasis"/>
          <w:rFonts w:asciiTheme="minorHAnsi" w:hAnsiTheme="minorHAnsi" w:cstheme="minorHAnsi"/>
          <w:b/>
          <w:i w:val="0"/>
          <w:color w:val="000000"/>
          <w:sz w:val="28"/>
          <w:szCs w:val="28"/>
          <w:bdr w:val="none" w:sz="0" w:space="0" w:color="auto" w:frame="1"/>
        </w:rPr>
        <w:t xml:space="preserve"> </w:t>
      </w:r>
    </w:p>
    <w:p w14:paraId="2D782CD5" w14:textId="77777777" w:rsidR="00DC2A16" w:rsidRPr="00DC2A16" w:rsidRDefault="00DC2A16" w:rsidP="00DC2A16">
      <w:pPr>
        <w:pStyle w:val="Heading2"/>
        <w:shd w:val="clear" w:color="auto" w:fill="FFFFFF"/>
        <w:spacing w:before="0"/>
        <w:jc w:val="both"/>
        <w:textAlignment w:val="baseline"/>
        <w:rPr>
          <w:rStyle w:val="Emphasis"/>
          <w:rFonts w:asciiTheme="minorHAnsi" w:hAnsiTheme="minorHAnsi" w:cstheme="minorHAnsi"/>
          <w:b/>
          <w:i w:val="0"/>
          <w:color w:val="000000"/>
          <w:sz w:val="28"/>
          <w:szCs w:val="28"/>
          <w:bdr w:val="none" w:sz="0" w:space="0" w:color="auto" w:frame="1"/>
        </w:rPr>
      </w:pPr>
    </w:p>
    <w:p w14:paraId="0A4043C1" w14:textId="6F8AD64C" w:rsidR="00205FCF" w:rsidRPr="00DC2A16" w:rsidRDefault="00D24B6D" w:rsidP="00DC2A16">
      <w:pPr>
        <w:pStyle w:val="Heading2"/>
        <w:shd w:val="clear" w:color="auto" w:fill="FFFFFF"/>
        <w:spacing w:before="0"/>
        <w:jc w:val="both"/>
        <w:textAlignment w:val="baseline"/>
        <w:rPr>
          <w:rStyle w:val="Emphasis"/>
          <w:rFonts w:asciiTheme="minorHAnsi" w:hAnsiTheme="minorHAnsi" w:cstheme="minorHAnsi"/>
          <w:b/>
          <w:i w:val="0"/>
          <w:color w:val="000000"/>
          <w:sz w:val="28"/>
          <w:szCs w:val="28"/>
          <w:bdr w:val="none" w:sz="0" w:space="0" w:color="auto" w:frame="1"/>
        </w:rPr>
      </w:pPr>
      <w:r w:rsidRPr="00DC2A16">
        <w:rPr>
          <w:rStyle w:val="Emphasis"/>
          <w:rFonts w:asciiTheme="minorHAnsi" w:hAnsiTheme="minorHAnsi" w:cstheme="minorHAnsi"/>
          <w:b/>
          <w:i w:val="0"/>
          <w:color w:val="000000"/>
          <w:sz w:val="28"/>
          <w:szCs w:val="28"/>
          <w:bdr w:val="none" w:sz="0" w:space="0" w:color="auto" w:frame="1"/>
        </w:rPr>
        <w:t xml:space="preserve">Curiously, the assistance amounts </w:t>
      </w:r>
      <w:r w:rsidR="00B301A8">
        <w:rPr>
          <w:rStyle w:val="Emphasis"/>
          <w:rFonts w:asciiTheme="minorHAnsi" w:hAnsiTheme="minorHAnsi" w:cstheme="minorHAnsi"/>
          <w:b/>
          <w:i w:val="0"/>
          <w:color w:val="000000"/>
          <w:sz w:val="28"/>
          <w:szCs w:val="28"/>
          <w:bdr w:val="none" w:sz="0" w:space="0" w:color="auto" w:frame="1"/>
        </w:rPr>
        <w:t xml:space="preserve">are only based upon size of a dwelling unit and do not address park spaces. They </w:t>
      </w:r>
      <w:r w:rsidRPr="00DC2A16">
        <w:rPr>
          <w:rStyle w:val="Emphasis"/>
          <w:rFonts w:asciiTheme="minorHAnsi" w:hAnsiTheme="minorHAnsi" w:cstheme="minorHAnsi"/>
          <w:b/>
          <w:i w:val="0"/>
          <w:color w:val="000000"/>
          <w:sz w:val="28"/>
          <w:szCs w:val="28"/>
          <w:bdr w:val="none" w:sz="0" w:space="0" w:color="auto" w:frame="1"/>
        </w:rPr>
        <w:t xml:space="preserve">are staggered, </w:t>
      </w:r>
      <w:r w:rsidR="00B301A8">
        <w:rPr>
          <w:rStyle w:val="Emphasis"/>
          <w:rFonts w:asciiTheme="minorHAnsi" w:hAnsiTheme="minorHAnsi" w:cstheme="minorHAnsi"/>
          <w:b/>
          <w:i w:val="0"/>
          <w:color w:val="000000"/>
          <w:sz w:val="28"/>
          <w:szCs w:val="28"/>
          <w:bdr w:val="none" w:sz="0" w:space="0" w:color="auto" w:frame="1"/>
        </w:rPr>
        <w:t xml:space="preserve">depending </w:t>
      </w:r>
      <w:r w:rsidRPr="00DC2A16">
        <w:rPr>
          <w:rStyle w:val="Emphasis"/>
          <w:rFonts w:asciiTheme="minorHAnsi" w:hAnsiTheme="minorHAnsi" w:cstheme="minorHAnsi"/>
          <w:b/>
          <w:i w:val="0"/>
          <w:color w:val="000000"/>
          <w:sz w:val="28"/>
          <w:szCs w:val="28"/>
          <w:bdr w:val="none" w:sz="0" w:space="0" w:color="auto" w:frame="1"/>
        </w:rPr>
        <w:t>on whether the rental is a studio/single room ($2</w:t>
      </w:r>
      <w:r w:rsidR="00DC2A16">
        <w:rPr>
          <w:rStyle w:val="Emphasis"/>
          <w:rFonts w:asciiTheme="minorHAnsi" w:hAnsiTheme="minorHAnsi" w:cstheme="minorHAnsi"/>
          <w:b/>
          <w:i w:val="0"/>
          <w:color w:val="000000"/>
          <w:sz w:val="28"/>
          <w:szCs w:val="28"/>
          <w:bdr w:val="none" w:sz="0" w:space="0" w:color="auto" w:frame="1"/>
        </w:rPr>
        <w:t>,</w:t>
      </w:r>
      <w:r w:rsidRPr="00DC2A16">
        <w:rPr>
          <w:rStyle w:val="Emphasis"/>
          <w:rFonts w:asciiTheme="minorHAnsi" w:hAnsiTheme="minorHAnsi" w:cstheme="minorHAnsi"/>
          <w:b/>
          <w:i w:val="0"/>
          <w:color w:val="000000"/>
          <w:sz w:val="28"/>
          <w:szCs w:val="28"/>
          <w:bdr w:val="none" w:sz="0" w:space="0" w:color="auto" w:frame="1"/>
        </w:rPr>
        <w:t>900); one-bedroom ($3</w:t>
      </w:r>
      <w:r w:rsidR="00DC2A16">
        <w:rPr>
          <w:rStyle w:val="Emphasis"/>
          <w:rFonts w:asciiTheme="minorHAnsi" w:hAnsiTheme="minorHAnsi" w:cstheme="minorHAnsi"/>
          <w:b/>
          <w:i w:val="0"/>
          <w:color w:val="000000"/>
          <w:sz w:val="28"/>
          <w:szCs w:val="28"/>
          <w:bdr w:val="none" w:sz="0" w:space="0" w:color="auto" w:frame="1"/>
        </w:rPr>
        <w:t>,</w:t>
      </w:r>
      <w:r w:rsidRPr="00DC2A16">
        <w:rPr>
          <w:rStyle w:val="Emphasis"/>
          <w:rFonts w:asciiTheme="minorHAnsi" w:hAnsiTheme="minorHAnsi" w:cstheme="minorHAnsi"/>
          <w:b/>
          <w:i w:val="0"/>
          <w:color w:val="000000"/>
          <w:sz w:val="28"/>
          <w:szCs w:val="28"/>
          <w:bdr w:val="none" w:sz="0" w:space="0" w:color="auto" w:frame="1"/>
        </w:rPr>
        <w:t>300</w:t>
      </w:r>
      <w:r w:rsidR="00DC2A16">
        <w:rPr>
          <w:rStyle w:val="Emphasis"/>
          <w:rFonts w:asciiTheme="minorHAnsi" w:hAnsiTheme="minorHAnsi" w:cstheme="minorHAnsi"/>
          <w:b/>
          <w:i w:val="0"/>
          <w:color w:val="000000"/>
          <w:sz w:val="28"/>
          <w:szCs w:val="28"/>
          <w:bdr w:val="none" w:sz="0" w:space="0" w:color="auto" w:frame="1"/>
        </w:rPr>
        <w:t>)</w:t>
      </w:r>
      <w:r w:rsidRPr="00DC2A16">
        <w:rPr>
          <w:rStyle w:val="Emphasis"/>
          <w:rFonts w:asciiTheme="minorHAnsi" w:hAnsiTheme="minorHAnsi" w:cstheme="minorHAnsi"/>
          <w:b/>
          <w:i w:val="0"/>
          <w:color w:val="000000"/>
          <w:sz w:val="28"/>
          <w:szCs w:val="28"/>
          <w:bdr w:val="none" w:sz="0" w:space="0" w:color="auto" w:frame="1"/>
        </w:rPr>
        <w:t>; two bedroom ($4</w:t>
      </w:r>
      <w:r w:rsidR="00DC2A16">
        <w:rPr>
          <w:rStyle w:val="Emphasis"/>
          <w:rFonts w:asciiTheme="minorHAnsi" w:hAnsiTheme="minorHAnsi" w:cstheme="minorHAnsi"/>
          <w:b/>
          <w:i w:val="0"/>
          <w:color w:val="000000"/>
          <w:sz w:val="28"/>
          <w:szCs w:val="28"/>
          <w:bdr w:val="none" w:sz="0" w:space="0" w:color="auto" w:frame="1"/>
        </w:rPr>
        <w:t>,</w:t>
      </w:r>
      <w:r w:rsidRPr="00DC2A16">
        <w:rPr>
          <w:rStyle w:val="Emphasis"/>
          <w:rFonts w:asciiTheme="minorHAnsi" w:hAnsiTheme="minorHAnsi" w:cstheme="minorHAnsi"/>
          <w:b/>
          <w:i w:val="0"/>
          <w:color w:val="000000"/>
          <w:sz w:val="28"/>
          <w:szCs w:val="28"/>
          <w:bdr w:val="none" w:sz="0" w:space="0" w:color="auto" w:frame="1"/>
        </w:rPr>
        <w:t xml:space="preserve">200) or </w:t>
      </w:r>
      <w:r w:rsidR="00DC2A16">
        <w:rPr>
          <w:rStyle w:val="Emphasis"/>
          <w:rFonts w:asciiTheme="minorHAnsi" w:hAnsiTheme="minorHAnsi" w:cstheme="minorHAnsi"/>
          <w:b/>
          <w:i w:val="0"/>
          <w:color w:val="000000"/>
          <w:sz w:val="28"/>
          <w:szCs w:val="28"/>
          <w:bdr w:val="none" w:sz="0" w:space="0" w:color="auto" w:frame="1"/>
        </w:rPr>
        <w:t>t</w:t>
      </w:r>
      <w:r w:rsidRPr="00DC2A16">
        <w:rPr>
          <w:rStyle w:val="Emphasis"/>
          <w:rFonts w:asciiTheme="minorHAnsi" w:hAnsiTheme="minorHAnsi" w:cstheme="minorHAnsi"/>
          <w:b/>
          <w:i w:val="0"/>
          <w:color w:val="000000"/>
          <w:sz w:val="28"/>
          <w:szCs w:val="28"/>
          <w:bdr w:val="none" w:sz="0" w:space="0" w:color="auto" w:frame="1"/>
        </w:rPr>
        <w:t>hree bedroom or larger ($4</w:t>
      </w:r>
      <w:r w:rsidR="00DC2A16">
        <w:rPr>
          <w:rStyle w:val="Emphasis"/>
          <w:rFonts w:asciiTheme="minorHAnsi" w:hAnsiTheme="minorHAnsi" w:cstheme="minorHAnsi"/>
          <w:b/>
          <w:i w:val="0"/>
          <w:color w:val="000000"/>
          <w:sz w:val="28"/>
          <w:szCs w:val="28"/>
          <w:bdr w:val="none" w:sz="0" w:space="0" w:color="auto" w:frame="1"/>
        </w:rPr>
        <w:t>,</w:t>
      </w:r>
      <w:r w:rsidRPr="00DC2A16">
        <w:rPr>
          <w:rStyle w:val="Emphasis"/>
          <w:rFonts w:asciiTheme="minorHAnsi" w:hAnsiTheme="minorHAnsi" w:cstheme="minorHAnsi"/>
          <w:b/>
          <w:i w:val="0"/>
          <w:color w:val="000000"/>
          <w:sz w:val="28"/>
          <w:szCs w:val="28"/>
          <w:bdr w:val="none" w:sz="0" w:space="0" w:color="auto" w:frame="1"/>
        </w:rPr>
        <w:t xml:space="preserve">500).  Additionally, if </w:t>
      </w:r>
      <w:r w:rsidR="00B301A8">
        <w:rPr>
          <w:rStyle w:val="Emphasis"/>
          <w:rFonts w:asciiTheme="minorHAnsi" w:hAnsiTheme="minorHAnsi" w:cstheme="minorHAnsi"/>
          <w:b/>
          <w:i w:val="0"/>
          <w:color w:val="000000"/>
          <w:sz w:val="28"/>
          <w:szCs w:val="28"/>
          <w:bdr w:val="none" w:sz="0" w:space="0" w:color="auto" w:frame="1"/>
        </w:rPr>
        <w:t xml:space="preserve">the duty to pay </w:t>
      </w:r>
      <w:r w:rsidRPr="00DC2A16">
        <w:rPr>
          <w:rStyle w:val="Emphasis"/>
          <w:rFonts w:asciiTheme="minorHAnsi" w:hAnsiTheme="minorHAnsi" w:cstheme="minorHAnsi"/>
          <w:b/>
          <w:i w:val="0"/>
          <w:color w:val="000000"/>
          <w:sz w:val="28"/>
          <w:szCs w:val="28"/>
          <w:bdr w:val="none" w:sz="0" w:space="0" w:color="auto" w:frame="1"/>
        </w:rPr>
        <w:t xml:space="preserve">relocation assistance is </w:t>
      </w:r>
      <w:r w:rsidR="00DC2A16">
        <w:rPr>
          <w:rStyle w:val="Emphasis"/>
          <w:rFonts w:asciiTheme="minorHAnsi" w:hAnsiTheme="minorHAnsi" w:cstheme="minorHAnsi"/>
          <w:b/>
          <w:i w:val="0"/>
          <w:color w:val="000000"/>
          <w:sz w:val="28"/>
          <w:szCs w:val="28"/>
          <w:bdr w:val="none" w:sz="0" w:space="0" w:color="auto" w:frame="1"/>
        </w:rPr>
        <w:t>triggered</w:t>
      </w:r>
      <w:r w:rsidRPr="00DC2A16">
        <w:rPr>
          <w:rStyle w:val="Emphasis"/>
          <w:rFonts w:asciiTheme="minorHAnsi" w:hAnsiTheme="minorHAnsi" w:cstheme="minorHAnsi"/>
          <w:b/>
          <w:i w:val="0"/>
          <w:color w:val="000000"/>
          <w:sz w:val="28"/>
          <w:szCs w:val="28"/>
          <w:bdr w:val="none" w:sz="0" w:space="0" w:color="auto" w:frame="1"/>
        </w:rPr>
        <w:t>, t</w:t>
      </w:r>
      <w:r w:rsidR="00205FCF" w:rsidRPr="00DC2A16">
        <w:rPr>
          <w:rFonts w:asciiTheme="minorHAnsi" w:hAnsiTheme="minorHAnsi" w:cstheme="minorHAnsi"/>
          <w:b/>
          <w:color w:val="000000"/>
          <w:sz w:val="28"/>
          <w:szCs w:val="28"/>
        </w:rPr>
        <w:t xml:space="preserve">enants must receive a written notice </w:t>
      </w:r>
      <w:r w:rsidR="00205FCF" w:rsidRPr="00DC2A16">
        <w:rPr>
          <w:rFonts w:asciiTheme="minorHAnsi" w:hAnsiTheme="minorHAnsi" w:cstheme="minorHAnsi"/>
          <w:b/>
          <w:color w:val="000000"/>
          <w:sz w:val="28"/>
          <w:szCs w:val="28"/>
          <w:bdr w:val="none" w:sz="0" w:space="0" w:color="auto" w:frame="1"/>
        </w:rPr>
        <w:t>at least 90 days prior to the effective date, including: </w:t>
      </w:r>
      <w:r w:rsidRPr="00DC2A16">
        <w:rPr>
          <w:rFonts w:asciiTheme="minorHAnsi" w:hAnsiTheme="minorHAnsi" w:cstheme="minorHAnsi"/>
          <w:b/>
          <w:color w:val="000000"/>
          <w:sz w:val="28"/>
          <w:szCs w:val="28"/>
          <w:bdr w:val="none" w:sz="0" w:space="0" w:color="auto" w:frame="1"/>
        </w:rPr>
        <w:t xml:space="preserve">(a) </w:t>
      </w:r>
      <w:r w:rsidR="00DC2A16">
        <w:rPr>
          <w:rFonts w:asciiTheme="minorHAnsi" w:hAnsiTheme="minorHAnsi" w:cstheme="minorHAnsi"/>
          <w:b/>
          <w:color w:val="000000"/>
          <w:sz w:val="28"/>
          <w:szCs w:val="28"/>
          <w:bdr w:val="none" w:sz="0" w:space="0" w:color="auto" w:frame="1"/>
        </w:rPr>
        <w:t>A</w:t>
      </w:r>
      <w:r w:rsidR="00205FCF" w:rsidRPr="00DC2A16">
        <w:rPr>
          <w:rFonts w:asciiTheme="minorHAnsi" w:hAnsiTheme="minorHAnsi" w:cstheme="minorHAnsi"/>
          <w:b/>
          <w:color w:val="000000"/>
          <w:sz w:val="28"/>
          <w:szCs w:val="28"/>
        </w:rPr>
        <w:t xml:space="preserve"> description of their rights and obligations, and</w:t>
      </w:r>
      <w:r w:rsidRPr="00DC2A16">
        <w:rPr>
          <w:rFonts w:asciiTheme="minorHAnsi" w:hAnsiTheme="minorHAnsi" w:cstheme="minorHAnsi"/>
          <w:b/>
          <w:color w:val="000000"/>
          <w:sz w:val="28"/>
          <w:szCs w:val="28"/>
        </w:rPr>
        <w:t xml:space="preserve"> (b) </w:t>
      </w:r>
      <w:r w:rsidR="00DC2A16">
        <w:rPr>
          <w:rFonts w:asciiTheme="minorHAnsi" w:hAnsiTheme="minorHAnsi" w:cstheme="minorHAnsi"/>
          <w:b/>
          <w:color w:val="000000"/>
          <w:sz w:val="28"/>
          <w:szCs w:val="28"/>
        </w:rPr>
        <w:t>T</w:t>
      </w:r>
      <w:r w:rsidR="00205FCF" w:rsidRPr="00DC2A16">
        <w:rPr>
          <w:rFonts w:asciiTheme="minorHAnsi" w:hAnsiTheme="minorHAnsi" w:cstheme="minorHAnsi"/>
          <w:b/>
          <w:color w:val="000000"/>
          <w:sz w:val="28"/>
          <w:szCs w:val="28"/>
        </w:rPr>
        <w:t>he amount of Relocation Assistance they are eligible to receive.</w:t>
      </w:r>
      <w:r w:rsidR="00205FCF" w:rsidRPr="00DC2A16">
        <w:rPr>
          <w:rStyle w:val="Emphasis"/>
          <w:rFonts w:asciiTheme="minorHAnsi" w:hAnsiTheme="minorHAnsi" w:cstheme="minorHAnsi"/>
          <w:b/>
          <w:i w:val="0"/>
          <w:color w:val="000000"/>
          <w:sz w:val="28"/>
          <w:szCs w:val="28"/>
          <w:bdr w:val="none" w:sz="0" w:space="0" w:color="auto" w:frame="1"/>
        </w:rPr>
        <w:t> </w:t>
      </w:r>
    </w:p>
    <w:p w14:paraId="78CB98F4" w14:textId="35B7CADE" w:rsidR="00D24B6D" w:rsidRPr="00DC2A16" w:rsidRDefault="00D24B6D" w:rsidP="00DC2A16">
      <w:pPr>
        <w:rPr>
          <w:sz w:val="28"/>
          <w:szCs w:val="28"/>
        </w:rPr>
      </w:pPr>
    </w:p>
    <w:p w14:paraId="66EE74CC" w14:textId="28731435" w:rsidR="00D24B6D" w:rsidRDefault="00D24B6D" w:rsidP="00DC2A16">
      <w:pPr>
        <w:jc w:val="both"/>
        <w:rPr>
          <w:b/>
          <w:sz w:val="28"/>
          <w:szCs w:val="28"/>
        </w:rPr>
      </w:pPr>
      <w:r w:rsidRPr="00DC2A16">
        <w:rPr>
          <w:b/>
          <w:sz w:val="28"/>
          <w:szCs w:val="28"/>
        </w:rPr>
        <w:t xml:space="preserve">SB608 imposes a rent cap of </w:t>
      </w:r>
      <w:r w:rsidRPr="00DC2A16">
        <w:rPr>
          <w:rFonts w:eastAsia="Times New Roman"/>
          <w:b/>
          <w:sz w:val="28"/>
          <w:szCs w:val="28"/>
        </w:rPr>
        <w:t>7% over the current rent + the change in CPI from September 2018</w:t>
      </w:r>
      <w:r w:rsidR="00DC2A16" w:rsidRPr="00DC2A16">
        <w:rPr>
          <w:rFonts w:eastAsia="Times New Roman"/>
          <w:b/>
          <w:sz w:val="28"/>
          <w:szCs w:val="28"/>
        </w:rPr>
        <w:t xml:space="preserve"> (</w:t>
      </w:r>
      <w:r w:rsidRPr="00DC2A16">
        <w:rPr>
          <w:rFonts w:eastAsia="Times New Roman"/>
          <w:b/>
          <w:sz w:val="28"/>
          <w:szCs w:val="28"/>
        </w:rPr>
        <w:t>which was 3.4%</w:t>
      </w:r>
      <w:r w:rsidR="00DC2A16" w:rsidRPr="00DC2A16">
        <w:rPr>
          <w:rFonts w:eastAsia="Times New Roman"/>
          <w:b/>
          <w:sz w:val="28"/>
          <w:szCs w:val="28"/>
        </w:rPr>
        <w:t>)</w:t>
      </w:r>
      <w:r w:rsidRPr="00DC2A16">
        <w:rPr>
          <w:rFonts w:eastAsia="Times New Roman"/>
          <w:b/>
          <w:sz w:val="28"/>
          <w:szCs w:val="28"/>
        </w:rPr>
        <w:t xml:space="preserve"> </w:t>
      </w:r>
      <w:r w:rsidR="00DC2A16" w:rsidRPr="00DC2A16">
        <w:rPr>
          <w:rFonts w:eastAsia="Times New Roman"/>
          <w:b/>
          <w:sz w:val="28"/>
          <w:szCs w:val="28"/>
        </w:rPr>
        <w:t xml:space="preserve">totaling </w:t>
      </w:r>
      <w:r w:rsidRPr="00DC2A16">
        <w:rPr>
          <w:rFonts w:eastAsia="Times New Roman"/>
          <w:b/>
          <w:sz w:val="28"/>
          <w:szCs w:val="28"/>
        </w:rPr>
        <w:t>10.4%</w:t>
      </w:r>
      <w:r w:rsidRPr="00DC2A16">
        <w:rPr>
          <w:b/>
          <w:sz w:val="28"/>
          <w:szCs w:val="28"/>
        </w:rPr>
        <w:t xml:space="preserve">. Accordingly, landlords with parks in the City of Portland should keep their rent increase </w:t>
      </w:r>
      <w:r w:rsidRPr="00DC2A16">
        <w:rPr>
          <w:b/>
          <w:sz w:val="28"/>
          <w:szCs w:val="28"/>
          <w:u w:val="single"/>
        </w:rPr>
        <w:t>under</w:t>
      </w:r>
      <w:r w:rsidR="00DC2A16" w:rsidRPr="00DC2A16">
        <w:rPr>
          <w:b/>
          <w:sz w:val="28"/>
          <w:szCs w:val="28"/>
          <w:u w:val="single"/>
        </w:rPr>
        <w:t xml:space="preserve"> </w:t>
      </w:r>
      <w:r w:rsidRPr="00DC2A16">
        <w:rPr>
          <w:b/>
          <w:sz w:val="28"/>
          <w:szCs w:val="28"/>
          <w:u w:val="single"/>
        </w:rPr>
        <w:t>10%</w:t>
      </w:r>
      <w:r w:rsidRPr="00DC2A16">
        <w:rPr>
          <w:b/>
          <w:sz w:val="28"/>
          <w:szCs w:val="28"/>
        </w:rPr>
        <w:t xml:space="preserve">, since the SB608 rent cap is currently higher than 10%. It is currently unclear how relocation assistance </w:t>
      </w:r>
      <w:r w:rsidR="00DC2A16" w:rsidRPr="00DC2A16">
        <w:rPr>
          <w:b/>
          <w:sz w:val="28"/>
          <w:szCs w:val="28"/>
        </w:rPr>
        <w:t xml:space="preserve">charges </w:t>
      </w:r>
      <w:r w:rsidRPr="00DC2A16">
        <w:rPr>
          <w:b/>
          <w:sz w:val="28"/>
          <w:szCs w:val="28"/>
        </w:rPr>
        <w:t>would be interpreted</w:t>
      </w:r>
      <w:r w:rsidR="00DC2A16" w:rsidRPr="00DC2A16">
        <w:rPr>
          <w:b/>
          <w:sz w:val="28"/>
          <w:szCs w:val="28"/>
        </w:rPr>
        <w:t xml:space="preserve"> for parks in the City of Portland that violate the 10% or higher cap</w:t>
      </w:r>
      <w:r w:rsidRPr="00DC2A16">
        <w:rPr>
          <w:b/>
          <w:sz w:val="28"/>
          <w:szCs w:val="28"/>
        </w:rPr>
        <w:t>.</w:t>
      </w:r>
    </w:p>
    <w:p w14:paraId="61DAF5A7" w14:textId="280EF94C" w:rsidR="00B301A8" w:rsidRDefault="00B301A8" w:rsidP="00DC2A16">
      <w:pPr>
        <w:jc w:val="both"/>
        <w:rPr>
          <w:b/>
          <w:sz w:val="28"/>
          <w:szCs w:val="28"/>
        </w:rPr>
      </w:pPr>
    </w:p>
    <w:p w14:paraId="617EB0E0" w14:textId="6B7F63AB" w:rsidR="00B301A8" w:rsidRPr="00DC2A16" w:rsidRDefault="00B301A8" w:rsidP="00DC2A16">
      <w:pPr>
        <w:jc w:val="both"/>
        <w:rPr>
          <w:b/>
          <w:sz w:val="28"/>
          <w:szCs w:val="28"/>
        </w:rPr>
      </w:pPr>
      <w:r>
        <w:rPr>
          <w:b/>
          <w:sz w:val="28"/>
          <w:szCs w:val="28"/>
        </w:rPr>
        <w:t xml:space="preserve">For more information: </w:t>
      </w:r>
      <w:hyperlink r:id="rId13" w:history="1">
        <w:r w:rsidRPr="00731147">
          <w:rPr>
            <w:rStyle w:val="Hyperlink"/>
            <w:b/>
            <w:sz w:val="28"/>
            <w:szCs w:val="28"/>
          </w:rPr>
          <w:t>https://www.portlandoregon.gov/phb/74544</w:t>
        </w:r>
      </w:hyperlink>
      <w:r>
        <w:rPr>
          <w:b/>
          <w:sz w:val="28"/>
          <w:szCs w:val="28"/>
        </w:rPr>
        <w:t xml:space="preserve"> </w:t>
      </w:r>
    </w:p>
    <w:p w14:paraId="689AC686" w14:textId="77777777" w:rsidR="00205FCF" w:rsidRPr="00DC2A16" w:rsidRDefault="00205FCF" w:rsidP="00DC2A16">
      <w:pPr>
        <w:jc w:val="both"/>
        <w:rPr>
          <w:rFonts w:asciiTheme="minorHAnsi" w:eastAsia="Times New Roman" w:hAnsiTheme="minorHAnsi" w:cstheme="minorHAnsi"/>
          <w:b/>
          <w:i/>
          <w:sz w:val="28"/>
          <w:szCs w:val="28"/>
        </w:rPr>
      </w:pPr>
    </w:p>
    <w:p w14:paraId="6D194EF0" w14:textId="77777777" w:rsidR="005144FC" w:rsidRPr="00DC2A16" w:rsidRDefault="005144FC" w:rsidP="00DC2A16">
      <w:pPr>
        <w:ind w:firstLine="360"/>
        <w:jc w:val="both"/>
        <w:rPr>
          <w:rFonts w:asciiTheme="minorHAnsi" w:eastAsia="Times New Roman" w:hAnsiTheme="minorHAnsi" w:cstheme="minorHAnsi"/>
          <w:b/>
          <w:i/>
          <w:sz w:val="28"/>
          <w:szCs w:val="28"/>
        </w:rPr>
      </w:pPr>
    </w:p>
    <w:p w14:paraId="6172CEFB" w14:textId="77777777" w:rsidR="00DD60B4" w:rsidRPr="00205FCF" w:rsidRDefault="00DD60B4" w:rsidP="005144FC">
      <w:pPr>
        <w:ind w:firstLine="360"/>
        <w:jc w:val="both"/>
        <w:rPr>
          <w:rFonts w:asciiTheme="minorHAnsi" w:eastAsia="Times New Roman" w:hAnsiTheme="minorHAnsi" w:cstheme="minorHAnsi"/>
          <w:b/>
          <w:i/>
          <w:sz w:val="28"/>
          <w:szCs w:val="28"/>
        </w:rPr>
      </w:pPr>
    </w:p>
    <w:p w14:paraId="0C7B557F" w14:textId="77777777" w:rsidR="00C01F9D" w:rsidRPr="00205FCF" w:rsidRDefault="00C01F9D" w:rsidP="005144FC">
      <w:pPr>
        <w:ind w:firstLine="360"/>
        <w:jc w:val="both"/>
        <w:rPr>
          <w:rFonts w:asciiTheme="minorHAnsi" w:hAnsiTheme="minorHAnsi" w:cstheme="minorHAnsi"/>
          <w:b/>
          <w:i/>
          <w:sz w:val="28"/>
          <w:szCs w:val="28"/>
        </w:rPr>
      </w:pPr>
    </w:p>
    <w:p w14:paraId="3B7F3C2E" w14:textId="77777777" w:rsidR="005144FC" w:rsidRPr="00DD60B4" w:rsidRDefault="005144FC">
      <w:pPr>
        <w:ind w:firstLine="360"/>
        <w:jc w:val="both"/>
        <w:rPr>
          <w:sz w:val="28"/>
          <w:szCs w:val="28"/>
        </w:rPr>
      </w:pPr>
    </w:p>
    <w:sectPr w:rsidR="005144FC" w:rsidRPr="00DD60B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9D6442" w14:textId="77777777" w:rsidR="003628A6" w:rsidRDefault="003628A6" w:rsidP="00750FC6">
      <w:r>
        <w:separator/>
      </w:r>
    </w:p>
  </w:endnote>
  <w:endnote w:type="continuationSeparator" w:id="0">
    <w:p w14:paraId="4A0D93D9" w14:textId="77777777" w:rsidR="003628A6" w:rsidRDefault="003628A6" w:rsidP="00750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10463"/>
      <w:docPartObj>
        <w:docPartGallery w:val="Page Numbers (Bottom of Page)"/>
        <w:docPartUnique/>
      </w:docPartObj>
    </w:sdtPr>
    <w:sdtEndPr>
      <w:rPr>
        <w:noProof/>
      </w:rPr>
    </w:sdtEndPr>
    <w:sdtContent>
      <w:p w14:paraId="7C1EDE3B" w14:textId="0C71D262" w:rsidR="003106EE" w:rsidRDefault="003106EE" w:rsidP="00F913F1">
        <w:pPr>
          <w:pStyle w:val="Footer"/>
          <w:tabs>
            <w:tab w:val="clear" w:pos="4680"/>
            <w:tab w:val="left" w:pos="0"/>
            <w:tab w:val="center" w:pos="9360"/>
          </w:tabs>
          <w:jc w:val="center"/>
        </w:pPr>
        <w:r>
          <w:fldChar w:fldCharType="begin"/>
        </w:r>
        <w:r>
          <w:instrText xml:space="preserve"> PAGE   \* MERGEFORMAT </w:instrText>
        </w:r>
        <w:r>
          <w:fldChar w:fldCharType="separate"/>
        </w:r>
        <w:r w:rsidR="004E4F78">
          <w:rPr>
            <w:noProof/>
          </w:rPr>
          <w:t>2</w:t>
        </w:r>
        <w:r>
          <w:rPr>
            <w:noProof/>
          </w:rPr>
          <w:fldChar w:fldCharType="end"/>
        </w:r>
      </w:p>
    </w:sdtContent>
  </w:sdt>
  <w:p w14:paraId="3D5D905E" w14:textId="77777777" w:rsidR="003106EE" w:rsidRDefault="003106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1B06E" w14:textId="77777777" w:rsidR="003628A6" w:rsidRDefault="003628A6" w:rsidP="00750FC6">
      <w:r>
        <w:separator/>
      </w:r>
    </w:p>
  </w:footnote>
  <w:footnote w:type="continuationSeparator" w:id="0">
    <w:p w14:paraId="39B858D1" w14:textId="77777777" w:rsidR="003628A6" w:rsidRDefault="003628A6" w:rsidP="00750FC6">
      <w:r>
        <w:continuationSeparator/>
      </w:r>
    </w:p>
  </w:footnote>
  <w:footnote w:id="1">
    <w:p w14:paraId="0FBE9F4E" w14:textId="43EA0F22" w:rsidR="00585184" w:rsidRDefault="00585184" w:rsidP="00585184">
      <w:pPr>
        <w:pStyle w:val="FootnoteText"/>
        <w:jc w:val="both"/>
      </w:pPr>
      <w:r>
        <w:rPr>
          <w:rStyle w:val="FootnoteReference"/>
        </w:rPr>
        <w:footnoteRef/>
      </w:r>
      <w:r w:rsidRPr="00585184">
        <w:t xml:space="preserve"> </w:t>
      </w:r>
      <w:r w:rsidRPr="00585184">
        <w:rPr>
          <w:rFonts w:eastAsia="Times New Roman"/>
          <w:i/>
        </w:rPr>
        <w:t>7% over the current rent + the change in CPI</w:t>
      </w:r>
      <w:r w:rsidRPr="00585184">
        <w:rPr>
          <w:rStyle w:val="FootnoteReference"/>
          <w:rFonts w:eastAsia="Times New Roman"/>
          <w:i/>
        </w:rPr>
        <w:footnoteRef/>
      </w:r>
      <w:r w:rsidRPr="00585184">
        <w:rPr>
          <w:rFonts w:eastAsia="Times New Roman"/>
          <w:i/>
        </w:rPr>
        <w:t xml:space="preserve"> for September 2018 which was 3.4% = 10.4%</w:t>
      </w:r>
    </w:p>
  </w:footnote>
  <w:footnote w:id="2">
    <w:p w14:paraId="5AF15FE4" w14:textId="06AA5241" w:rsidR="00A26737" w:rsidRDefault="00A26737">
      <w:pPr>
        <w:pStyle w:val="FootnoteText"/>
      </w:pPr>
      <w:r>
        <w:rPr>
          <w:rStyle w:val="FootnoteReference"/>
        </w:rPr>
        <w:footnoteRef/>
      </w:r>
      <w:r>
        <w:t xml:space="preserve"> This is not to say that I suggest pushing the envelope</w:t>
      </w:r>
      <w:r w:rsidR="00585184">
        <w:t xml:space="preserve"> by instituting large </w:t>
      </w:r>
      <w:r>
        <w:t>rent increase</w:t>
      </w:r>
      <w:r w:rsidR="00585184">
        <w:t xml:space="preserve">s, as doing so </w:t>
      </w:r>
      <w:r>
        <w:t xml:space="preserve">will only be noticed by the legislature </w:t>
      </w:r>
      <w:r w:rsidR="00585184">
        <w:t>who will come back and amend SB608</w:t>
      </w:r>
      <w:r>
        <w:t xml:space="preserve"> </w:t>
      </w:r>
      <w:r w:rsidR="009B4533">
        <w:t>the</w:t>
      </w:r>
      <w:r w:rsidR="00585184">
        <w:t xml:space="preserve"> following </w:t>
      </w:r>
      <w:r>
        <w:t>legislative year.</w:t>
      </w:r>
    </w:p>
  </w:footnote>
  <w:footnote w:id="3">
    <w:p w14:paraId="707D459A" w14:textId="5F1FFF2E" w:rsidR="00047959" w:rsidRDefault="00047959">
      <w:pPr>
        <w:pStyle w:val="FootnoteText"/>
      </w:pPr>
      <w:r>
        <w:rPr>
          <w:rStyle w:val="FootnoteReference"/>
        </w:rPr>
        <w:footnoteRef/>
      </w:r>
      <w:r>
        <w:t xml:space="preserve"> </w:t>
      </w:r>
      <w:r>
        <w:rPr>
          <w:rFonts w:eastAsia="Times New Roman"/>
        </w:rPr>
        <w:t>ORS 9</w:t>
      </w:r>
      <w:r w:rsidRPr="00047959">
        <w:rPr>
          <w:rFonts w:eastAsia="Times New Roman"/>
        </w:rPr>
        <w:t>0.505-90.875</w:t>
      </w:r>
      <w:r>
        <w:rPr>
          <w:rFonts w:eastAsia="Times New Roman"/>
        </w:rPr>
        <w:t>.</w:t>
      </w:r>
    </w:p>
  </w:footnote>
  <w:footnote w:id="4">
    <w:p w14:paraId="16F061C9" w14:textId="10344DF1" w:rsidR="00B977AD" w:rsidRPr="007E19EC" w:rsidRDefault="002461A3" w:rsidP="00B977AD">
      <w:pPr>
        <w:pStyle w:val="Heading1"/>
        <w:tabs>
          <w:tab w:val="left" w:pos="939"/>
          <w:tab w:val="left" w:pos="940"/>
        </w:tabs>
        <w:ind w:left="0" w:firstLine="0"/>
        <w:jc w:val="both"/>
        <w:rPr>
          <w:rFonts w:asciiTheme="minorHAnsi" w:hAnsiTheme="minorHAnsi" w:cstheme="minorHAnsi"/>
          <w:b w:val="0"/>
          <w:sz w:val="20"/>
          <w:szCs w:val="20"/>
        </w:rPr>
      </w:pPr>
      <w:r>
        <w:rPr>
          <w:rStyle w:val="FootnoteReference"/>
        </w:rPr>
        <w:footnoteRef/>
      </w:r>
      <w:r>
        <w:t xml:space="preserve"> </w:t>
      </w:r>
      <w:r w:rsidR="00B977AD" w:rsidRPr="00B977AD">
        <w:rPr>
          <w:b w:val="0"/>
        </w:rPr>
        <w:t>Per the Bill, th</w:t>
      </w:r>
      <w:r w:rsidR="00B977AD" w:rsidRPr="007E19EC">
        <w:rPr>
          <w:rFonts w:asciiTheme="minorHAnsi" w:hAnsiTheme="minorHAnsi" w:cstheme="minorHAnsi"/>
          <w:b w:val="0"/>
          <w:sz w:val="20"/>
          <w:szCs w:val="20"/>
        </w:rPr>
        <w:t xml:space="preserve">e term </w:t>
      </w:r>
      <w:r w:rsidR="00B977AD">
        <w:rPr>
          <w:rFonts w:asciiTheme="minorHAnsi" w:hAnsiTheme="minorHAnsi" w:cstheme="minorHAnsi"/>
          <w:b w:val="0"/>
          <w:sz w:val="20"/>
          <w:szCs w:val="20"/>
        </w:rPr>
        <w:t xml:space="preserve">“CPI” or </w:t>
      </w:r>
      <w:r w:rsidR="00B977AD" w:rsidRPr="007E19EC">
        <w:rPr>
          <w:rFonts w:asciiTheme="minorHAnsi" w:hAnsiTheme="minorHAnsi" w:cstheme="minorHAnsi"/>
          <w:b w:val="0"/>
          <w:sz w:val="20"/>
          <w:szCs w:val="20"/>
        </w:rPr>
        <w:t>“consumer price index” refers</w:t>
      </w:r>
      <w:r w:rsidR="00B977AD" w:rsidRPr="007E19EC">
        <w:rPr>
          <w:rFonts w:asciiTheme="minorHAnsi" w:hAnsiTheme="minorHAnsi" w:cstheme="minorHAnsi"/>
          <w:b w:val="0"/>
          <w:spacing w:val="6"/>
          <w:sz w:val="20"/>
          <w:szCs w:val="20"/>
        </w:rPr>
        <w:t xml:space="preserve"> </w:t>
      </w:r>
      <w:r w:rsidR="00B977AD" w:rsidRPr="007E19EC">
        <w:rPr>
          <w:rFonts w:asciiTheme="minorHAnsi" w:hAnsiTheme="minorHAnsi" w:cstheme="minorHAnsi"/>
          <w:b w:val="0"/>
          <w:sz w:val="20"/>
          <w:szCs w:val="20"/>
        </w:rPr>
        <w:t xml:space="preserve">to </w:t>
      </w:r>
      <w:r w:rsidR="00B977AD">
        <w:rPr>
          <w:rFonts w:asciiTheme="minorHAnsi" w:hAnsiTheme="minorHAnsi" w:cstheme="minorHAnsi"/>
          <w:b w:val="0"/>
          <w:sz w:val="20"/>
          <w:szCs w:val="20"/>
        </w:rPr>
        <w:t>“…</w:t>
      </w:r>
      <w:r w:rsidR="00B977AD" w:rsidRPr="007E19EC">
        <w:rPr>
          <w:rFonts w:asciiTheme="minorHAnsi" w:hAnsiTheme="minorHAnsi" w:cstheme="minorHAnsi"/>
          <w:b w:val="0"/>
          <w:sz w:val="20"/>
          <w:szCs w:val="20"/>
        </w:rPr>
        <w:t>the annual 12-month average change in the Consumer Price Index for All Urban</w:t>
      </w:r>
      <w:r w:rsidR="00B977AD" w:rsidRPr="007E19EC">
        <w:rPr>
          <w:rFonts w:asciiTheme="minorHAnsi" w:hAnsiTheme="minorHAnsi" w:cstheme="minorHAnsi"/>
          <w:b w:val="0"/>
          <w:spacing w:val="20"/>
          <w:sz w:val="20"/>
          <w:szCs w:val="20"/>
        </w:rPr>
        <w:t xml:space="preserve"> </w:t>
      </w:r>
      <w:r w:rsidR="00B977AD" w:rsidRPr="007E19EC">
        <w:rPr>
          <w:rFonts w:asciiTheme="minorHAnsi" w:hAnsiTheme="minorHAnsi" w:cstheme="minorHAnsi"/>
          <w:b w:val="0"/>
          <w:sz w:val="20"/>
          <w:szCs w:val="20"/>
        </w:rPr>
        <w:t>Consumers, West Region (All Items), as published by the Bureau of Labor Statistics of the United</w:t>
      </w:r>
      <w:r w:rsidR="00B977AD" w:rsidRPr="007E19EC">
        <w:rPr>
          <w:rFonts w:asciiTheme="minorHAnsi" w:hAnsiTheme="minorHAnsi" w:cstheme="minorHAnsi"/>
          <w:b w:val="0"/>
          <w:spacing w:val="17"/>
          <w:sz w:val="20"/>
          <w:szCs w:val="20"/>
        </w:rPr>
        <w:t xml:space="preserve"> </w:t>
      </w:r>
      <w:r w:rsidR="00B977AD" w:rsidRPr="007E19EC">
        <w:rPr>
          <w:rFonts w:asciiTheme="minorHAnsi" w:hAnsiTheme="minorHAnsi" w:cstheme="minorHAnsi"/>
          <w:b w:val="0"/>
          <w:sz w:val="20"/>
          <w:szCs w:val="20"/>
        </w:rPr>
        <w:t>States Department</w:t>
      </w:r>
      <w:r w:rsidR="00B977AD" w:rsidRPr="007E19EC">
        <w:rPr>
          <w:rFonts w:asciiTheme="minorHAnsi" w:hAnsiTheme="minorHAnsi" w:cstheme="minorHAnsi"/>
          <w:b w:val="0"/>
          <w:spacing w:val="23"/>
          <w:sz w:val="20"/>
          <w:szCs w:val="20"/>
        </w:rPr>
        <w:t xml:space="preserve"> </w:t>
      </w:r>
      <w:r w:rsidR="00B977AD" w:rsidRPr="007E19EC">
        <w:rPr>
          <w:rFonts w:asciiTheme="minorHAnsi" w:hAnsiTheme="minorHAnsi" w:cstheme="minorHAnsi"/>
          <w:b w:val="0"/>
          <w:sz w:val="20"/>
          <w:szCs w:val="20"/>
        </w:rPr>
        <w:t>of</w:t>
      </w:r>
      <w:r w:rsidR="00B977AD" w:rsidRPr="007E19EC">
        <w:rPr>
          <w:rFonts w:asciiTheme="minorHAnsi" w:hAnsiTheme="minorHAnsi" w:cstheme="minorHAnsi"/>
          <w:b w:val="0"/>
          <w:spacing w:val="23"/>
          <w:sz w:val="20"/>
          <w:szCs w:val="20"/>
        </w:rPr>
        <w:t xml:space="preserve"> </w:t>
      </w:r>
      <w:r w:rsidR="00B977AD" w:rsidRPr="007E19EC">
        <w:rPr>
          <w:rFonts w:asciiTheme="minorHAnsi" w:hAnsiTheme="minorHAnsi" w:cstheme="minorHAnsi"/>
          <w:b w:val="0"/>
          <w:sz w:val="20"/>
          <w:szCs w:val="20"/>
        </w:rPr>
        <w:t>Labor</w:t>
      </w:r>
      <w:r w:rsidR="00B977AD" w:rsidRPr="007E19EC">
        <w:rPr>
          <w:rFonts w:asciiTheme="minorHAnsi" w:hAnsiTheme="minorHAnsi" w:cstheme="minorHAnsi"/>
          <w:b w:val="0"/>
          <w:spacing w:val="23"/>
          <w:sz w:val="20"/>
          <w:szCs w:val="20"/>
        </w:rPr>
        <w:t xml:space="preserve"> </w:t>
      </w:r>
      <w:r w:rsidR="00B977AD" w:rsidRPr="007E19EC">
        <w:rPr>
          <w:rFonts w:asciiTheme="minorHAnsi" w:hAnsiTheme="minorHAnsi" w:cstheme="minorHAnsi"/>
          <w:b w:val="0"/>
          <w:sz w:val="20"/>
          <w:szCs w:val="20"/>
        </w:rPr>
        <w:t>in</w:t>
      </w:r>
      <w:r w:rsidR="00B977AD" w:rsidRPr="007E19EC">
        <w:rPr>
          <w:rFonts w:asciiTheme="minorHAnsi" w:hAnsiTheme="minorHAnsi" w:cstheme="minorHAnsi"/>
          <w:b w:val="0"/>
          <w:spacing w:val="23"/>
          <w:sz w:val="20"/>
          <w:szCs w:val="20"/>
        </w:rPr>
        <w:t xml:space="preserve"> </w:t>
      </w:r>
      <w:r w:rsidR="00B977AD" w:rsidRPr="007E19EC">
        <w:rPr>
          <w:rFonts w:asciiTheme="minorHAnsi" w:hAnsiTheme="minorHAnsi" w:cstheme="minorHAnsi"/>
          <w:b w:val="0"/>
          <w:sz w:val="20"/>
          <w:szCs w:val="20"/>
        </w:rPr>
        <w:t>September</w:t>
      </w:r>
      <w:r w:rsidR="00B977AD" w:rsidRPr="007E19EC">
        <w:rPr>
          <w:rFonts w:asciiTheme="minorHAnsi" w:hAnsiTheme="minorHAnsi" w:cstheme="minorHAnsi"/>
          <w:b w:val="0"/>
          <w:spacing w:val="23"/>
          <w:sz w:val="20"/>
          <w:szCs w:val="20"/>
        </w:rPr>
        <w:t xml:space="preserve"> </w:t>
      </w:r>
      <w:r w:rsidR="00B977AD" w:rsidRPr="007E19EC">
        <w:rPr>
          <w:rFonts w:asciiTheme="minorHAnsi" w:hAnsiTheme="minorHAnsi" w:cstheme="minorHAnsi"/>
          <w:b w:val="0"/>
          <w:sz w:val="20"/>
          <w:szCs w:val="20"/>
        </w:rPr>
        <w:t>of</w:t>
      </w:r>
      <w:r w:rsidR="00B977AD" w:rsidRPr="007E19EC">
        <w:rPr>
          <w:rFonts w:asciiTheme="minorHAnsi" w:hAnsiTheme="minorHAnsi" w:cstheme="minorHAnsi"/>
          <w:b w:val="0"/>
          <w:spacing w:val="23"/>
          <w:sz w:val="20"/>
          <w:szCs w:val="20"/>
        </w:rPr>
        <w:t xml:space="preserve"> </w:t>
      </w:r>
      <w:r w:rsidR="00B977AD" w:rsidRPr="007E19EC">
        <w:rPr>
          <w:rFonts w:asciiTheme="minorHAnsi" w:hAnsiTheme="minorHAnsi" w:cstheme="minorHAnsi"/>
          <w:b w:val="0"/>
          <w:sz w:val="20"/>
          <w:szCs w:val="20"/>
        </w:rPr>
        <w:t>the</w:t>
      </w:r>
      <w:r w:rsidR="00B977AD" w:rsidRPr="007E19EC">
        <w:rPr>
          <w:rFonts w:asciiTheme="minorHAnsi" w:hAnsiTheme="minorHAnsi" w:cstheme="minorHAnsi"/>
          <w:b w:val="0"/>
          <w:spacing w:val="24"/>
          <w:sz w:val="20"/>
          <w:szCs w:val="20"/>
        </w:rPr>
        <w:t xml:space="preserve"> </w:t>
      </w:r>
      <w:r w:rsidR="00B977AD" w:rsidRPr="007E19EC">
        <w:rPr>
          <w:rFonts w:asciiTheme="minorHAnsi" w:hAnsiTheme="minorHAnsi" w:cstheme="minorHAnsi"/>
          <w:b w:val="0"/>
          <w:sz w:val="20"/>
          <w:szCs w:val="20"/>
        </w:rPr>
        <w:t>prior</w:t>
      </w:r>
      <w:r w:rsidR="00B977AD" w:rsidRPr="007E19EC">
        <w:rPr>
          <w:rFonts w:asciiTheme="minorHAnsi" w:hAnsiTheme="minorHAnsi" w:cstheme="minorHAnsi"/>
          <w:b w:val="0"/>
          <w:spacing w:val="23"/>
          <w:sz w:val="20"/>
          <w:szCs w:val="20"/>
        </w:rPr>
        <w:t xml:space="preserve"> </w:t>
      </w:r>
      <w:r w:rsidR="00B977AD" w:rsidRPr="007E19EC">
        <w:rPr>
          <w:rFonts w:asciiTheme="minorHAnsi" w:hAnsiTheme="minorHAnsi" w:cstheme="minorHAnsi"/>
          <w:b w:val="0"/>
          <w:sz w:val="20"/>
          <w:szCs w:val="20"/>
        </w:rPr>
        <w:t>calendar</w:t>
      </w:r>
      <w:r w:rsidR="00B977AD" w:rsidRPr="007E19EC">
        <w:rPr>
          <w:rFonts w:asciiTheme="minorHAnsi" w:hAnsiTheme="minorHAnsi" w:cstheme="minorHAnsi"/>
          <w:b w:val="0"/>
          <w:spacing w:val="23"/>
          <w:sz w:val="20"/>
          <w:szCs w:val="20"/>
        </w:rPr>
        <w:t xml:space="preserve"> </w:t>
      </w:r>
      <w:r w:rsidR="00B977AD" w:rsidRPr="007E19EC">
        <w:rPr>
          <w:rFonts w:asciiTheme="minorHAnsi" w:hAnsiTheme="minorHAnsi" w:cstheme="minorHAnsi"/>
          <w:b w:val="0"/>
          <w:sz w:val="20"/>
          <w:szCs w:val="20"/>
        </w:rPr>
        <w:t>year.</w:t>
      </w:r>
      <w:r w:rsidR="00B977AD">
        <w:rPr>
          <w:rFonts w:asciiTheme="minorHAnsi" w:hAnsiTheme="minorHAnsi" w:cstheme="minorHAnsi"/>
          <w:b w:val="0"/>
          <w:sz w:val="20"/>
          <w:szCs w:val="20"/>
        </w:rPr>
        <w:t>”</w:t>
      </w:r>
    </w:p>
    <w:p w14:paraId="4851E13F" w14:textId="5B484061" w:rsidR="002461A3" w:rsidRDefault="002461A3">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5521"/>
    <w:multiLevelType w:val="multilevel"/>
    <w:tmpl w:val="43C4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C2E19"/>
    <w:multiLevelType w:val="multilevel"/>
    <w:tmpl w:val="5F20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F34FC7"/>
    <w:multiLevelType w:val="hybridMultilevel"/>
    <w:tmpl w:val="394CA7E0"/>
    <w:lvl w:ilvl="0" w:tplc="A49A57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4C61C4"/>
    <w:multiLevelType w:val="hybridMultilevel"/>
    <w:tmpl w:val="6C1AAE96"/>
    <w:lvl w:ilvl="0" w:tplc="3B64B3D4">
      <w:start w:val="3"/>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DB533E"/>
    <w:multiLevelType w:val="hybridMultilevel"/>
    <w:tmpl w:val="1B887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0B4"/>
    <w:rsid w:val="00014433"/>
    <w:rsid w:val="00037307"/>
    <w:rsid w:val="00047959"/>
    <w:rsid w:val="00075853"/>
    <w:rsid w:val="000E6B00"/>
    <w:rsid w:val="0016270F"/>
    <w:rsid w:val="00180A3E"/>
    <w:rsid w:val="00205FCF"/>
    <w:rsid w:val="002461A3"/>
    <w:rsid w:val="002B3296"/>
    <w:rsid w:val="002D13AA"/>
    <w:rsid w:val="00307154"/>
    <w:rsid w:val="003106EE"/>
    <w:rsid w:val="003628A6"/>
    <w:rsid w:val="0038515D"/>
    <w:rsid w:val="003E5462"/>
    <w:rsid w:val="003F4077"/>
    <w:rsid w:val="00425FC7"/>
    <w:rsid w:val="00445284"/>
    <w:rsid w:val="00491C90"/>
    <w:rsid w:val="004B61C2"/>
    <w:rsid w:val="004C504A"/>
    <w:rsid w:val="004E0DA8"/>
    <w:rsid w:val="004E4F78"/>
    <w:rsid w:val="004E58A8"/>
    <w:rsid w:val="005144FC"/>
    <w:rsid w:val="00540A56"/>
    <w:rsid w:val="005604C4"/>
    <w:rsid w:val="00585184"/>
    <w:rsid w:val="005E610F"/>
    <w:rsid w:val="00624B51"/>
    <w:rsid w:val="00640830"/>
    <w:rsid w:val="0066217A"/>
    <w:rsid w:val="006742E8"/>
    <w:rsid w:val="006D05E9"/>
    <w:rsid w:val="006D78E4"/>
    <w:rsid w:val="00750FC6"/>
    <w:rsid w:val="00751BE3"/>
    <w:rsid w:val="007C7B40"/>
    <w:rsid w:val="0081288D"/>
    <w:rsid w:val="00840DD2"/>
    <w:rsid w:val="0084205D"/>
    <w:rsid w:val="008A1CCE"/>
    <w:rsid w:val="008D252A"/>
    <w:rsid w:val="008D530A"/>
    <w:rsid w:val="00960A23"/>
    <w:rsid w:val="009B4533"/>
    <w:rsid w:val="009C3721"/>
    <w:rsid w:val="009F23A7"/>
    <w:rsid w:val="00A10B28"/>
    <w:rsid w:val="00A26737"/>
    <w:rsid w:val="00AE743D"/>
    <w:rsid w:val="00AF117A"/>
    <w:rsid w:val="00B22AC6"/>
    <w:rsid w:val="00B301A8"/>
    <w:rsid w:val="00B56B15"/>
    <w:rsid w:val="00B977AD"/>
    <w:rsid w:val="00C01F9D"/>
    <w:rsid w:val="00C43CE3"/>
    <w:rsid w:val="00CE7A2A"/>
    <w:rsid w:val="00D24B6D"/>
    <w:rsid w:val="00DC2A16"/>
    <w:rsid w:val="00DD60B4"/>
    <w:rsid w:val="00DE2C76"/>
    <w:rsid w:val="00E20D57"/>
    <w:rsid w:val="00E84BB2"/>
    <w:rsid w:val="00EA3182"/>
    <w:rsid w:val="00F12504"/>
    <w:rsid w:val="00F81D3D"/>
    <w:rsid w:val="00F913F1"/>
    <w:rsid w:val="00FA7F49"/>
    <w:rsid w:val="00FB4256"/>
    <w:rsid w:val="00FF1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A3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0B4"/>
    <w:pPr>
      <w:spacing w:after="0" w:line="240" w:lineRule="auto"/>
    </w:pPr>
    <w:rPr>
      <w:rFonts w:ascii="Calibri" w:hAnsi="Calibri" w:cs="Calibri"/>
    </w:rPr>
  </w:style>
  <w:style w:type="paragraph" w:styleId="Heading1">
    <w:name w:val="heading 1"/>
    <w:basedOn w:val="Normal"/>
    <w:link w:val="Heading1Char"/>
    <w:uiPriority w:val="9"/>
    <w:qFormat/>
    <w:rsid w:val="00B977AD"/>
    <w:pPr>
      <w:widowControl w:val="0"/>
      <w:autoSpaceDE w:val="0"/>
      <w:autoSpaceDN w:val="0"/>
      <w:spacing w:before="84"/>
      <w:ind w:left="580" w:hanging="840"/>
      <w:outlineLvl w:val="0"/>
    </w:pPr>
    <w:rPr>
      <w:rFonts w:ascii="Century Schoolbook" w:eastAsia="Century Schoolbook" w:hAnsi="Century Schoolbook" w:cs="Century Schoolbook"/>
      <w:b/>
      <w:bCs/>
      <w:sz w:val="18"/>
      <w:szCs w:val="18"/>
    </w:rPr>
  </w:style>
  <w:style w:type="paragraph" w:styleId="Heading2">
    <w:name w:val="heading 2"/>
    <w:basedOn w:val="Normal"/>
    <w:next w:val="Normal"/>
    <w:link w:val="Heading2Char"/>
    <w:uiPriority w:val="9"/>
    <w:unhideWhenUsed/>
    <w:qFormat/>
    <w:rsid w:val="00205F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5FC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0B4"/>
    <w:pPr>
      <w:ind w:left="720"/>
      <w:contextualSpacing/>
    </w:pPr>
  </w:style>
  <w:style w:type="paragraph" w:styleId="FootnoteText">
    <w:name w:val="footnote text"/>
    <w:basedOn w:val="Normal"/>
    <w:link w:val="FootnoteTextChar"/>
    <w:uiPriority w:val="99"/>
    <w:semiHidden/>
    <w:unhideWhenUsed/>
    <w:rsid w:val="00750FC6"/>
    <w:rPr>
      <w:sz w:val="20"/>
      <w:szCs w:val="20"/>
    </w:rPr>
  </w:style>
  <w:style w:type="character" w:customStyle="1" w:styleId="FootnoteTextChar">
    <w:name w:val="Footnote Text Char"/>
    <w:basedOn w:val="DefaultParagraphFont"/>
    <w:link w:val="FootnoteText"/>
    <w:uiPriority w:val="99"/>
    <w:semiHidden/>
    <w:rsid w:val="00750FC6"/>
    <w:rPr>
      <w:rFonts w:ascii="Calibri" w:hAnsi="Calibri" w:cs="Calibri"/>
      <w:sz w:val="20"/>
      <w:szCs w:val="20"/>
    </w:rPr>
  </w:style>
  <w:style w:type="character" w:styleId="FootnoteReference">
    <w:name w:val="footnote reference"/>
    <w:basedOn w:val="DefaultParagraphFont"/>
    <w:uiPriority w:val="99"/>
    <w:semiHidden/>
    <w:unhideWhenUsed/>
    <w:rsid w:val="00750FC6"/>
    <w:rPr>
      <w:vertAlign w:val="superscript"/>
    </w:rPr>
  </w:style>
  <w:style w:type="character" w:customStyle="1" w:styleId="Heading1Char">
    <w:name w:val="Heading 1 Char"/>
    <w:basedOn w:val="DefaultParagraphFont"/>
    <w:link w:val="Heading1"/>
    <w:uiPriority w:val="9"/>
    <w:rsid w:val="00B977AD"/>
    <w:rPr>
      <w:rFonts w:ascii="Century Schoolbook" w:eastAsia="Century Schoolbook" w:hAnsi="Century Schoolbook" w:cs="Century Schoolbook"/>
      <w:b/>
      <w:bCs/>
      <w:sz w:val="18"/>
      <w:szCs w:val="18"/>
    </w:rPr>
  </w:style>
  <w:style w:type="paragraph" w:styleId="BalloonText">
    <w:name w:val="Balloon Text"/>
    <w:basedOn w:val="Normal"/>
    <w:link w:val="BalloonTextChar"/>
    <w:uiPriority w:val="99"/>
    <w:semiHidden/>
    <w:unhideWhenUsed/>
    <w:rsid w:val="00F81D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D3D"/>
    <w:rPr>
      <w:rFonts w:ascii="Segoe UI" w:hAnsi="Segoe UI" w:cs="Segoe UI"/>
      <w:sz w:val="18"/>
      <w:szCs w:val="18"/>
    </w:rPr>
  </w:style>
  <w:style w:type="paragraph" w:styleId="Header">
    <w:name w:val="header"/>
    <w:basedOn w:val="Normal"/>
    <w:link w:val="HeaderChar"/>
    <w:uiPriority w:val="99"/>
    <w:unhideWhenUsed/>
    <w:rsid w:val="003106EE"/>
    <w:pPr>
      <w:tabs>
        <w:tab w:val="center" w:pos="4680"/>
        <w:tab w:val="right" w:pos="9360"/>
      </w:tabs>
    </w:pPr>
  </w:style>
  <w:style w:type="character" w:customStyle="1" w:styleId="HeaderChar">
    <w:name w:val="Header Char"/>
    <w:basedOn w:val="DefaultParagraphFont"/>
    <w:link w:val="Header"/>
    <w:uiPriority w:val="99"/>
    <w:rsid w:val="003106EE"/>
    <w:rPr>
      <w:rFonts w:ascii="Calibri" w:hAnsi="Calibri" w:cs="Calibri"/>
    </w:rPr>
  </w:style>
  <w:style w:type="paragraph" w:styleId="Footer">
    <w:name w:val="footer"/>
    <w:basedOn w:val="Normal"/>
    <w:link w:val="FooterChar"/>
    <w:uiPriority w:val="99"/>
    <w:unhideWhenUsed/>
    <w:rsid w:val="003106EE"/>
    <w:pPr>
      <w:tabs>
        <w:tab w:val="center" w:pos="4680"/>
        <w:tab w:val="right" w:pos="9360"/>
      </w:tabs>
    </w:pPr>
  </w:style>
  <w:style w:type="character" w:customStyle="1" w:styleId="FooterChar">
    <w:name w:val="Footer Char"/>
    <w:basedOn w:val="DefaultParagraphFont"/>
    <w:link w:val="Footer"/>
    <w:uiPriority w:val="99"/>
    <w:rsid w:val="003106EE"/>
    <w:rPr>
      <w:rFonts w:ascii="Calibri" w:hAnsi="Calibri" w:cs="Calibri"/>
    </w:rPr>
  </w:style>
  <w:style w:type="character" w:styleId="Hyperlink">
    <w:name w:val="Hyperlink"/>
    <w:basedOn w:val="DefaultParagraphFont"/>
    <w:uiPriority w:val="99"/>
    <w:unhideWhenUsed/>
    <w:rsid w:val="00585184"/>
    <w:rPr>
      <w:color w:val="0563C1" w:themeColor="hyperlink"/>
      <w:u w:val="single"/>
    </w:rPr>
  </w:style>
  <w:style w:type="character" w:customStyle="1" w:styleId="UnresolvedMention">
    <w:name w:val="Unresolved Mention"/>
    <w:basedOn w:val="DefaultParagraphFont"/>
    <w:uiPriority w:val="99"/>
    <w:semiHidden/>
    <w:unhideWhenUsed/>
    <w:rsid w:val="00585184"/>
    <w:rPr>
      <w:color w:val="605E5C"/>
      <w:shd w:val="clear" w:color="auto" w:fill="E1DFDD"/>
    </w:rPr>
  </w:style>
  <w:style w:type="character" w:customStyle="1" w:styleId="Heading2Char">
    <w:name w:val="Heading 2 Char"/>
    <w:basedOn w:val="DefaultParagraphFont"/>
    <w:link w:val="Heading2"/>
    <w:uiPriority w:val="9"/>
    <w:rsid w:val="00205F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05FC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05FCF"/>
    <w:rPr>
      <w:i/>
      <w:iCs/>
    </w:rPr>
  </w:style>
  <w:style w:type="paragraph" w:styleId="NormalWeb">
    <w:name w:val="Normal (Web)"/>
    <w:basedOn w:val="Normal"/>
    <w:uiPriority w:val="99"/>
    <w:semiHidden/>
    <w:unhideWhenUsed/>
    <w:rsid w:val="00205FCF"/>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0B4"/>
    <w:pPr>
      <w:spacing w:after="0" w:line="240" w:lineRule="auto"/>
    </w:pPr>
    <w:rPr>
      <w:rFonts w:ascii="Calibri" w:hAnsi="Calibri" w:cs="Calibri"/>
    </w:rPr>
  </w:style>
  <w:style w:type="paragraph" w:styleId="Heading1">
    <w:name w:val="heading 1"/>
    <w:basedOn w:val="Normal"/>
    <w:link w:val="Heading1Char"/>
    <w:uiPriority w:val="9"/>
    <w:qFormat/>
    <w:rsid w:val="00B977AD"/>
    <w:pPr>
      <w:widowControl w:val="0"/>
      <w:autoSpaceDE w:val="0"/>
      <w:autoSpaceDN w:val="0"/>
      <w:spacing w:before="84"/>
      <w:ind w:left="580" w:hanging="840"/>
      <w:outlineLvl w:val="0"/>
    </w:pPr>
    <w:rPr>
      <w:rFonts w:ascii="Century Schoolbook" w:eastAsia="Century Schoolbook" w:hAnsi="Century Schoolbook" w:cs="Century Schoolbook"/>
      <w:b/>
      <w:bCs/>
      <w:sz w:val="18"/>
      <w:szCs w:val="18"/>
    </w:rPr>
  </w:style>
  <w:style w:type="paragraph" w:styleId="Heading2">
    <w:name w:val="heading 2"/>
    <w:basedOn w:val="Normal"/>
    <w:next w:val="Normal"/>
    <w:link w:val="Heading2Char"/>
    <w:uiPriority w:val="9"/>
    <w:unhideWhenUsed/>
    <w:qFormat/>
    <w:rsid w:val="00205F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5FC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0B4"/>
    <w:pPr>
      <w:ind w:left="720"/>
      <w:contextualSpacing/>
    </w:pPr>
  </w:style>
  <w:style w:type="paragraph" w:styleId="FootnoteText">
    <w:name w:val="footnote text"/>
    <w:basedOn w:val="Normal"/>
    <w:link w:val="FootnoteTextChar"/>
    <w:uiPriority w:val="99"/>
    <w:semiHidden/>
    <w:unhideWhenUsed/>
    <w:rsid w:val="00750FC6"/>
    <w:rPr>
      <w:sz w:val="20"/>
      <w:szCs w:val="20"/>
    </w:rPr>
  </w:style>
  <w:style w:type="character" w:customStyle="1" w:styleId="FootnoteTextChar">
    <w:name w:val="Footnote Text Char"/>
    <w:basedOn w:val="DefaultParagraphFont"/>
    <w:link w:val="FootnoteText"/>
    <w:uiPriority w:val="99"/>
    <w:semiHidden/>
    <w:rsid w:val="00750FC6"/>
    <w:rPr>
      <w:rFonts w:ascii="Calibri" w:hAnsi="Calibri" w:cs="Calibri"/>
      <w:sz w:val="20"/>
      <w:szCs w:val="20"/>
    </w:rPr>
  </w:style>
  <w:style w:type="character" w:styleId="FootnoteReference">
    <w:name w:val="footnote reference"/>
    <w:basedOn w:val="DefaultParagraphFont"/>
    <w:uiPriority w:val="99"/>
    <w:semiHidden/>
    <w:unhideWhenUsed/>
    <w:rsid w:val="00750FC6"/>
    <w:rPr>
      <w:vertAlign w:val="superscript"/>
    </w:rPr>
  </w:style>
  <w:style w:type="character" w:customStyle="1" w:styleId="Heading1Char">
    <w:name w:val="Heading 1 Char"/>
    <w:basedOn w:val="DefaultParagraphFont"/>
    <w:link w:val="Heading1"/>
    <w:uiPriority w:val="9"/>
    <w:rsid w:val="00B977AD"/>
    <w:rPr>
      <w:rFonts w:ascii="Century Schoolbook" w:eastAsia="Century Schoolbook" w:hAnsi="Century Schoolbook" w:cs="Century Schoolbook"/>
      <w:b/>
      <w:bCs/>
      <w:sz w:val="18"/>
      <w:szCs w:val="18"/>
    </w:rPr>
  </w:style>
  <w:style w:type="paragraph" w:styleId="BalloonText">
    <w:name w:val="Balloon Text"/>
    <w:basedOn w:val="Normal"/>
    <w:link w:val="BalloonTextChar"/>
    <w:uiPriority w:val="99"/>
    <w:semiHidden/>
    <w:unhideWhenUsed/>
    <w:rsid w:val="00F81D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D3D"/>
    <w:rPr>
      <w:rFonts w:ascii="Segoe UI" w:hAnsi="Segoe UI" w:cs="Segoe UI"/>
      <w:sz w:val="18"/>
      <w:szCs w:val="18"/>
    </w:rPr>
  </w:style>
  <w:style w:type="paragraph" w:styleId="Header">
    <w:name w:val="header"/>
    <w:basedOn w:val="Normal"/>
    <w:link w:val="HeaderChar"/>
    <w:uiPriority w:val="99"/>
    <w:unhideWhenUsed/>
    <w:rsid w:val="003106EE"/>
    <w:pPr>
      <w:tabs>
        <w:tab w:val="center" w:pos="4680"/>
        <w:tab w:val="right" w:pos="9360"/>
      </w:tabs>
    </w:pPr>
  </w:style>
  <w:style w:type="character" w:customStyle="1" w:styleId="HeaderChar">
    <w:name w:val="Header Char"/>
    <w:basedOn w:val="DefaultParagraphFont"/>
    <w:link w:val="Header"/>
    <w:uiPriority w:val="99"/>
    <w:rsid w:val="003106EE"/>
    <w:rPr>
      <w:rFonts w:ascii="Calibri" w:hAnsi="Calibri" w:cs="Calibri"/>
    </w:rPr>
  </w:style>
  <w:style w:type="paragraph" w:styleId="Footer">
    <w:name w:val="footer"/>
    <w:basedOn w:val="Normal"/>
    <w:link w:val="FooterChar"/>
    <w:uiPriority w:val="99"/>
    <w:unhideWhenUsed/>
    <w:rsid w:val="003106EE"/>
    <w:pPr>
      <w:tabs>
        <w:tab w:val="center" w:pos="4680"/>
        <w:tab w:val="right" w:pos="9360"/>
      </w:tabs>
    </w:pPr>
  </w:style>
  <w:style w:type="character" w:customStyle="1" w:styleId="FooterChar">
    <w:name w:val="Footer Char"/>
    <w:basedOn w:val="DefaultParagraphFont"/>
    <w:link w:val="Footer"/>
    <w:uiPriority w:val="99"/>
    <w:rsid w:val="003106EE"/>
    <w:rPr>
      <w:rFonts w:ascii="Calibri" w:hAnsi="Calibri" w:cs="Calibri"/>
    </w:rPr>
  </w:style>
  <w:style w:type="character" w:styleId="Hyperlink">
    <w:name w:val="Hyperlink"/>
    <w:basedOn w:val="DefaultParagraphFont"/>
    <w:uiPriority w:val="99"/>
    <w:unhideWhenUsed/>
    <w:rsid w:val="00585184"/>
    <w:rPr>
      <w:color w:val="0563C1" w:themeColor="hyperlink"/>
      <w:u w:val="single"/>
    </w:rPr>
  </w:style>
  <w:style w:type="character" w:customStyle="1" w:styleId="UnresolvedMention">
    <w:name w:val="Unresolved Mention"/>
    <w:basedOn w:val="DefaultParagraphFont"/>
    <w:uiPriority w:val="99"/>
    <w:semiHidden/>
    <w:unhideWhenUsed/>
    <w:rsid w:val="00585184"/>
    <w:rPr>
      <w:color w:val="605E5C"/>
      <w:shd w:val="clear" w:color="auto" w:fill="E1DFDD"/>
    </w:rPr>
  </w:style>
  <w:style w:type="character" w:customStyle="1" w:styleId="Heading2Char">
    <w:name w:val="Heading 2 Char"/>
    <w:basedOn w:val="DefaultParagraphFont"/>
    <w:link w:val="Heading2"/>
    <w:uiPriority w:val="9"/>
    <w:rsid w:val="00205F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05FC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05FCF"/>
    <w:rPr>
      <w:i/>
      <w:iCs/>
    </w:rPr>
  </w:style>
  <w:style w:type="paragraph" w:styleId="NormalWeb">
    <w:name w:val="Normal (Web)"/>
    <w:basedOn w:val="Normal"/>
    <w:uiPriority w:val="99"/>
    <w:semiHidden/>
    <w:unhideWhenUsed/>
    <w:rsid w:val="00205FC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059360">
      <w:bodyDiv w:val="1"/>
      <w:marLeft w:val="0"/>
      <w:marRight w:val="0"/>
      <w:marTop w:val="0"/>
      <w:marBottom w:val="0"/>
      <w:divBdr>
        <w:top w:val="none" w:sz="0" w:space="0" w:color="auto"/>
        <w:left w:val="none" w:sz="0" w:space="0" w:color="auto"/>
        <w:bottom w:val="none" w:sz="0" w:space="0" w:color="auto"/>
        <w:right w:val="none" w:sz="0" w:space="0" w:color="auto"/>
      </w:divBdr>
    </w:div>
    <w:div w:id="151606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oregonlaws.org/ors/90.545" TargetMode="External"/><Relationship Id="rId12" Type="http://schemas.openxmlformats.org/officeDocument/2006/relationships/hyperlink" Target="https://www.oregonlaws.org/ors/90.545" TargetMode="External"/><Relationship Id="rId13" Type="http://schemas.openxmlformats.org/officeDocument/2006/relationships/hyperlink" Target="https://www.portlandoregon.gov/phb/74544"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oregonlaws.org/ors/90.600" TargetMode="External"/><Relationship Id="rId10" Type="http://schemas.openxmlformats.org/officeDocument/2006/relationships/hyperlink" Target="https://www.oregonlaws.org/ors/90.5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2DB05-C2BC-A94A-89CC-4180564EF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1716</Words>
  <Characters>9786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Querin</dc:creator>
  <cp:keywords/>
  <dc:description/>
  <cp:lastModifiedBy>chuck carpenter</cp:lastModifiedBy>
  <cp:revision>2</cp:revision>
  <cp:lastPrinted>2019-03-19T23:17:00Z</cp:lastPrinted>
  <dcterms:created xsi:type="dcterms:W3CDTF">2019-03-20T19:49:00Z</dcterms:created>
  <dcterms:modified xsi:type="dcterms:W3CDTF">2019-03-20T19:49:00Z</dcterms:modified>
</cp:coreProperties>
</file>