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</w:t>
      </w:r>
      <w:r>
        <w:rPr>
          <w:rFonts w:hint="default"/>
        </w:rPr>
        <w:t>查看</w:t>
      </w:r>
      <w:r>
        <w:rPr>
          <w:rFonts w:hint="default"/>
        </w:rPr>
        <w:t>用户</w:t>
      </w:r>
      <w:r>
        <w:rPr>
          <w:rFonts w:hint="default"/>
        </w:rPr>
        <w:t>详情</w:t>
      </w:r>
      <w:r>
        <w:rPr>
          <w:rFonts w:hint="eastAsia"/>
        </w:rPr>
        <w:t>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6"/>
      </w:pPr>
      <w:r>
        <w:rPr>
          <w:rFonts w:hint="eastAsia"/>
          <w:snapToGrid w:val="0"/>
        </w:rPr>
        <w:t>本用例描述了一</w:t>
      </w:r>
      <w:r>
        <w:rPr>
          <w:rFonts w:hint="default"/>
          <w:snapToGrid w:val="0"/>
        </w:rPr>
        <w:t>个用户怎样查看一个</w:t>
      </w:r>
      <w:r>
        <w:rPr>
          <w:rFonts w:hint="default"/>
          <w:snapToGrid w:val="0"/>
        </w:rPr>
        <w:t>用户</w:t>
      </w:r>
      <w:r>
        <w:rPr>
          <w:rFonts w:hint="default"/>
          <w:snapToGrid w:val="0"/>
        </w:rPr>
        <w:t>的详情</w:t>
      </w:r>
      <w:r>
        <w:rPr>
          <w:rFonts w:hint="eastAsia"/>
          <w:snapToGrid w:val="0"/>
        </w:rPr>
        <w:t>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default"/>
          <w:lang w:eastAsia="zh-CN"/>
        </w:rPr>
        <w:t>用户点击“搜索</w:t>
      </w:r>
      <w:r>
        <w:rPr>
          <w:rFonts w:hint="default"/>
          <w:lang w:eastAsia="zh-CN"/>
        </w:rPr>
        <w:t>用户</w:t>
      </w:r>
      <w:r>
        <w:rPr>
          <w:rFonts w:hint="default"/>
          <w:lang w:eastAsia="zh-CN"/>
        </w:rPr>
        <w:t>”，系统显示搜索框。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default"/>
          <w:lang w:eastAsia="zh-CN"/>
        </w:rPr>
        <w:t>用户输入关键字，点击“搜索”。</w:t>
      </w:r>
    </w:p>
    <w:p>
      <w:pPr>
        <w:pStyle w:val="6"/>
        <w:numPr>
          <w:ilvl w:val="0"/>
          <w:numId w:val="2"/>
        </w:numPr>
        <w:ind w:left="1080"/>
      </w:pPr>
      <w:r>
        <w:t>系统显示搜索结果，用户选择一个</w:t>
      </w:r>
      <w:r>
        <w:t>用户</w:t>
      </w:r>
      <w:r>
        <w:t>点击。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eastAsia"/>
          <w:color w:val="000000"/>
        </w:rPr>
        <w:t>系统</w:t>
      </w:r>
      <w:r>
        <w:rPr>
          <w:rFonts w:hint="default"/>
          <w:color w:val="000000"/>
        </w:rPr>
        <w:t>显示出该</w:t>
      </w:r>
      <w:r>
        <w:rPr>
          <w:rFonts w:hint="default"/>
          <w:color w:val="000000"/>
        </w:rPr>
        <w:t>用户</w:t>
      </w:r>
      <w:r>
        <w:rPr>
          <w:rFonts w:hint="default"/>
          <w:color w:val="000000"/>
        </w:rPr>
        <w:t>的详细信息。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6"/>
      </w:pPr>
      <w:r>
        <w:rPr>
          <w:rFonts w:hint="eastAsia"/>
        </w:rPr>
        <w:t>当用户想要</w:t>
      </w:r>
      <w:r>
        <w:rPr>
          <w:rFonts w:hint="default"/>
        </w:rPr>
        <w:t>查看用户详情</w:t>
      </w:r>
      <w:r>
        <w:rPr>
          <w:rFonts w:hint="eastAsia"/>
        </w:rPr>
        <w:t>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a）用户</w:t>
      </w:r>
      <w:r>
        <w:rPr>
          <w:rFonts w:hint="default"/>
        </w:rPr>
        <w:t>通过圈子的成员列表查看用户详情</w:t>
      </w:r>
    </w:p>
    <w:p>
      <w:pPr>
        <w:pStyle w:val="6"/>
        <w:numPr>
          <w:ilvl w:val="0"/>
          <w:numId w:val="3"/>
        </w:numPr>
        <w:ind w:left="1080"/>
      </w:pPr>
      <w:r>
        <w:rPr>
          <w:rFonts w:ascii="Arial" w:hAnsi="Arial"/>
        </w:rPr>
        <w:t>引</w:t>
      </w:r>
      <w:r>
        <w:rPr>
          <w:rFonts w:hint="eastAsia"/>
          <w:lang w:val="en-US" w:eastAsia="zh-CN"/>
        </w:rPr>
        <w:t>入“</w:t>
      </w:r>
      <w:r>
        <w:rPr>
          <w:rFonts w:hint="eastAsia"/>
        </w:rPr>
        <w:t>查看圈子详情</w:t>
      </w:r>
      <w:r>
        <w:rPr>
          <w:rFonts w:hint="eastAsia"/>
          <w:lang w:eastAsia="zh-CN"/>
        </w:rPr>
        <w:t>”</w:t>
      </w:r>
      <w:r>
        <w:rPr>
          <w:rFonts w:hint="eastAsia"/>
        </w:rPr>
        <w:t>用例。</w:t>
      </w:r>
    </w:p>
    <w:p>
      <w:pPr>
        <w:pStyle w:val="6"/>
        <w:numPr>
          <w:ilvl w:val="0"/>
          <w:numId w:val="3"/>
        </w:numPr>
        <w:ind w:left="1080"/>
      </w:pPr>
      <w:r>
        <w:rPr>
          <w:rFonts w:hint="default"/>
        </w:rPr>
        <w:t>用户点击“成员列表”。</w:t>
      </w:r>
    </w:p>
    <w:p>
      <w:pPr>
        <w:pStyle w:val="6"/>
        <w:numPr>
          <w:ilvl w:val="0"/>
          <w:numId w:val="3"/>
        </w:numPr>
        <w:ind w:left="1080"/>
      </w:pPr>
      <w:r>
        <w:rPr>
          <w:rFonts w:hint="default"/>
        </w:rPr>
        <w:t>系统显示该圈子的成员列表，用户选择一个用户点击。</w:t>
      </w:r>
    </w:p>
    <w:p>
      <w:pPr>
        <w:pStyle w:val="6"/>
        <w:numPr>
          <w:ilvl w:val="0"/>
          <w:numId w:val="3"/>
        </w:numPr>
        <w:ind w:left="1080"/>
      </w:pPr>
      <w:r>
        <w:rPr>
          <w:rFonts w:hint="default"/>
        </w:rPr>
        <w:t>进入基本流第4步。</w:t>
      </w:r>
    </w:p>
    <w:p>
      <w:pPr>
        <w:pStyle w:val="5"/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default"/>
        </w:rPr>
        <w:t>b</w:t>
      </w:r>
      <w:r>
        <w:rPr>
          <w:rFonts w:hint="eastAsia"/>
        </w:rPr>
        <w:t>）用户</w:t>
      </w:r>
      <w:r>
        <w:rPr>
          <w:rFonts w:hint="default"/>
        </w:rPr>
        <w:t>通过</w:t>
      </w:r>
      <w:r>
        <w:rPr>
          <w:rFonts w:hint="default"/>
        </w:rPr>
        <w:t>通知的发送者</w:t>
      </w:r>
      <w:r>
        <w:rPr>
          <w:rFonts w:hint="default"/>
        </w:rPr>
        <w:t>查看用户详情</w:t>
      </w:r>
    </w:p>
    <w:p>
      <w:pPr>
        <w:pStyle w:val="6"/>
        <w:rPr>
          <w:rFonts w:ascii="Arial" w:hAnsi="Arial"/>
        </w:rPr>
      </w:pPr>
      <w:r>
        <w:rPr>
          <w:rFonts w:hint="default"/>
        </w:rPr>
        <w:t>用户点击通知上的发送者头像，进入基本流第4步。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前置条件</w:t>
      </w:r>
    </w:p>
    <w:p>
      <w:pPr>
        <w:pStyle w:val="6"/>
      </w:pPr>
      <w:r>
        <w:rPr>
          <w:rFonts w:hint="eastAsia"/>
        </w:rPr>
        <w:t>用户必须先登陆系统。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87133">
    <w:nsid w:val="59341B7D"/>
    <w:multiLevelType w:val="singleLevel"/>
    <w:tmpl w:val="59341B7D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88190">
    <w:nsid w:val="59341F9E"/>
    <w:multiLevelType w:val="singleLevel"/>
    <w:tmpl w:val="59341F9E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87133"/>
  </w:num>
  <w:num w:numId="3">
    <w:abstractNumId w:val="1496588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49A7"/>
    <w:rsid w:val="177F49A7"/>
    <w:rsid w:val="7FFACD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2017-06-04T22:16:00Z</dcterms:created>
  <dc:creator>tim</dc:creator>
  <cp:lastModifiedBy>tim</cp:lastModifiedBy>
  <dcterms:modified xsi:type="dcterms:W3CDTF">2017-06-04T22:30:56Z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