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–</w:t>
      </w:r>
      <w:r>
        <w:t xml:space="preserve"> </w:t>
      </w:r>
      <w:r>
        <w:t xml:space="preserve">Product</w:t>
      </w:r>
      <w:r>
        <w:t xml:space="preserve"> </w:t>
      </w:r>
      <w:r>
        <w:t xml:space="preserve">Team</w:t>
      </w:r>
      <w:r>
        <w:t xml:space="preserve"> </w:t>
      </w:r>
      <w:r>
        <w:t xml:space="preserve">Metrics</w:t>
      </w:r>
      <w:r>
        <w:t xml:space="preserve"> </w:t>
      </w:r>
      <w:r>
        <w:t xml:space="preserve">Wallboards</w:t>
      </w:r>
    </w:p>
    <w:p>
      <w:pPr>
        <w:pStyle w:val="Author"/>
      </w:pPr>
      <w:r>
        <w:t xml:space="preserve">Laurent</w:t>
      </w:r>
      <w:r>
        <w:t xml:space="preserve"> </w:t>
      </w:r>
      <w:r>
        <w:t xml:space="preserve">Lathieyre</w:t>
      </w:r>
    </w:p>
    <w:bookmarkStart w:id="20" w:name="sec: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image</w:t>
      </w:r>
    </w:p>
    <w:p>
      <w:pPr>
        <w:pStyle w:val="BodyText"/>
      </w:pPr>
      <w:r>
        <w:t xml:space="preserve">This document is a proposal to implement</w:t>
      </w:r>
      <w:r>
        <w:t xml:space="preserve"> </w:t>
      </w:r>
      <w:r>
        <w:rPr>
          <w:iCs/>
          <w:i/>
        </w:rPr>
        <w:t xml:space="preserve">Wallboards</w:t>
      </w:r>
      <w:r>
        <w:t xml:space="preserve"> </w:t>
      </w:r>
      <w:r>
        <w:t xml:space="preserve">for Sirion – a multi-office, multi-country, hybrid work environment.</w:t>
      </w:r>
    </w:p>
    <w:p>
      <w:pPr>
        <w:pStyle w:val="BodyText"/>
      </w:pPr>
      <w:r>
        <w:t xml:space="preserve">It is also part of the overaching effort to promote data litteracy</w:t>
      </w:r>
      <w:r>
        <w:t xml:space="preserve"> </w:t>
      </w:r>
      <w:r>
        <w:t xml:space="preserve">and data driven decisions in the company.</w:t>
      </w:r>
    </w:p>
    <w:bookmarkEnd w:id="20"/>
    <w:bookmarkStart w:id="21" w:name="sec:overall-design"/>
    <w:p>
      <w:pPr>
        <w:pStyle w:val="Heading1"/>
      </w:pPr>
      <w:r>
        <w:t xml:space="preserve">Overall Design</w:t>
      </w:r>
    </w:p>
    <w:p>
      <w:pPr>
        <w:pStyle w:val="FirstParagraph"/>
      </w:pPr>
      <w:r>
        <w:t xml:space="preserve">with a HDMI 2.0 port to connect a Raspberry Pi PC or other recommended small PCs such as a MeLE PC Stick</w:t>
      </w:r>
      <w:r>
        <w:t xml:space="preserve"> </w:t>
      </w:r>
      <w:r>
        <w:t xml:space="preserve">or a Raspberry PI</w:t>
      </w:r>
      <w:r>
        <w:t xml:space="preserve"> </w:t>
      </w:r>
      <w:r>
        <w:t xml:space="preserve">in high-traffic places (e.g. kitchen, water cooler, etc.)</w:t>
      </w:r>
    </w:p>
    <w:p>
      <w:pPr>
        <w:pStyle w:val="BodyText"/>
      </w:pPr>
      <w:r>
        <w:t xml:space="preserve">The dashboard automatically runs on all connected displays. Dasboard Loops will be a great way to display several dashboards on a single screen. For example, we might want to display some company-wide metrics alongside our team’s existing dashboard, have a project-specific dashboard we need to keep an eye on in addition to our day-to-day metrics, or have several teams who share a single screen. They are also accessible via a web browser</w:t>
      </w:r>
    </w:p>
    <w:bookmarkEnd w:id="21"/>
    <w:bookmarkStart w:id="24" w:name="sec:phasing"/>
    <w:p>
      <w:pPr>
        <w:pStyle w:val="Heading1"/>
      </w:pPr>
      <w:r>
        <w:t xml:space="preserve">Project Phasing</w:t>
      </w:r>
    </w:p>
    <w:p>
      <w:pPr>
        <w:pStyle w:val="FirstParagraph"/>
      </w:pPr>
      <w:r>
        <w:t xml:space="preserve">The first phase – or</w:t>
      </w:r>
      <w:r>
        <w:t xml:space="preserve"> </w:t>
      </w:r>
      <w:r>
        <w:t xml:space="preserve">poc</w:t>
      </w:r>
      <w:r>
        <w:t xml:space="preserve"> </w:t>
      </w:r>
      <w:r>
        <w:t xml:space="preserve">– needs approximately 2-month time from end to end.</w:t>
      </w:r>
    </w:p>
    <w:bookmarkStart w:id="22" w:name="phase-1"/>
    <w:p>
      <w:pPr>
        <w:pStyle w:val="Heading2"/>
      </w:pPr>
      <w:r>
        <w:t xml:space="preserve">Phase 1</w:t>
      </w:r>
    </w:p>
    <w:p>
      <w:pPr>
        <w:numPr>
          <w:ilvl w:val="0"/>
          <w:numId w:val="1001"/>
        </w:numPr>
      </w:pPr>
      <w:r>
        <w:t xml:space="preserve">Source Hardware and Software for 1 Display and Workstation access.</w:t>
      </w:r>
    </w:p>
    <w:p>
      <w:pPr>
        <w:numPr>
          <w:ilvl w:val="0"/>
          <w:numId w:val="1001"/>
        </w:numPr>
      </w:pPr>
      <w:r>
        <w:t xml:space="preserve">Build 1 Dashboard with 3</w:t>
      </w:r>
      <w:r>
        <w:t xml:space="preserve"> </w:t>
      </w:r>
      <w:r>
        <w:t xml:space="preserve">kpi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Test it.</w:t>
      </w:r>
    </w:p>
    <w:p>
      <w:pPr>
        <w:numPr>
          <w:ilvl w:val="0"/>
          <w:numId w:val="1001"/>
        </w:numPr>
      </w:pPr>
      <w:r>
        <w:t xml:space="preserve">Communicate with team members and run the experiment for 10-day.</w:t>
      </w:r>
    </w:p>
    <w:p>
      <w:pPr>
        <w:numPr>
          <w:ilvl w:val="0"/>
          <w:numId w:val="1001"/>
        </w:numPr>
      </w:pPr>
      <w:r>
        <w:t xml:space="preserve">Get feedback.</w:t>
      </w:r>
    </w:p>
    <w:p>
      <w:pPr>
        <w:numPr>
          <w:ilvl w:val="0"/>
          <w:numId w:val="1001"/>
        </w:numPr>
      </w:pPr>
      <w:r>
        <w:t xml:space="preserve">After Action Report.</w:t>
      </w:r>
    </w:p>
    <w:bookmarkEnd w:id="22"/>
    <w:bookmarkStart w:id="23" w:name="phase-2"/>
    <w:p>
      <w:pPr>
        <w:pStyle w:val="Heading2"/>
      </w:pPr>
      <w:r>
        <w:t xml:space="preserve">Phase 2</w:t>
      </w:r>
    </w:p>
    <w:p>
      <w:pPr>
        <w:numPr>
          <w:ilvl w:val="0"/>
          <w:numId w:val="1002"/>
        </w:numPr>
      </w:pPr>
      <w:r>
        <w:t xml:space="preserve">Extend to new metrics, and possibly to additional cross-functional Dashboards.</w:t>
      </w:r>
    </w:p>
    <w:p>
      <w:pPr>
        <w:numPr>
          <w:ilvl w:val="0"/>
          <w:numId w:val="1002"/>
        </w:numPr>
      </w:pPr>
      <w:r>
        <w:t xml:space="preserve">Add new Displays and Workstation access.</w:t>
      </w:r>
    </w:p>
    <w:p>
      <w:pPr>
        <w:numPr>
          <w:ilvl w:val="0"/>
          <w:numId w:val="1002"/>
        </w:numPr>
      </w:pPr>
      <w:r>
        <w:t xml:space="preserve">Kick-Off the official Launch.</w:t>
      </w:r>
    </w:p>
    <w:p>
      <w:pPr>
        <w:numPr>
          <w:ilvl w:val="0"/>
          <w:numId w:val="1002"/>
        </w:numPr>
      </w:pPr>
      <w:r>
        <w:t xml:space="preserve">Measure. Evaluate. Adjust. Repeat.</w:t>
      </w:r>
    </w:p>
    <w:bookmarkEnd w:id="23"/>
    <w:bookmarkEnd w:id="24"/>
    <w:bookmarkStart w:id="25" w:name="KPIs"/>
    <w:p>
      <w:pPr>
        <w:pStyle w:val="Heading1"/>
      </w:pPr>
      <w:r>
        <w:t xml:space="preserve">KPIs</w:t>
      </w:r>
    </w:p>
    <w:p>
      <w:pPr>
        <w:pStyle w:val="FirstParagraph"/>
      </w:pPr>
      <w:r>
        <w:t xml:space="preserve">We recommend to start with 3 simple SMART</w:t>
      </w:r>
      <w:r>
        <w:t xml:space="preserve"> </w:t>
      </w:r>
      <w:r>
        <w:t xml:space="preserve">kpi</w:t>
      </w:r>
      <w:r>
        <w:t xml:space="preserve">s such as</w:t>
      </w:r>
    </w:p>
    <w:p>
      <w:pPr>
        <w:numPr>
          <w:ilvl w:val="0"/>
          <w:numId w:val="1003"/>
        </w:numPr>
      </w:pPr>
      <w:r>
        <w:t xml:space="preserve">Engagement &amp; Stickyness: Evolution of</w:t>
      </w:r>
      <w:r>
        <w:t xml:space="preserve"> </w:t>
      </w:r>
      <w:r>
        <w:t xml:space="preserve">mau</w:t>
      </w:r>
      <w:r>
        <w:t xml:space="preserve">,</w:t>
      </w:r>
      <w:r>
        <w:t xml:space="preserve"> </w:t>
      </w:r>
      <w:r>
        <w:t xml:space="preserve">dau</w:t>
      </w:r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A</m:t>
        </m:r>
        <m:r>
          <m:t>U</m:t>
        </m:r>
        <m:f>
          <m:fPr>
            <m:type m:val="bar"/>
          </m:fPr>
          <m:num>
            <m:r>
              <m:t>M</m:t>
            </m:r>
          </m:num>
          <m:den>
            <m:r>
              <m:t>A</m:t>
            </m:r>
          </m:den>
        </m:f>
        <m:r>
          <m:t>U</m:t>
        </m:r>
      </m:oMath>
      <w:r>
        <w:t xml:space="preserve"> </w:t>
      </w:r>
      <w:r>
        <w:t xml:space="preserve">ratio.</w:t>
      </w:r>
    </w:p>
    <w:p>
      <w:pPr>
        <w:numPr>
          <w:ilvl w:val="0"/>
          <w:numId w:val="1003"/>
        </w:numPr>
      </w:pPr>
      <w:r>
        <w:t xml:space="preserve">User Satisfaction: Evolution of the</w:t>
      </w:r>
      <w:r>
        <w:t xml:space="preserve"> </w:t>
      </w:r>
      <w:r>
        <w:t xml:space="preserve">nps</w:t>
      </w:r>
    </w:p>
    <w:p>
      <w:pPr>
        <w:numPr>
          <w:ilvl w:val="0"/>
          <w:numId w:val="1003"/>
        </w:numPr>
      </w:pPr>
      <w:r>
        <w:t xml:space="preserve">Feature Focus: for example</w:t>
      </w:r>
    </w:p>
    <w:p>
      <w:pPr>
        <w:numPr>
          <w:ilvl w:val="1"/>
          <w:numId w:val="1004"/>
        </w:numPr>
      </w:pPr>
      <w:r>
        <w:t xml:space="preserve">A feature’s activation funnel</w:t>
      </w:r>
    </w:p>
    <w:p>
      <w:pPr>
        <w:numPr>
          <w:ilvl w:val="1"/>
          <w:numId w:val="1004"/>
        </w:numPr>
      </w:pPr>
      <w:r>
        <w:t xml:space="preserve">An A/B testing experiment</w:t>
      </w:r>
    </w:p>
    <w:bookmarkEnd w:id="25"/>
    <w:bookmarkStart w:id="26" w:name="key-success-factors"/>
    <w:p>
      <w:pPr>
        <w:pStyle w:val="Heading1"/>
      </w:pPr>
      <w:r>
        <w:t xml:space="preserve">Key Success Factors</w:t>
      </w:r>
    </w:p>
    <w:p>
      <w:pPr>
        <w:numPr>
          <w:ilvl w:val="0"/>
          <w:numId w:val="1005"/>
        </w:numPr>
      </w:pPr>
      <w:r>
        <w:t xml:space="preserve">Get</w:t>
      </w:r>
      <w:r>
        <w:t xml:space="preserve"> </w:t>
      </w:r>
      <w:r>
        <w:t xml:space="preserve">slt</w:t>
      </w:r>
      <w:r>
        <w:t xml:space="preserve"> </w:t>
      </w:r>
      <w:r>
        <w:t xml:space="preserve">buy-in.</w:t>
      </w:r>
    </w:p>
    <w:p>
      <w:pPr>
        <w:numPr>
          <w:ilvl w:val="0"/>
          <w:numId w:val="1005"/>
        </w:numPr>
      </w:pPr>
      <w:r>
        <w:t xml:space="preserve">Set a</w:t>
      </w:r>
      <w:r>
        <w:t xml:space="preserve"> </w:t>
      </w:r>
      <w:r>
        <w:t xml:space="preserve">raci</w:t>
      </w:r>
      <w:r>
        <w:t xml:space="preserve"> </w:t>
      </w:r>
      <w:r>
        <w:t xml:space="preserve">matrix.</w:t>
      </w:r>
    </w:p>
    <w:p>
      <w:pPr>
        <w:numPr>
          <w:ilvl w:val="0"/>
          <w:numId w:val="1005"/>
        </w:numPr>
      </w:pPr>
      <w:r>
        <w:t xml:space="preserve">Once the</w:t>
      </w:r>
      <w:r>
        <w:t xml:space="preserve"> </w:t>
      </w:r>
      <w:r>
        <w:t xml:space="preserve">poc</w:t>
      </w:r>
      <w:r>
        <w:t xml:space="preserve"> </w:t>
      </w:r>
      <w:r>
        <w:t xml:space="preserve">is successful, institutionalize the project within the company (possibly hosted by a new team, have a</w:t>
      </w:r>
      <w:r>
        <w:t xml:space="preserve"> </w:t>
      </w:r>
      <w:r>
        <w:t xml:space="preserve">sop</w:t>
      </w:r>
      <w:r>
        <w:t xml:space="preserve"> </w:t>
      </w:r>
      <w:r>
        <w:t xml:space="preserve">and documentation written-up.)</w:t>
      </w:r>
    </w:p>
    <w:p>
      <w:pPr>
        <w:numPr>
          <w:ilvl w:val="0"/>
          <w:numId w:val="1005"/>
        </w:numPr>
      </w:pPr>
      <w:r>
        <w:t xml:space="preserve">Revisit the program and re-evaluate its</w:t>
      </w:r>
      <w:r>
        <w:t xml:space="preserve"> </w:t>
      </w:r>
      <w:r>
        <w:t xml:space="preserve">roi</w:t>
      </w:r>
      <w:r>
        <w:t xml:space="preserve"> </w:t>
      </w:r>
      <w:r>
        <w:t xml:space="preserve">once a year.</w:t>
      </w:r>
    </w:p>
    <w:bookmarkEnd w:id="26"/>
    <w:bookmarkStart w:id="27" w:name="sec:budget"/>
    <w:p>
      <w:pPr>
        <w:pStyle w:val="Heading1"/>
      </w:pPr>
      <w:r>
        <w:t xml:space="preserve">Budget Estimation</w:t>
      </w:r>
    </w:p>
    <w:p>
      <w:pPr>
        <w:numPr>
          <w:ilvl w:val="0"/>
          <w:numId w:val="1006"/>
        </w:numPr>
      </w:pPr>
      <w:r>
        <w:t xml:space="preserve">Phase 1 (approx. $1,000)</w:t>
      </w:r>
    </w:p>
    <w:p>
      <w:pPr>
        <w:numPr>
          <w:ilvl w:val="1"/>
          <w:numId w:val="1007"/>
        </w:numPr>
      </w:pPr>
      <w:r>
        <w:t xml:space="preserve">Software Subscription $300</w:t>
      </w:r>
    </w:p>
    <w:p>
      <w:pPr>
        <w:numPr>
          <w:ilvl w:val="1"/>
          <w:numId w:val="1007"/>
        </w:numPr>
      </w:pPr>
      <w:r>
        <w:t xml:space="preserve">Display $400</w:t>
      </w:r>
    </w:p>
    <w:p>
      <w:pPr>
        <w:numPr>
          <w:ilvl w:val="1"/>
          <w:numId w:val="1007"/>
        </w:numPr>
      </w:pPr>
      <w:r>
        <w:t xml:space="preserve">Small PC $150</w:t>
      </w:r>
    </w:p>
    <w:p>
      <w:pPr>
        <w:numPr>
          <w:ilvl w:val="0"/>
          <w:numId w:val="1006"/>
        </w:numPr>
      </w:pPr>
      <w:r>
        <w:t xml:space="preserve">Phase 2 (approx. $8,000)</w:t>
      </w:r>
    </w:p>
    <w:p>
      <w:pPr>
        <w:numPr>
          <w:ilvl w:val="1"/>
          <w:numId w:val="1008"/>
        </w:numPr>
      </w:pPr>
      <w:r>
        <w:t xml:space="preserve">Software Subscription $6,700</w:t>
      </w:r>
    </w:p>
    <w:p>
      <w:pPr>
        <w:numPr>
          <w:ilvl w:val="1"/>
          <w:numId w:val="1008"/>
        </w:numPr>
      </w:pPr>
      <w:r>
        <w:t xml:space="preserve">+2 Displays w/PCs $1,200</w:t>
      </w:r>
    </w:p>
    <w:bookmarkEnd w:id="27"/>
    <w:bookmarkStart w:id="30" w:name="sec:what-next"/>
    <w:p>
      <w:pPr>
        <w:pStyle w:val="Heading1"/>
      </w:pPr>
      <w:r>
        <w:t xml:space="preserve">What Next?</w:t>
      </w:r>
    </w:p>
    <w:p>
      <w:pPr>
        <w:pStyle w:val="FirstParagraph"/>
      </w:pPr>
      <w:r>
        <w:t xml:space="preserve">Once the above is successfully executed, and there is a wide adoption within the company, the suggested next phase is to implement a more rigorous approach in the use of data and the analysis of the evolution of</w:t>
      </w:r>
      <w:r>
        <w:t xml:space="preserve"> </w:t>
      </w:r>
      <w:r>
        <w:t xml:space="preserve">kpi</w:t>
      </w:r>
      <w:r>
        <w:t xml:space="preserve">s.</w:t>
      </w:r>
    </w:p>
    <w:p>
      <w:pPr>
        <w:pStyle w:val="BodyText"/>
      </w:pPr>
      <w:r>
        <w:t xml:space="preserve">Amazon led the way on how to effectively use metrics in their business. The last chapter of "Working Backwards"</w:t>
      </w:r>
      <w:r>
        <w:t xml:space="preserve"> </w:t>
      </w:r>
      <w:r>
        <w:t xml:space="preserve">describes precisely the methodology used at Amazon. Some highlights can be found on the CommonCog website</w:t>
      </w:r>
      <w:r>
        <w:t xml:space="preserve">.</w:t>
      </w:r>
    </w:p>
    <w:bookmarkStart w:id="28" w:name="sec:caveat"/>
    <w:p>
      <w:pPr>
        <w:pStyle w:val="Heading2"/>
      </w:pPr>
      <w:r>
        <w:t xml:space="preserve">Caveat</w:t>
      </w:r>
    </w:p>
    <w:p>
      <w:pPr>
        <w:pStyle w:val="FirstParagraph"/>
      </w:pPr>
      <w:r>
        <w:t xml:space="preserve">Given that we are in a business-to-business type of software industry, the number of datapoints can range in the hundreds or thousands vs. millions for business-to-consumer activities. Hence one must remain attentive about the statistical significance of our data.</w:t>
      </w:r>
    </w:p>
    <w:bookmarkEnd w:id="28"/>
    <w:bookmarkStart w:id="29" w:name="sec:resources"/>
    <w:p>
      <w:pPr>
        <w:pStyle w:val="Heading2"/>
      </w:pPr>
      <w:r>
        <w:t xml:space="preserve">Other Resources</w:t>
      </w:r>
    </w:p>
    <w:p>
      <w:pPr>
        <w:numPr>
          <w:ilvl w:val="0"/>
          <w:numId w:val="1009"/>
        </w:numPr>
      </w:pPr>
      <w:r>
        <w:t xml:space="preserve">Metrics that Matter to Product Managers (website)</w:t>
      </w:r>
    </w:p>
    <w:p>
      <w:pPr>
        <w:numPr>
          <w:ilvl w:val="0"/>
          <w:numId w:val="1009"/>
        </w:numPr>
      </w:pPr>
      <w:r>
        <w:t xml:space="preserve">Lean analytics: use data to build a better startup faster (book)</w:t>
      </w:r>
    </w:p>
    <w:p>
      <w:pPr>
        <w:numPr>
          <w:ilvl w:val="0"/>
          <w:numId w:val="1009"/>
        </w:numPr>
      </w:pPr>
      <w:r>
        <w:t xml:space="preserve">Although considered outdated or overkill by some people, I believe SixSigma – or its lighter version Lean SixSigma – is a very good methodology, training &amp; certification to understand key statistical concepts and put them in practice.</w:t>
      </w:r>
    </w:p>
    <w:bookmarkEnd w:id="29"/>
    <w:bookmarkEnd w:id="30"/>
    <w:bookmarkStart w:id="31" w:name="guide-to-product-metrics"/>
    <w:p>
      <w:pPr>
        <w:pStyle w:val="Heading1"/>
      </w:pPr>
      <w:r>
        <w:t xml:space="preserve">Guide to Product Metrics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Acquisition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new signups and/or qualified leads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Customer acquisition cost (CAC)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Activation rate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Time to activate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Free-to-paid conversions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Monthly, weekly, and/or daily active users (MAU, WAU, DAU)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Stickiness (DAU/MAU)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Feature 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rate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Churn rate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Customer lifetime value (CLV)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Monetization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 revenue retention (NRR)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Monthly recurring revenue (MRR)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Average revenue per user (ARPU)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Star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Star Metric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– Product Team Metrics Wallboards</dc:title>
  <dc:creator>Laurent Lathieyre</dc:creator>
  <cp:keywords/>
  <dcterms:created xsi:type="dcterms:W3CDTF">2023-12-02T20:37:53Z</dcterms:created>
  <dcterms:modified xsi:type="dcterms:W3CDTF">2023-12-02T20:37:53Z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