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left"/>
      </w:pPr>
      <w:r>
        <w:rPr>
          <w:b/>
          <w:color w:val="000000"/>
          <w:sz w:val="32"/>
          <w:rFonts w:eastAsia="黑体" w:ascii="黑体" w:hAnsi="黑体"/>
        </w:rPr>
        <w:t>研究方法论工具运用</w:t>
      </w:r>
    </w:p>
    <w:p>
      <w:pPr>
        <w:spacing w:before="90" w:after="90" w:line="360" w:lineRule="auto"/>
        <w:ind w:firstLine="480"/>
        <w:jc w:val="both"/>
      </w:pPr>
      <w:r>
        <w:rPr>
          <w:b w:val="0"/>
          <w:color w:val="000000"/>
          <w:sz w:val="32"/>
          <w:rFonts w:eastAsia="仿宋" w:ascii="仿宋" w:hAnsi="仿宋"/>
        </w:rPr>
        <w:t>研究工作在各环节综合运用了以下方法论工具，为技术成熟度判断、应用场景验证、风险与挑战评估、市场规模测算、行业竞争格局分析、战略匹配度判断、评估结论收敛、实施建议设计提供方法支撑，避免研判结论仅凭经验或者主观判断得出。各研究环节运用的主要方法论工具如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8640" w:type="dxa"/>
      </w:tblPr>
      <w:tblGrid>
        <w:gridCol w:w="2468"/>
        <w:gridCol w:w="6172"/>
      </w:tblGrid>
      <w:tr>
        <w:tc>
          <w:tcPr>
            <w:tcW w:type="dxa" w:w="4333"/>
            <w:tcW w:w="2468" w:type="dxa"/>
            <w:shd w:val="clear" w:color="auto" w:fill="E8E8E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研究环节</w:t>
            </w:r>
          </w:p>
        </w:tc>
        <w:tc>
          <w:tcPr>
            <w:tcW w:type="dxa" w:w="4333"/>
            <w:tcW w:w="6172" w:type="dxa"/>
            <w:shd w:val="clear" w:color="auto" w:fill="E8E8E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方法论工具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技术成熟度判断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Hype Cycle技术成熟度曲线、TRL技术就绪度量化评分体系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场景与案例验证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JTBD（Jobs-to-be-Done）、APQC标杆案例对标、Priority Matrix效益优先级判断、新兴技术雷达（Emerging Tech Impact Radar）组合价值定位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风险与挑战评估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PESTEL宏观扫描、FMEA风险优先级排序、FAIR量化损失测算，三层递进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市场规模测算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TAM/SAM/SOM三层市场结构、自上而下/自下而上双向验证、Gartner/IDC第三方权威数据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行业结构与厂商格局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Porter's Five Forces波特五力分析、Magic Quadrant厂商定位矩阵、Critical Capabilities等细分能力比较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战略定位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SWOT分析、Real Options分阶段投资决策机制、McKinsey 7S组织一致性检验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评估结论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Delphi德尔菲法专家共识收敛、Triangulation三角验证法、Logframe逻辑框分析法</w:t>
            </w:r>
          </w:p>
        </w:tc>
      </w:tr>
      <w:tr>
        <w:tc>
          <w:tcPr>
            <w:tcW w:type="dxa" w:w="2468"/>
            <w:tcW w:w="24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000000"/>
                <w:sz w:val="24"/>
                <w:rFonts w:eastAsia="仿宋" w:ascii="仿宋" w:hAnsi="仿宋"/>
              </w:rPr>
              <w:t>实施建议</w:t>
            </w:r>
          </w:p>
        </w:tc>
        <w:tc>
          <w:tcPr>
            <w:tcW w:type="dxa" w:w="6172"/>
            <w:tcW w:w="61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color w:val="000000"/>
                <w:sz w:val="24"/>
                <w:rFonts w:eastAsia="仿宋" w:ascii="仿宋" w:hAnsi="仿宋"/>
              </w:rPr>
              <w:t>Kotter变革八步法、技术路线图（Roadmap）、PDCA循环、OKR</w:t>
            </w:r>
          </w:p>
        </w:tc>
      </w:tr>
    </w:tbl>
    <w:p>
      <w:pPr>
        <w:spacing w:after="120"/>
      </w:pPr>
    </w:p>
    <w:p>
      <w:pPr>
        <w:spacing w:before="90" w:after="90" w:line="360" w:lineRule="auto"/>
        <w:ind w:firstLine="480"/>
        <w:jc w:val="both"/>
      </w:pPr>
      <w:r>
        <w:rPr>
          <w:b w:val="0"/>
          <w:color w:val="000000"/>
          <w:sz w:val="32"/>
          <w:rFonts w:eastAsia="仿宋" w:ascii="仿宋" w:hAnsi="仿宋"/>
        </w:rPr>
        <w:t>各方法的具体定义、适用边界与操作要点，见本报告附录《前沿技术研究方法论工具》。</w:t>
      </w:r>
    </w:p>
    <w:sectPr w:rsidR="00FC693F" w:rsidRPr="0006063C" w:rsidSect="00034616"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