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1993192F"/>
    <w:p w14:paraId="370DFC7B"/>
    <w:p w14:paraId="6AD0BBFC">
      <w:pPr>
        <w:spacing w:before="0" w:after="120" w:line="360" w:lineRule="auto"/>
        <w:ind w:left="0" w:firstLine="0"/>
        <w:jc w:val="center"/>
      </w:pPr>
      <w:r>
        <w:rPr>
          <w:rFonts w:hint="eastAsia" w:ascii="宋体" w:hAnsi="宋体" w:eastAsia="宋体"/>
          <w:b/>
          <w:i w:val="0"/>
          <w:color w:val="000000"/>
          <w:sz w:val="42"/>
        </w:rPr>
        <w:t>前沿技术专题研究报告</w:t>
      </w:r>
    </w:p>
    <w:p w14:paraId="0345D316">
      <w:pPr>
        <w:spacing w:before="0" w:after="60" w:line="360" w:lineRule="auto"/>
        <w:ind w:left="0" w:firstLine="0"/>
        <w:jc w:val="center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客户数字孪生（DToC）</w:t>
      </w:r>
    </w:p>
    <w:p w14:paraId="72685F41">
      <w:pPr>
        <w:spacing w:before="0" w:after="60" w:line="360" w:lineRule="auto"/>
        <w:ind w:left="0" w:firstLine="0"/>
        <w:jc w:val="center"/>
      </w:pPr>
      <w:r>
        <w:rPr>
          <w:rFonts w:ascii="仿宋" w:hAnsi="仿宋" w:eastAsia="仿宋"/>
          <w:b w:val="0"/>
          <w:i w:val="0"/>
          <w:color w:val="000000"/>
          <w:sz w:val="28"/>
        </w:rPr>
        <w:t>Digital Twin of Customer</w:t>
      </w:r>
    </w:p>
    <w:p w14:paraId="20ABDAB3">
      <w:pPr>
        <w:spacing w:before="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——技术跟踪与客户行为推演能力切入路径研究</w:t>
      </w:r>
    </w:p>
    <w:p w14:paraId="4CC2B705"/>
    <w:p w14:paraId="2F20B31F"/>
    <w:p w14:paraId="79BA6AE6"/>
    <w:p w14:paraId="6FD153FF"/>
    <w:p w14:paraId="70B45DDF"/>
    <w:p w14:paraId="47073640"/>
    <w:p w14:paraId="4EE67CE5"/>
    <w:p w14:paraId="03AA44EF"/>
    <w:p w14:paraId="19410632">
      <w:pPr>
        <w:spacing w:before="0" w:after="60" w:line="360" w:lineRule="auto"/>
        <w:ind w:left="0" w:firstLine="0"/>
        <w:jc w:val="center"/>
        <w:rPr>
          <w:rFonts w:hint="default" w:eastAsia="仿宋"/>
          <w:lang w:val="en-US" w:eastAsia="zh-CN"/>
        </w:rPr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编制部门：</w:t>
      </w:r>
      <w:r>
        <w:rPr>
          <w:rFonts w:hint="eastAsia"/>
          <w:b w:val="0"/>
          <w:i w:val="0"/>
          <w:color w:val="000000"/>
          <w:sz w:val="28"/>
          <w:lang w:val="en-US" w:eastAsia="zh-CN"/>
        </w:rPr>
        <w:t>科技发展部科技规划处</w:t>
      </w:r>
    </w:p>
    <w:p w14:paraId="7FD42FC3">
      <w:pPr>
        <w:spacing w:before="0" w:after="60" w:line="360" w:lineRule="auto"/>
        <w:ind w:left="0" w:firstLine="0"/>
        <w:jc w:val="center"/>
        <w:rPr>
          <w:rFonts w:hint="eastAsia" w:eastAsia="宋体"/>
          <w:lang w:eastAsia="zh-CN"/>
        </w:rPr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报告版本：V2.3</w:t>
      </w:r>
      <w:r>
        <w:rPr>
          <w:rFonts w:hint="eastAsia"/>
          <w:b w:val="0"/>
          <w:i w:val="0"/>
          <w:color w:val="000000"/>
          <w:sz w:val="28"/>
          <w:lang w:val="en-US" w:eastAsia="zh-CN"/>
        </w:rPr>
        <w:t>6</w:t>
      </w:r>
    </w:p>
    <w:p w14:paraId="79152713">
      <w:pPr>
        <w:spacing w:before="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编制日期：2026年</w:t>
      </w:r>
      <w:r>
        <w:rPr>
          <w:rFonts w:hint="eastAsia" w:ascii="仿宋" w:hAnsi="仿宋" w:eastAsia="仿宋"/>
          <w:b w:val="0"/>
          <w:i w:val="0"/>
          <w:color w:val="000000"/>
          <w:sz w:val="28"/>
          <w:lang w:val="en-US" w:eastAsia="zh-CN"/>
        </w:rPr>
        <w:t>9</w:t>
      </w:r>
      <w:r>
        <w:rPr>
          <w:rFonts w:hint="eastAsia" w:ascii="仿宋" w:hAnsi="仿宋" w:eastAsia="仿宋"/>
          <w:b w:val="0"/>
          <w:i w:val="0"/>
          <w:color w:val="000000"/>
          <w:sz w:val="28"/>
        </w:rPr>
        <w:t>月</w:t>
      </w:r>
    </w:p>
    <w:p w14:paraId="0383A1DB">
      <w:r>
        <w:br w:type="page"/>
      </w:r>
      <w:bookmarkStart w:id="0" w:name="_GoBack"/>
      <w:bookmarkEnd w:id="0"/>
    </w:p>
    <w:p w14:paraId="27E146A6">
      <w:pPr>
        <w:pStyle w:val="3"/>
        <w:spacing w:before="240" w:after="120" w:line="360" w:lineRule="auto"/>
        <w:ind w:left="0" w:firstLine="0"/>
        <w:jc w:val="left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一、执行摘要</w:t>
      </w:r>
    </w:p>
    <w:p w14:paraId="27186C92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color w:val="000000"/>
          <w:sz w:val="32"/>
        </w:rPr>
        <w:t>客户数字孪生（DToC）是客户智能从"描述→预测"向"推演"演进的下一步：它用AI/ML、行为建模与因果推断，为单个客户或客群建立动态虚拟镜像，回答一个此前算不清的问题——"若银行做X，客户会怎么反应"。Gartner于2025年10月的销售技术Hype Cycle将其列为"创新触发期"</w:t>
      </w:r>
      <w:r>
        <w:rPr>
          <w:rFonts w:ascii="仿宋" w:hAnsi="仿宋" w:eastAsia="仿宋"/>
          <w:color w:val="000000"/>
          <w:sz w:val="32"/>
          <w:vertAlign w:val="superscript"/>
        </w:rPr>
        <w:t>[1]</w:t>
      </w:r>
      <w:r>
        <w:rPr>
          <w:rFonts w:ascii="仿宋" w:hAnsi="仿宋" w:eastAsia="仿宋"/>
          <w:color w:val="000000"/>
          <w:sz w:val="32"/>
        </w:rPr>
        <w:t>。本报告的结论是：方向值得投入，但当下不具备投入条件。综合六维评估，建议处置档位为"动态观察（观察层）"——价值贡献度4分（效率、风控、体验多维价值明确、可初步量化），说明"值得做"；但技术成熟度仅2分（创新触发期、银行业无生产案例）、引入可行度仅2分（合规与人才短板需专项治理），说明"现在做不了"；技术路径尚未定型，也谈不上研究层所要求的"趋势明确"。价值已明而可行度未备，正是"跟踪待升"而非"立即投入"的形态。因此观察期内不建平台、不启动专项POC，只做低成本跟踪与数据底座补短板，待预设触发条件满足后再行升档（见第九章）。</w:t>
      </w:r>
    </w:p>
    <w:p w14:paraId="013286E4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之所以值得跟踪，是因为它对准的是一类长期算不清的账。银行业客户经营普遍存在三类痛点：营销预算大量耗在"不给优惠也会买"的自然转化者与"被打扰反而流失"的负敏感客户身上、流失干预分不清"不干预也会留"与"给优惠才留"的人群、新产品发行缺乏前置推演只能靠经验试错。症结在于，传统预测模型只能回答"客户会不会做X"，却算不出"因为银行的干预、客户才多做了多少"。这正是DToC的增量所在——它建的不是更全的数据，而是模型驱动的因果推演闭环。实现这一闭环必需且稀缺的输入是干预事件数据，核心难题是选择偏差（历史干预人群不可比会高估效果）；好消息是多数核心场景T+1数据即可支撑，实时计算并非必要前提。参考架构分四层（非行业强制标准），其中推演层是相对现有体系的真正增量。</w:t>
      </w:r>
    </w:p>
    <w:p w14:paraId="4619766F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color w:val="000000"/>
          <w:sz w:val="32"/>
        </w:rPr>
        <w:t>落到应用，本报告规划了五大场景（理财续投干预、新品发行模拟、预算分配优化、客户旅程优化、产品设计模拟），若升档启动POC，首选理财续投——T+1数据可支撑、业务价值明确、最易验证、合规风险可控。效益按保守、中性、乐观三档给出区间（客户流失率降低5%—25%、营销转化率提升10%—40%、投资回收期18—48个月）。这里须坦白交代依据的成色：截至编制日，尚无任何机构发布过DToC效益的独立公开数据，上述数字来自厂商材料、非金融业通用基准与理论推算，同业案例只能证明推演能力可以落地、均未披露本表所列百分比；因此这些数字属示意区间、非收益承诺，须经实测复评。</w:t>
      </w:r>
    </w:p>
    <w:p w14:paraId="2BD9AE99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制约同样明确。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法律框架下的边界是"三块能做、三条不能碰"：能做风控类、群体级、辅助人工决策型DToC，不能碰无人工复核的自动化决策、大数据杀熟、敏感个人信息训练生成式模型。主要风险为隐私合规、数据质量偏差与复合型人才缺口，但隐私计算、数据脱敏、分级授权、人工复核等前置管控手段均可行，不触发"无可行前置管控"的单列否决。市场侧，DToC是数字孪生的细分方向，全球数字孪生市场2025年约244.8亿美元、2026年约339.7亿美元，但DToC占比很小、仍处早期；供给端多路并存，传统"CDP+推荐"的组合构成高威胁替代，技术栈以开源为主、无强锁定，生态开放度3分。</w:t>
      </w:r>
    </w:p>
    <w:p w14:paraId="0ECB8C6F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color w:val="000000"/>
          <w:sz w:val="32"/>
        </w:rPr>
        <w:t>就本行而言，DToC命中"数智化"战略下的"客户经营"体系与"数智营销"领域，是对现有营销AI从"预测谁会买"向"算清增量、优化投放"的深化，而非另辟战线；但本行点名的AI旗舰路径是金融垂类大模型与智能体，DToC未在其列，战略匹配度评3分。综合六维评分——技术成熟度2分、战略匹配度3分、价值贡献度4分、引入可行度2分、战略紧迫度3分、生态开放度3分，其中价值贡献度按规范"两个以上维度价值明确、可初步量化"评4分（区间绝对值仍属示意测算，须实测校准）——组合判据指向"动态观察（观察层）"：价值贡献度虽达4分，但布局层同时要求战略匹配度不低于4分、引入可行度不低于3分，两项均不满足；观察层判据中"技术成熟度不高于2分"成立，战略匹配度因方向内技术路径清单未细化、归属有待复核而属"待判"（无论维持3分或降至2分均低于4分，不影响档位），条件命中；战略紧迫度3分，故在观察层内按较高频次（建议半年一次）跟踪复评，而非一年一次的常规观察节奏。</w:t>
      </w:r>
    </w:p>
    <w:p w14:paraId="6047EA62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color w:val="000000"/>
          <w:sz w:val="32"/>
        </w:rPr>
        <w:t>落地路径上，以"五路能力"（数据底座／行为建模／场景推演／决策集成／合规与隐私计算）为主线渐进建设，每路同步解决一个现有客户画像痛点；触发升档后，以6个月POC验证理财续投场景，成功标准为A/B测试增量续投≥20%，止损标准为增量&lt;10%或回溯偏差&gt;40%，即便验证不通过，也将沉淀干预事件数据采集规范、标签体系与Uplift建模能力，不白费。核心组件（Uplift建模与推演引擎）自研，通用设施复用开源与行内已有能力。</w:t>
      </w:r>
    </w:p>
    <w:p w14:paraId="70048926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b/>
          <w:color w:val="000000"/>
          <w:sz w:val="32"/>
        </w:rPr>
        <w:t>须说明：</w:t>
      </w:r>
      <w:r>
        <w:rPr>
          <w:rFonts w:ascii="仿宋" w:hAnsi="仿宋" w:eastAsia="仿宋"/>
          <w:color w:val="000000"/>
          <w:sz w:val="32"/>
        </w:rPr>
        <w:t>本报告效益与场景数字均为示意性参考区间，非收益承诺，实际以实测为准；研究方法、名词解释与参考文献见附录一—三。</w:t>
      </w:r>
    </w:p>
    <w:p w14:paraId="789A8E12">
      <w:pPr>
        <w:pStyle w:val="3"/>
        <w:spacing w:before="240" w:after="120" w:line="360" w:lineRule="auto"/>
        <w:ind w:left="0" w:firstLine="0"/>
        <w:jc w:val="left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二、背景与现状</w:t>
      </w:r>
    </w:p>
    <w:p w14:paraId="1102B081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（一）客户智能的三阶段演进：从描述到预测再到推演</w:t>
      </w:r>
    </w:p>
    <w:p w14:paraId="0A70E289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国内银行业的客户管理智能化大致经历了三个阶段，DToC指向的是第三阶段。作这一划分，是为了说清DToC究竟新在哪里，从而判断值不值得投入；前两个阶段的能力并不会因此被替代。（其中第一阶段的核心工具是客户数据平台，即CDP，Customer Data Platform，用于整合多源客户数据形成统一客户视图；术语详见附录二名词解释。）</w:t>
      </w:r>
    </w:p>
    <w:p w14:paraId="316236EC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表1 客户智能三阶段与银行现状对照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1733"/>
        <w:gridCol w:w="1733"/>
        <w:gridCol w:w="1733"/>
        <w:gridCol w:w="1733"/>
      </w:tblGrid>
      <w:tr w14:paraId="2058EE9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752147FE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阶段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6C595BDB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核心能力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294CCBCE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回答的问题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41FD4B3A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典型技术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08CE9E8A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银行现状</w:t>
            </w:r>
          </w:p>
        </w:tc>
      </w:tr>
      <w:tr w14:paraId="00E766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5CFDE2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第一阶段：描述性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53CEFD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客户画像、客户分群、RFM模型、BI报表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0479ED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客户过去是什么样？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78CDB2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CDP、数据仓库、标签体系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0CBF23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绝大多数银行已具备</w:t>
            </w:r>
          </w:p>
        </w:tc>
      </w:tr>
      <w:tr w14:paraId="6D60DAA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E1C88B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第二阶段：预测性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AF62C6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流失预警、营销响应模型、信用评分、推荐系统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9D02F7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客户未来可能做什么？（单一维度预测）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7AF8F8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XGBoost、深度学习、协同过滤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B3653E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多数银行已具备（单点模型）</w:t>
            </w:r>
          </w:p>
        </w:tc>
      </w:tr>
      <w:tr w14:paraId="023D1E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840213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第三阶段：推演性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670B1A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客户行为模拟、反事实评估、Uplift增量预测、What-if场景推演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F88ED0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如果银行做X，客户会怎么反应？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BEDA0C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因果推断、Uplift Modeling、Agent建模、强化学习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D42A85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几乎空白（DToC主张的能力）</w:t>
            </w:r>
          </w:p>
        </w:tc>
      </w:tr>
    </w:tbl>
    <w:p w14:paraId="381C8B62">
      <w:pPr>
        <w:spacing w:before="0" w:after="40"/>
      </w:pPr>
    </w:p>
    <w:p w14:paraId="13CEBF08">
      <w:pPr>
        <w:spacing w:after="40"/>
        <w:jc w:val="center"/>
      </w:pPr>
      <w:r>
        <w:drawing>
          <wp:inline distT="0" distB="0" distL="114300" distR="114300">
            <wp:extent cx="5579745" cy="3887470"/>
            <wp:effectExtent l="0" t="0" r="1905" b="17780"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Picture 1"/>
                    <pic:cNvPicPr>
                      <a:picLocks noChangeAspect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8877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05D882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图1 客户智能三阶段演进示意图（自绘）：第三阶段"推演性"即DToC主张的能力所在</w:t>
      </w:r>
    </w:p>
    <w:p w14:paraId="02FA44D2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上表与示意图已给出三阶段的划分与能力递进。需要点明的关键跳跃，在第二阶段到第三阶段之间：第二阶段预测模型只能回答"客户会不会做X"，却算不出"因为银行的干预、客户才多做了多少"——这正是本章第（三）节四类客户失效机制的根源；第三阶段的价值，正是补上这层因果推演，把"银行做X、客户会怎么反应"变成可模拟、可优化的对象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[12][13]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。</w:t>
      </w:r>
    </w:p>
    <w:p w14:paraId="244E3AED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（二）行业关注DToC的驱动因素</w:t>
      </w:r>
    </w:p>
    <w:p w14:paraId="6DFA6A75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银行业关注DToC的核心驱动力来自三个层面：</w:t>
      </w:r>
    </w:p>
    <w:p w14:paraId="4262BC19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客户体验竞争加剧。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在利率市场化和金融脱媒背景下，客户体验已成为银行差异化竞争的关键。传统"千人一面"的服务模式难以满足个性化需求，而DToC提供的行为推演能力被视为下一代客户体验管理的核心技术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[14]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。</w:t>
      </w:r>
    </w:p>
    <w:p w14:paraId="1A3931BD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获客成本持续上升。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金融服务行业获取新客户的成本显著高于保留现有客户，DToC通过识别交叉销售机会、模拟新产品接受度、优化干预投放，直接提升客户留存率和单客户价值（LTV）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[12][15]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。</w:t>
      </w:r>
    </w:p>
    <w:p w14:paraId="03E06310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AI大模型技术降低了行为建模门槛。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生成式AI和大语言模型的发展使从非结构化数据（客服对话、投诉文本）中提取客户行为信号更为可行，多模态融合建模能力的提升为DToC提供了技术基础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[16]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。</w:t>
      </w:r>
    </w:p>
    <w:p w14:paraId="0ED5C399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（三）传统客户管理方式的具体失效机制</w:t>
      </w:r>
    </w:p>
    <w:p w14:paraId="2C98A7BA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传统客户管理方式在以下场景中存在具体的失效机制，而非笼统的"效率较低"。</w:t>
      </w:r>
    </w:p>
    <w:p w14:paraId="469EF7C2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第一，营销预算浪费在"自然转化"和"反效果"客户身上。传统营销响应模型只能预测"收到营销后谁会购买"，输出响应概率，但无法计算增量效应（给优惠后的购买率减不给优惠的购买率），因此无法区分以下四类客户（即Uplift增量模型经典的"四类人群"划分）：</w:t>
      </w:r>
    </w:p>
    <w:p w14:paraId="6894A625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表2 传统响应模型下的四类客户分解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1733"/>
        <w:gridCol w:w="1733"/>
        <w:gridCol w:w="1733"/>
        <w:gridCol w:w="1733"/>
      </w:tblGrid>
      <w:tr w14:paraId="10C2E7D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2A6C37D7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客户类型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24766EC2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不给优惠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73C20CBA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给优惠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1265E516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给优惠的效果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7647E82F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传统响应模型能否识别</w:t>
            </w:r>
          </w:p>
        </w:tc>
      </w:tr>
      <w:tr w14:paraId="711632C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30129F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① 肯定买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8FD9C4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会买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249391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会买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E18F78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浪费（本来就会买，优惠白给）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763CFA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否：被标为"高响应"，实为浪费</w:t>
            </w:r>
          </w:p>
        </w:tc>
      </w:tr>
      <w:tr w14:paraId="2C39B20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417D89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② 给优惠才买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F84F0F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不买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F3606F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会买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576C70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值得（增量转化，优惠花对了）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3F3A7B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否：被标为"高响应"，但与①无法区分</w:t>
            </w:r>
          </w:p>
        </w:tc>
      </w:tr>
      <w:tr w14:paraId="3321FF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CC1A96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③ 给优惠反而不买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235204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会买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658EFC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不买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F85917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反效果（被打扰或怀疑产品）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450D6C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否：完全识别不了，可能拉低转化率</w:t>
            </w:r>
          </w:p>
        </w:tc>
      </w:tr>
      <w:tr w14:paraId="325499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D14EA0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④ 怎么都不买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885E17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不买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7D3C4A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不买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1C2354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浪费（怎么都不买）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C543E3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否：被标为"低响应"，但与②无法区分</w:t>
            </w:r>
          </w:p>
        </w:tc>
      </w:tr>
    </w:tbl>
    <w:p w14:paraId="49D016D6">
      <w:pPr>
        <w:spacing w:before="0" w:after="40"/>
      </w:pPr>
    </w:p>
    <w:p w14:paraId="5C6023D5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传统做法按响应概率从高到低排序选Top N投放，结果是：①和②都被标为"高响应"一起投放（①是浪费）；③完全识别不了、可能被投放（反效果）；②和④都被标为"低响应"、②可能被漏掉（而②恰恰是真正值得投放的对象）。以归一化的示意口径（每千次投放计）：传统全域投放下增量留存约35人，Uplift精准投放可提升至约58人（相对提升约66%），无效自然用户占比下降约9.6个百分点；该数值为演示增量量级的归一化示意（非特定机构实测，非收益承诺），实际以POC为准。Uplift增量模型的核心价值就是识别②类客户，只对其投放，把预算花在刀刃上，同时避开③类反效果客户。</w:t>
      </w:r>
    </w:p>
    <w:p w14:paraId="683C88AB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第二，人生事件预判失效。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传统客户画像基于历史数据分类，无法预判客户即将经历的重大人生事件（如结婚、购房、生育、退休）。这些事件往往是金融需求的爆发点，但银行通常在客户主动申请时才获知，错失主动服务的最佳窗口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[12][15]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。</w:t>
      </w:r>
    </w:p>
    <w:p w14:paraId="1A5E824B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第三，流失预警滞后且干预不精准。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传统流失模型基于行为指标阈值判断，指标往往在客户已决定离开后才显现。更关键的是，传统干预对所有"高风险"客户统一投放优惠，但其中一部分"不干预也会留下"（自然留存）、另一部分"给优惠也留不住"（不可挽回），真正需要干预的是"只有干预才会留下"的可挽回人群，而传统模型作不出这个区分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[12][15]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。</w:t>
      </w:r>
    </w:p>
    <w:p w14:paraId="50CE822E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第四，新产品市场测试成本高。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新产品上线需经市场调研、小范围试点、效果评估等漫长周期，且试点结果代表性有限。推演能力可在虚拟环境中模拟新产品对不同客群的影响，预测接受度、转化率和资金来源结构（增量资金vs存量搬家），大幅降低试错成本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[12][15]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。</w:t>
      </w:r>
    </w:p>
    <w:p w14:paraId="0209C799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（四）当前客户画像体系的痛点分析</w:t>
      </w:r>
    </w:p>
    <w:p w14:paraId="5114DF64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判断要不要做DToC，得先看现有客户画像体系存在哪些具体问题。以下六类痛点是行业内的普遍现象，也正是DToC能力建设针对性的解决对象：</w:t>
      </w:r>
    </w:p>
    <w:p w14:paraId="70AE70E5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表3 当前</w:t>
      </w:r>
      <w:r>
        <w:rPr>
          <w:rFonts w:hint="eastAsia" w:ascii="仿宋" w:hAnsi="仿宋" w:eastAsia="仿宋"/>
          <w:b w:val="0"/>
          <w:i w:val="0"/>
          <w:color w:val="000000"/>
          <w:sz w:val="28"/>
          <w:lang w:val="en-US" w:eastAsia="zh-CN"/>
        </w:rPr>
        <w:t>行业</w:t>
      </w:r>
      <w:r>
        <w:rPr>
          <w:rFonts w:hint="eastAsia" w:ascii="仿宋" w:hAnsi="仿宋" w:eastAsia="仿宋"/>
          <w:b w:val="0"/>
          <w:i w:val="0"/>
          <w:color w:val="000000"/>
          <w:sz w:val="28"/>
        </w:rPr>
        <w:t>客户画像体系六类痛点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70" w:type="dxa"/>
          <w:left w:w="100" w:type="dxa"/>
          <w:bottom w:w="70" w:type="dxa"/>
          <w:right w:w="100" w:type="dxa"/>
        </w:tblCellMar>
      </w:tblPr>
      <w:tblGrid>
        <w:gridCol w:w="2168"/>
        <w:gridCol w:w="2166"/>
        <w:gridCol w:w="2166"/>
        <w:gridCol w:w="2166"/>
      </w:tblGrid>
      <w:tr w14:paraId="31A3B7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70" w:type="dxa"/>
            <w:left w:w="100" w:type="dxa"/>
            <w:bottom w:w="70" w:type="dxa"/>
            <w:right w:w="100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4B711791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痛点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61F2D3DE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具体表现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02412BDA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根因分析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0BF26682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对DToC能力的要求</w:t>
            </w:r>
          </w:p>
        </w:tc>
      </w:tr>
      <w:tr w14:paraId="6EE932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6D2FAE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标签庞杂，使用率低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C4A09F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标签体系庞杂，公司与零售条线各自建设，大量低频、闲置和重复标签；业务部门找不到、看不懂、不信任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5876B7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标签建设以技术驱动而非业务驱动，缺乏生命周期管理和使用反馈；定义不统一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BAE51F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需先做标签治理，精简出高频核心标签集</w:t>
            </w:r>
          </w:p>
        </w:tc>
      </w:tr>
      <w:tr w14:paraId="137CAE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A83E04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模型分散，重复建设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25835E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AI模型分散在各项目组，各自开发部署；同一客户在不同模型中评分不一致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F014F0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缺乏统一建模平台和特征仓库，模型治理体系不完善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55EF1B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需统一建模引擎与特征仓库</w:t>
            </w:r>
          </w:p>
        </w:tc>
      </w:tr>
      <w:tr w14:paraId="3BD0F0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E4C013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只会预测，不会归因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574003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只能预测"谁会买/谁会流失"，算不清营销的"增量"效果，预算浪费在自然转化客户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9714D6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缺乏因果推断（Uplift）能力；干预事件数据未系统化记录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A04A9E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属DToC核心增量：补干预事件数据＋Uplift建模</w:t>
            </w:r>
          </w:p>
        </w:tc>
      </w:tr>
      <w:tr w14:paraId="0F4A5F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C1B2EC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决策靠经验，产品靠试错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A810A0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新产品发行、预算分配、策略制定均依赖经验，无工具在决策前模拟"如果做X会怎样"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126EA0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缺乏场景推演（What-if）能力，决策支持停留在描述性和预测性阶段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213C0C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属DToC核心增量：建场景推演能力</w:t>
            </w:r>
          </w:p>
        </w:tc>
      </w:tr>
      <w:tr w14:paraId="06A244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E0E536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数据与决策两张皮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381CCD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标签和模型在数据平台里，决策在业务系统里；执行后效果不回流，模型无法迭代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ECA52B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缺乏统一决策服务层和闭环反馈机制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0E4B7E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需统一决策服务层与闭环反馈</w:t>
            </w:r>
          </w:p>
        </w:tc>
      </w:tr>
      <w:tr w14:paraId="36309F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D087A1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合规靠人工，数据使用不透明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8A161A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脱敏靠人工配置易遗漏，合规审查滞后；哪些数据被哪个模型用了说不清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CF97F5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缺乏自动化合规工具和数据血缘追踪，隐私计算能力未普及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BD3124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共性要求：自动化脱敏＋合成数据＋血缘追踪</w:t>
            </w:r>
          </w:p>
        </w:tc>
      </w:tr>
    </w:tbl>
    <w:p w14:paraId="0EF9EF3C">
      <w:pPr>
        <w:spacing w:before="0" w:after="40"/>
      </w:pPr>
    </w:p>
    <w:p w14:paraId="605172B5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关键判断：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上述六类痛点中，前两类（标签庞杂、模型分散）属基础能力不足，即使不做DToC也应解决；第三至五类（不会归因、决策靠经验、数据决策两张皮）才是DToC的核心增量价值所在；第六类（合规）是所有AI应用的共性要求。因此，DToC建设不应被理解为"另起炉灶建一个新平台"，而应理解为"在解决当前客户画像痛点的过程中，逐步积累朝着DToC远景方向演进的能力"——每解决一个痛点，就积累一块DToC拼图。该判断的实施安排详见第九章第一节。</w:t>
      </w:r>
    </w:p>
    <w:p w14:paraId="08A9C610">
      <w:pPr>
        <w:pStyle w:val="3"/>
        <w:spacing w:before="240" w:after="120" w:line="360" w:lineRule="auto"/>
        <w:ind w:left="0" w:firstLine="0"/>
        <w:jc w:val="left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三、技术解析</w:t>
      </w:r>
    </w:p>
    <w:p w14:paraId="0555136F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（一）技术定义与核心概念</w:t>
      </w:r>
    </w:p>
    <w:p w14:paraId="33540CF7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客户数字孪生（Digital Twin of Customer，DToC）是数字孪生技术在客户领域的应用。传统数字孪生面向物理资产、设备和流程，DToC建模的对象则是"人"，包括客户的行为、偏好、决策模式和生命周期轨迹。其定义可以概括为：利用AI/ML、行为建模和因果推断技术，为单个客户或客户群体建立与真实对象持续同步的动态虚拟镜像，用于行为模拟、趋势预测和情景推演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[1][12][13]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。</w:t>
      </w:r>
    </w:p>
    <w:p w14:paraId="784DA4C9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DToC与几个相近概念的关系可以这样理解：它以CDP为数据基础，以真实客户为同步对象，是一套动态行为镜像加推演引擎。静态客户画像只是它的输入之一，客户分群只是建模粒度的一种，推荐系统只是输出形式之一，三者都不能与DToC划等号：画像不能做模拟，分群到不了个体，推荐不做反事实推演。至于"合成客户"，那是用统计模型人工生成的测试数据，与DToC"与真实客户保持数据同步"的做法正好相反。</w:t>
      </w:r>
    </w:p>
    <w:p w14:paraId="69DEB226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（二）技术原理与关键机制</w:t>
      </w:r>
    </w:p>
    <w:p w14:paraId="1F31D88D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本节依次说明四件事：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DToC与画像、CDP的区别在哪里，"动态"是不是等于"实时"，推演需要什么数据，推演模型要解决的难点是什么。结论先行：DToC的关键在于模型驱动的因果推演闭环，不在于数据更多；"动态"指的是能够推演，不是刷新得更快；必需且稀缺的输入是干预事件数据；要克服的主要难题是选择偏差。</w:t>
      </w:r>
    </w:p>
    <w:p w14:paraId="7B0866AE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本质：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建的是一个数字副本，不是一个数据集。数字孪生讲的是在数字世界建一个与真实客户持续同步的副本，数据多并不等于有孪生。可以对照工业领域的飞机发动机数字孪生：它在数字世界里是一台运转的虚拟发动机，而不是一张参数表；真实发动机的运行数据不断修正虚拟模型，虚拟模型的模拟结果再用来指导维护决策。DToC同理：真实客户的交易和行为更新虚拟镜像，镜像的模拟结果用于支撑业务决策。</w:t>
      </w:r>
    </w:p>
    <w:p w14:paraId="64BC21A3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实质：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模型驱动的推演闭环。需要说明的是，现代CDP大多已具备"激活"能力，能把分群和标签推送到营销系统触发动作，并非完全单向。但CDP的回流是规则驱动的，逻辑是"满足X条件的客户推给Y活动"，只能回答"哪些客户符合条件"，回答不了"若银行做X，客户会怎么反应"。DToC的闭环是模型驱动的推演闭环：正向（客户行为→更新镜像）→反向（镜像用因果模型模拟反应→指导决策）→反馈（执行结果→回流校准模型）。打个比方，预测性模型告诉您"前方1公里拥堵"，推演性模型告诉您"走A线25分钟、过路费10元，走B线30分钟、过路费5元，建议走A"。缺了这层模型驱动的推演，就只是预测能力更强的高级CDP。</w:t>
      </w:r>
    </w:p>
    <w:p w14:paraId="74026E00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关键澄清：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"动态"不等于"实时"。一种常见误解是：DToC讲"动态"，就得上实时数据流。其实这里讲的动态，是指能不能做行为模拟和推演，也就是能不能回答"若做X会怎样"，跟数据更新频率是两回事：</w:t>
      </w:r>
    </w:p>
    <w:p w14:paraId="50135109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表4 数据更新频率与可支持的DToC场景范围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2166"/>
        <w:gridCol w:w="2166"/>
        <w:gridCol w:w="2166"/>
      </w:tblGrid>
      <w:tr w14:paraId="3778C5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384C732A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数据频率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197DFB0B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能支持的DToC场景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223F3E50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不能支持的场景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05DF0489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占核心场景比例</w:t>
            </w:r>
          </w:p>
        </w:tc>
      </w:tr>
      <w:tr w14:paraId="661BE22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BE8913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T+1（日级批量）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82C434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客群级流失预警与干预推演、新产品接受度模拟、营销预算分配优化、理财产品设计模拟、客户旅程整体优化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A54547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实时触发的个性化推荐、实时风控拦截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E746DD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约80%（多数核心场景T+1即可）</w:t>
            </w:r>
          </w:p>
        </w:tc>
      </w:tr>
      <w:tr w14:paraId="61C9092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01885B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准实时（分钟级）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0BEC54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上述全部＋客户旅程中的实时触点优化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46E04E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秒级风控拦截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085EAA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约95%</w:t>
            </w:r>
          </w:p>
        </w:tc>
      </w:tr>
      <w:tr w14:paraId="66F846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0C57C6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实时（秒级）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E5E2E7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上述全部＋实时个性化推荐、实时风控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6B92458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—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50FE42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100%（多数场景不需要）</w:t>
            </w:r>
          </w:p>
        </w:tc>
      </w:tr>
    </w:tbl>
    <w:p w14:paraId="1E069460">
      <w:pPr>
        <w:spacing w:before="0" w:after="40"/>
      </w:pPr>
    </w:p>
    <w:p w14:paraId="3D14B9E7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多数核心推演场景用T+1数据就够，只有"实时触发的个性化推荐"需要准实时或实时，而这个场景更接近实时营销系统的范畴，不是DToC的价值所在。所以若启动建设，应先补干预事件数据和因果推断能力，不必急着建实时数据流。实时数据属于锦上添花。</w:t>
      </w:r>
    </w:p>
    <w:p w14:paraId="7051CD4B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真正的必要条件：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干预事件数据。要回答"如果做X会怎样"，只能从历史上"做过X时客户反应如何"里学。记录"银行对客户做了什么干预，什么时间、什么渠道、什么内容、客户反应如何"的数据就是干预事件数据，是因果推断（Uplift）模型的训练基础。</w:t>
      </w:r>
    </w:p>
    <w:p w14:paraId="745B06AC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表5 推演能力的必要数据条件清单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2166"/>
        <w:gridCol w:w="2166"/>
        <w:gridCol w:w="2166"/>
      </w:tblGrid>
      <w:tr w14:paraId="1579E67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056BDB8E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数据类型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08CC6A61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是什么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1896B74A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为什么是必要条件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6FBC81EB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银行通常有没有</w:t>
            </w:r>
          </w:p>
        </w:tc>
      </w:tr>
      <w:tr w14:paraId="4EDAAA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6DD0E1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客户特征数据（静态画像）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D055BE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年龄、资产、RFM、产品持有、行为标签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2FCB0F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推演的基础输入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9F70F6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有（标签体系庞杂，需治理精简）</w:t>
            </w:r>
          </w:p>
        </w:tc>
      </w:tr>
      <w:tr w14:paraId="1D29603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B1562C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干预事件数据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C7E402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银行对客户做了什么干预（推送/电话/优惠/利率调整）、时间、渠道、内容、客户反应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BD8D16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因果推断的训练数据——要回答"若做X会怎样"，须从历史做X的反应中学习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8A5C15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大多数银行无系统化记录，分散在各渠道</w:t>
            </w:r>
          </w:p>
        </w:tc>
      </w:tr>
      <w:tr w14:paraId="4376D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DCBD2A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实时行为数据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98B9B8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客户当前正在做什么（APP浏览、页面停留、实时交易）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FA96F1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只对实时触发场景必要，对周期性推演非必要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AEDA4B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部分有（APP埋点），未系统化用于推演</w:t>
            </w:r>
          </w:p>
        </w:tc>
      </w:tr>
    </w:tbl>
    <w:p w14:paraId="3DCF020C">
      <w:pPr>
        <w:spacing w:before="0" w:after="40"/>
      </w:pPr>
    </w:p>
    <w:p w14:paraId="12868CE2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因此，若启动DToC建设，第一步（节奏详见第九章POC设计）应先把干预事件数据采集补齐，T+1精度即够。还有一种情况要提前判断：如果历史上投放客户主要靠人工经验挑选，各客群被干预的机会相差悬殊，那么历史数据里就没有可比的对照组，POC首月需要先安排一次小规模随机对照（holdout）实验，做法见第九章第（三）节。</w:t>
      </w:r>
    </w:p>
    <w:p w14:paraId="668580C4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核心难题：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选择偏差。一个常见错误是，把历史上"打过电话"和"没打过电话"的客户直接拿续投率做比较，得出"打电话有效"的结论。问题在于，打电话的通常是客户经理认为值得打的客户（资产高、关系好），没打的往往是低活跃、低资产客户，两组本来就不可比，直接比会高估干预效果。推演模型要解决的就是这个问题：用因果推断方法（如Uplift建模）剔除选择偏差，算出纯粹由干预带来的增量。这也解释了为什么干预事件数据不可或缺。</w:t>
      </w:r>
    </w:p>
    <w:p w14:paraId="1D239F13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（三）典型技术架构</w:t>
      </w:r>
    </w:p>
    <w:p w14:paraId="3CEEAAC2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本报告参考行业通用数据平台/CDP分层实践与Gartner定义，将DToC的参考架构归纳为四层（并非单一行业强制标准）：第一层负责数据采集与统一（多源采集、流处理、CDP或数据湖、身份解析），第二层负责身份与建模（统一标识与伪匿名化、特征仓库、ML模型群、图计算），第三层是孪生引擎（动态行为镜像、What-if情景模拟、行为基线与异常检测），第四层是应用与决策（个性化营销、流失干预、欺诈检测、智能客服、新产品模拟）。其中第三层是相对现有体系的增量所在。合规与可解释性贯穿四层，不只在最后环节把关。这四层与第九章的五路能力框架一一对应：前四路依次对应前四层，第五路即横切保障。</w:t>
      </w:r>
    </w:p>
    <w:p w14:paraId="636838CD">
      <w:pPr>
        <w:spacing w:after="40"/>
        <w:jc w:val="center"/>
      </w:pPr>
      <w:r>
        <w:drawing>
          <wp:inline distT="0" distB="0" distL="114300" distR="114300">
            <wp:extent cx="5579745" cy="4641850"/>
            <wp:effectExtent l="0" t="0" r="1905" b="6350"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Picture 2"/>
                    <pic:cNvPicPr>
                      <a:picLocks noChangeAspect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6421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FF1B54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图2 DToC（客户数字孪生）四层技术架构图（基于行业方案及Gartner定义自绘）</w:t>
      </w:r>
    </w:p>
    <w:p w14:paraId="00AB58D3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（四）技术演进脉络与Gartner定位</w:t>
      </w:r>
    </w:p>
    <w:p w14:paraId="73BEE3EC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表6 DToC技术演进脉络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2166"/>
        <w:gridCol w:w="2166"/>
        <w:gridCol w:w="2166"/>
      </w:tblGrid>
      <w:tr w14:paraId="3D29D0A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5BB39859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阶段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35116004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时间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14964DC9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标志性进展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221417C2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对下一阶段的推动</w:t>
            </w:r>
          </w:p>
        </w:tc>
      </w:tr>
      <w:tr w14:paraId="37FA766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31037F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概念起源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7F2513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2002年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C4F69F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Michael Grieves提出数字孪生概念，应用于制造业产品生命周期管理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19DD33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确立"物理实体—虚拟镜像"同步映射的思想内核</w:t>
            </w:r>
          </w:p>
        </w:tc>
      </w:tr>
      <w:tr w14:paraId="21BCC1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64EF8D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领域扩展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64AEE2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2010年代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4CBD2C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扩展至城市管理、医疗健康、金融服务等领域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6E1EC3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验证孪生方法在复杂系统建模中的通用性</w:t>
            </w:r>
          </w:p>
        </w:tc>
      </w:tr>
      <w:tr w14:paraId="7DF6ECA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804EA1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客户域提出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4100F3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2020年前后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10A3EB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DToC作为数字孪生在客户领域的特定应用开始受到关注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2E9CC2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把对象从"物"转向"人"，引入行为建模与隐私合规约束</w:t>
            </w:r>
          </w:p>
        </w:tc>
      </w:tr>
      <w:tr w14:paraId="2B46477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464E5F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权威定位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05B753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2025年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97E35D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Gartner于2025年10月销售技术Hype Cycle将DToC定位为"创新触发期"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[1]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；同年CRM技术Hype Cycle列为"On the Rise"，效益评级"高"、渗透率1%—5%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[17]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BDDE96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两份曲线相互印证其早期定位，为成熟度评级提供可核实依据</w:t>
            </w:r>
          </w:p>
        </w:tc>
      </w:tr>
    </w:tbl>
    <w:p w14:paraId="7939DF89">
      <w:pPr>
        <w:spacing w:before="0" w:after="40"/>
      </w:pPr>
    </w:p>
    <w:p w14:paraId="3D390871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Gartner于2025年10月在销售技术Hype Cycle中将DToC正式定位为"创新触发期"（Innovation Trigger），这是目前可核实的Gartner对DToC的最早正式定位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[1][16]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。Gartner专家认为DToC将在未来5—10年内对企业产生变革性影响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[1][16]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。</w:t>
      </w:r>
    </w:p>
    <w:p w14:paraId="5514471B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有几个相邻概念要区分开：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联合利华基于NVIDIA Omniverse的产品数字孪生、可口可乐与NVIDIA/WPP的跨市场内容生成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[18]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，都属于产品或内容数字孪生，不涉及客户行为模拟；Sprinklr的"Digital Twins"实际是品牌侧的AI代理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[19]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，方向与DToC相反；Accenture收购Percipient后获得的"银行核心系统数字孪生"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[20]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属于组织或系统级仿真。详细边界对照见第六章。</w:t>
      </w:r>
    </w:p>
    <w:p w14:paraId="69A17B13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（五）与现有技术的差异或关系</w:t>
      </w:r>
    </w:p>
    <w:p w14:paraId="6A3EA89E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三者为递进而非替代关系：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CDP提供统一数据底座、AI预测模型提供单点概率预测、DToC在二者之上叠加因果推演层。逐维度对比如下：</w:t>
      </w:r>
    </w:p>
    <w:p w14:paraId="495CCBE3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表7 CDP、AI预测模型与DToC逐维对比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2166"/>
        <w:gridCol w:w="2166"/>
        <w:gridCol w:w="2166"/>
      </w:tblGrid>
      <w:tr w14:paraId="0D980B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7618DDE8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对比维度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78ACAC63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CDP（含传统画像/分群/规则）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4FC75A28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AI预测模型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2EFCFC2E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DToC（客户数字孪生）</w:t>
            </w:r>
          </w:p>
        </w:tc>
      </w:tr>
      <w:tr w14:paraId="745EAED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2CD78F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本质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A1CA03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客户数据的统一视图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824C89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单点预测工具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55C40C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客户行为的动态模拟环境</w:t>
            </w:r>
          </w:p>
        </w:tc>
      </w:tr>
      <w:tr w14:paraId="3A7F76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73C69F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回答的问题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8341D6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客户是谁？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9DA889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客户会不会做X？（单一维度概率）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041755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若银行做Y，客户会怎么反应？</w:t>
            </w:r>
          </w:p>
        </w:tc>
      </w:tr>
      <w:tr w14:paraId="20DAADE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F66EAA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数据流向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08F75C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规则驱动的激活闭环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F0EC90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单向预测（数据→分数）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C5AA4E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模型驱动的推演闭环（客户↔因果推演↔决策↔反馈校准）</w:t>
            </w:r>
          </w:p>
        </w:tc>
      </w:tr>
      <w:tr w14:paraId="134021E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645F45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时间维度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81E0F1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静态快照（T+1）或实时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928CDE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单点预测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CD8542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动态演化（持续模拟行为轨迹）</w:t>
            </w:r>
          </w:p>
        </w:tc>
      </w:tr>
      <w:tr w14:paraId="15C6E95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A50B3A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核心技术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20A183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数据整合、OneID、标签管理、规则引擎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549EF1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XGBoost、深度学习、协同过滤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F1892E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因果推断、Uplift建模、反事实推理、场景模拟</w:t>
            </w:r>
          </w:p>
        </w:tc>
      </w:tr>
      <w:tr w14:paraId="5F6E858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23FAF6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个性化粒度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42724D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群体级或粗粒度个体级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CF37A7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个体级评分，无策略对比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B55F79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精细个体级，合规约束下以辅助人工决策为主</w:t>
            </w:r>
          </w:p>
        </w:tc>
      </w:tr>
      <w:tr w14:paraId="3674962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C342D5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决策支持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C13683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基于历史的描述性分析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3C3285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基于历史的单点预测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2D74AB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基于因果推演的指导性分析（What-if模拟）</w:t>
            </w:r>
          </w:p>
        </w:tc>
      </w:tr>
      <w:tr w14:paraId="56DB32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756DBB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类比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B054C1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客户的"体检报告"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0AA924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客户的"疾病风险评分"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BA048A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客户的"虚拟病人"（可模拟用不同药的反应）</w:t>
            </w:r>
          </w:p>
        </w:tc>
      </w:tr>
      <w:tr w14:paraId="2C97E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6C2B7D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银行现状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BC54BC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多数已建或在建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F58CCE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多数已有单点模型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8036E1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几乎空白</w:t>
            </w:r>
          </w:p>
        </w:tc>
      </w:tr>
    </w:tbl>
    <w:p w14:paraId="729B5115">
      <w:pPr>
        <w:spacing w:before="0" w:after="40"/>
      </w:pPr>
    </w:p>
    <w:p w14:paraId="63B5D35A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总体看，DToC并不取代传统的客户管理和AI预测模型，而是在其之上增加一层因果推演和情景模拟，传统画像、分群和单点模型都是它的数据来源和组件。DToC本身是一个组合概念，包含数据基础、行为建模、推演引擎、激活反馈几块。其中数据基础和激活环节在银行业已有较好积累，真正缺、并且经外部验证能产生主要商业价值的是因果推演环节（Uplift建模与干预事件数据）。因此本报告把研究和投入建议集中在这一环节，其余部分由现有体系承接、逐步增强。这样切分是为了把力气用在刀刃上，不表示其他组件不重要。</w:t>
      </w:r>
    </w:p>
    <w:p w14:paraId="4AEEDBAC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一个直观对照（同一理财到期客户）：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CDP预测性模型输出标签与单一概率——"高价值客户、续投概率72%，建议群发短信"；DToC推演性模型输出各干预路径的增量与成本——不干预自然续投48%，发短信55%（增量7个百分点、成本0.2元），打电话70%（增量22个百分点、成本5元），发短信加50元券78%但其中40%是存量搬家（真实增量资金仅约七成），并给出"对该客户打电话ROI最高"的建议。前者回答"客户会不会做"，后者回答"我们做什么最值得"。</w:t>
      </w:r>
    </w:p>
    <w:p w14:paraId="610B9EB1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（六）技术成熟度评级</w:t>
      </w:r>
    </w:p>
    <w:p w14:paraId="7AE9E94F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综合Gartner Hype Cycle定位、TRL就绪度、市场产品成熟度与生产案例情况，本报告对DToC的技术成熟度评级为2分。依据如下：</w:t>
      </w:r>
    </w:p>
    <w:p w14:paraId="3BEBF64A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表8 技术成熟度评级证据链（评级：2分）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88"/>
        <w:gridCol w:w="2888"/>
      </w:tblGrid>
      <w:tr w14:paraId="3EB494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4FD9DC22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证据维度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45016B41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关键事实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11AB58E3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信源</w:t>
            </w:r>
          </w:p>
        </w:tc>
      </w:tr>
      <w:tr w14:paraId="299597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FE7D65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Hype Cycle定位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0E95D7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2025销售转型主题曲线列"创新触发期"；CRM曲线列"On the Rise"且渗透率仅1%—5%，两份曲线相互印证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99DB2E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Gartner新闻稿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[1]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、专家观点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[16]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、CRM曲线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[17]</w:t>
            </w:r>
          </w:p>
        </w:tc>
      </w:tr>
      <w:tr w14:paraId="5503B45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EBDA50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产品形态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BB8757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尚无成熟、标准化的商用产品，现有供给多为CDP厂商/AI营销平台/咨询公司的定制化方案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25E4A60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[12][14][21]</w:t>
            </w:r>
          </w:p>
        </w:tc>
      </w:tr>
      <w:tr w14:paraId="641CE28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703B1B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生产案例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92E4AC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银行业部署案例极少且以概念验证为主，严格意义上的个体级行为模拟＋场景推演未见规模化生产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D971E4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国内同业公开探索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[22][23][24]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及第四章第（三）节</w:t>
            </w:r>
          </w:p>
        </w:tc>
      </w:tr>
      <w:tr w14:paraId="40F6A5B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223566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组件集成度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5A118D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CDP、推荐、流失组件成熟，但整合成"支持因果推演的客户行为镜像"仍属实验性验证；Uplift技术成熟而银行业系统化应用近乎空白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954E970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[25]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及本章第（二）节机理分析</w:t>
            </w:r>
          </w:p>
        </w:tc>
      </w:tr>
    </w:tbl>
    <w:p w14:paraId="47E3F1E8">
      <w:pPr>
        <w:spacing w:before="0" w:after="40"/>
      </w:pPr>
    </w:p>
    <w:p w14:paraId="2834BA13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关于评分口径。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撰写规范的技术成熟度标尺中，1分档对应"创新萌芽期/TRL 1—2/无原型验证"，2分档对应"技术触发期爬升/TRL 3—4/个别实验性验证"。DToC的两个信号指向不同档位：Gartner定位为创新触发期（对应规范1分档），而TRL就绪度为3—4级、已有个别实验性验证（对应2分档）。</w:t>
      </w:r>
    </w:p>
    <w:p w14:paraId="521B6F43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color w:val="000000"/>
          <w:sz w:val="32"/>
        </w:rPr>
        <w:t>本报告按审慎原则取2分，理由与"若就低评1分亦不改变观察层结论"的完整说明，见附录一A.3。</w:t>
      </w:r>
    </w:p>
    <w:p w14:paraId="591D83FD">
      <w:pPr>
        <w:pStyle w:val="3"/>
        <w:spacing w:before="240" w:after="120" w:line="360" w:lineRule="auto"/>
        <w:ind w:left="0" w:firstLine="0"/>
        <w:jc w:val="left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四、应用场景与价值实证</w:t>
      </w:r>
    </w:p>
    <w:p w14:paraId="1C2C1340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（一）业务应用场景与价值贡献分析</w:t>
      </w:r>
    </w:p>
    <w:p w14:paraId="54E3384E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开篇先回答一个决策问题：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DToC如果按远景形态建成，银行能得到什么？答案分三层。</w:t>
      </w:r>
    </w:p>
    <w:p w14:paraId="1A1BD0C7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减少两类看得见的浪费。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一是营销预算长期同时覆盖两类人：不给优惠也会买的自然转化者，以及被打扰反而流失的负敏感人群（第二章表2已说明传统响应模型对这两类人系统性失效）；二是新产品缺少前置可行性判断，发行失败形成沉没成本。有了推演能力，这两类损耗可以从事后追认变成事前测算。</w:t>
      </w:r>
    </w:p>
    <w:p w14:paraId="0610AB0B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把资源集中到真实增量上。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干预只投向"因干预才会改变行为"的人群、渠道和时机，营销预算、外呼人力、权益成本的边际收益由此可计量、可优化。这一层的改善是百分比量级，但由于基数覆盖全行客户经营盘子，绝对金额可观，而且年年复用。</w:t>
      </w:r>
    </w:p>
    <w:p w14:paraId="6F339E63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沉淀不可复制的数据资产。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干预事件数据记录的是"银行对客户做了什么、客户如何反应"，属于外部无法购买的组织自有资产。每一次营销活动都会反哺模型精度，用得越久越准，长远看相当于客户经营这一侧的基础设施。</w:t>
      </w:r>
    </w:p>
    <w:p w14:paraId="22934EB5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也要说清DToC不是什么：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它不会自动变成收入引擎，更不是无人化的自动决策系统，凡影响客户重大权益的决策一律保留人工复核（第五章红线）。未来三年它对财务报表的贡献主要是减少损失、优化增量，不是直接创造收入。立项判断可以很简单：上述三层如果都不构成现实痛点，就没必要启动DToC研究；只要其中任何一层成立，POC级别的最小投入就已具备正当性。</w:t>
      </w:r>
    </w:p>
    <w:p w14:paraId="1B3C3862">
      <w:pPr>
        <w:spacing w:before="60" w:after="60" w:line="360" w:lineRule="auto"/>
        <w:ind w:left="0" w:firstLine="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重要声明：本节各场景中的"具体数字例子"均为示意性推演测算，用于演示能力形态与量级，并非实测结果或收益承诺，不得作为案例证据或效益承诺对外引用；实测结论以POC为准。场景标注能力域属性：场景1、3、4为核心域（直接复用"干预→个体反应增量"的推演内核，是POC与近两年建设重点）；场景2、5为扩展域·群体模拟（基于历史样本做群体级统计推断，不触及个体镜像，仍属个人客户范畴）。</w:t>
      </w:r>
    </w:p>
    <w:p w14:paraId="5A56D125">
      <w:pPr>
        <w:pStyle w:val="5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场景1【核心域·干预推演】：理财到期客户续投干预推演（POC首选）</w:t>
      </w:r>
    </w:p>
    <w:p w14:paraId="47CF71F8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业务痛点。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当前做法是理财到期前7天系统自动给所有到期客户发短信，或客户经理按名单外呼。问题在于：不区分"不提醒也会续投"和"只有提醒才会续投"的客户，资源浪费在自然续投客户上；不区分"给什么优惠续投率最高"，统一话术统一优惠；续投效果只看"总续投率"，算不清"因这次干预额外多续投了多少"。</w:t>
      </w:r>
    </w:p>
    <w:p w14:paraId="7B4411FE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推演嵌入环节。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理财到期名单生成 →【推演引擎：模拟不同干预策略的增量效果】→ 客户经理复核确认 → 执行干预 → 结果回流。推演引擎替代当前的"统一发短信"逻辑。</w:t>
      </w:r>
    </w:p>
    <w:p w14:paraId="58656C4E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输入输出与示意测算（下列为示意性能力演示，非实测或承诺）。输入为到期客户T+1特征（年龄、资产、风险等级、历史续投记录、近30天APP行为）＋历史干预事件数据；输出为每个客户在4种干预方式（不干预/短信/电话/短信＋券）下的增量续投概率和金额，以及预算约束下的最优干预分配方案。示意：假设10万客户理财到期、总金额30亿，传统做法全部发短信总续投率55%（16.5亿），其中自然续投率48%（14.4亿），增量仅2.1亿；推演优化后，Uplift模型识别"只有干预才续投"的客户约2.5万人，对1.5万人打电话、1万人发短信＋券、其余6.5万人不干预，总成本57.7万，总续投率58%（17.4亿），增量3.0亿，较传统做法多0.9亿（＋43%）。</w:t>
      </w:r>
    </w:p>
    <w:p w14:paraId="2BC9D067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数据与价值衡量。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数据频率T+1即可（干预决策在到期前3—7天执行都来得及）。核心KPI为"增量续投金额"（不是总续投率，后者含自然续投会虚高）；辅助KPI为单客干预成本、续投客户留存率、客户经理人效。</w:t>
      </w:r>
    </w:p>
    <w:p w14:paraId="34E4378A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合规要点。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①依据《个人信息保护法》第二十四条，优惠差异化需有明确规则，POC阶段建议统一券面金额，只在"给谁不给"上差异化、不在"给多少"上差异化，避免被质疑"大数据杀熟"；②电话营销须遵守骚扰电话相关规定，控制外呼时间和频次，客户拒绝营销后不得再触达。</w:t>
      </w:r>
    </w:p>
    <w:p w14:paraId="5D6A6493">
      <w:pPr>
        <w:pStyle w:val="5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场景2—5要点（其余四个场景）</w:t>
      </w:r>
    </w:p>
    <w:p w14:paraId="053D9D5F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表9 场景2—5要点总览（均为示意性能力说明，非收益承诺）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2166"/>
        <w:gridCol w:w="2166"/>
        <w:gridCol w:w="2166"/>
      </w:tblGrid>
      <w:tr w14:paraId="2A51AA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4C6D1949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场景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2E4D5501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业务痛点与推演输入输出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3D7013B2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核心价值指标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173157E7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合规要点</w:t>
            </w:r>
          </w:p>
        </w:tc>
      </w:tr>
      <w:tr w14:paraId="47D1BB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8B5A7A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场景2【扩展域】新产品发行前的客群接受度模拟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344B47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痛点：设计参数后直接发行或小范围试点，靠经验判断；算不清增量资金与行内存量搬家比例。输入：产品参数＋目标客群T+1特征＋历史同类产品数据；输出：募集规模与成功率、客群结构、资金来源结构、参数敏感性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448489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发行成功率、增量资金比例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83CFE4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推演结果是预测不是承诺；纯内部分析，不涉及自动化决策</w:t>
            </w:r>
          </w:p>
        </w:tc>
      </w:tr>
      <w:tr w14:paraId="4397B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E1AACD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场景3【核心域】营销预算分配优化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91DBDD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痛点：预算按客群规模或历史基数分配，靠经验和博弈；只看毛效果不看增量。输入：总预算约束＋各客群特征＋历史干预数据（增量转化曲线）；输出：各客群增量响应曲线、按边际收益相等的最优分配、多方案对比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2F81CD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单位预算增量AUM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9F98F2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属内部资源分配，不对客户差异化定价；分配标准须内部透明</w:t>
            </w:r>
          </w:p>
        </w:tc>
      </w:tr>
      <w:tr w14:paraId="24605BC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C6E98F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场景4【核心域】客户旅程优化与触点效果推演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CA6397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痛点：各触点独立运营无协同；算不清各触点增量贡献（渠道重叠）。输入：旅程各阶段T+1数据＋历史触点干预数据＋触点偏好；输出：触点增量贡献归因（排除重叠）、瓶颈识别、触点组合优化、打扰效应模拟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CBECF2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旅程转化率、单客触点成本、投诉率/退订率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CA5C44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须提供拒绝营销渠道，退订后不得再触达；同一活动触点不超过3次</w:t>
            </w:r>
          </w:p>
        </w:tc>
      </w:tr>
      <w:tr w14:paraId="734CCB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DC53C5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场景5【扩展域】产品设计客群需求模拟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E4E73C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痛点：靠经验判断参数吸引力；产品同质化严重；设计与需求脱节。输入：拟设计参数范围＋目标客群特征＋历史产品表现＋竞品数据；输出：需求偏好模拟、参数组合优化、多产品对比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17A184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发行成功率、募集规模达标率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5D63AB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不得作为收益承诺；不得针对特定客群设计不公平条款；不得选择性披露</w:t>
            </w:r>
          </w:p>
        </w:tc>
      </w:tr>
    </w:tbl>
    <w:p w14:paraId="447F76B0">
      <w:pPr>
        <w:spacing w:before="0" w:after="40"/>
      </w:pPr>
    </w:p>
    <w:p w14:paraId="6D0F8DFC">
      <w:pPr>
        <w:spacing w:after="120" w:line="336" w:lineRule="auto"/>
        <w:ind w:firstLine="420"/>
      </w:pPr>
    </w:p>
    <w:p w14:paraId="7F3AB224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表10 五大场景数据频率与优先级总览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34"/>
        <w:gridCol w:w="1733"/>
        <w:gridCol w:w="1733"/>
        <w:gridCol w:w="1733"/>
        <w:gridCol w:w="1733"/>
      </w:tblGrid>
      <w:tr w14:paraId="28BB0BE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64862EFE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场景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2D1A3408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数据频率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696D22C9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优先级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56518663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POC是否首选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12699051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核心价值</w:t>
            </w:r>
          </w:p>
        </w:tc>
      </w:tr>
      <w:tr w14:paraId="622E5DF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26BBA1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1. 理财到期续投干预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879AF7D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T+1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22B3BA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高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70E040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首选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82F0F2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增量续投提升，最易验证</w:t>
            </w:r>
          </w:p>
        </w:tc>
      </w:tr>
      <w:tr w14:paraId="038F4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23DAAC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2. 新产品发行前模拟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7F2B525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T+1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2412CA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较高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5E2437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第二优先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8A8DBA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避免发行失败，算清增量资金</w:t>
            </w:r>
          </w:p>
        </w:tc>
      </w:tr>
      <w:tr w14:paraId="287F41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90236A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3. 营销预算分配优化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6AD0374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T+1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672051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较高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76E2DE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第二优先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C2E38A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同样预算下增量AUM提升</w:t>
            </w:r>
          </w:p>
        </w:tc>
      </w:tr>
      <w:tr w14:paraId="76969C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DB6C33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4. 客户旅程优化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DBEEA2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T+1为主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E1F1B4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中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4CD9E1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第三优先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A55287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转化率提升＋投诉率下降</w:t>
            </w:r>
          </w:p>
        </w:tc>
      </w:tr>
      <w:tr w14:paraId="7BCCBB0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F956A7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5. 产品设计需求模拟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C75EF35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T+1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1D8F46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中低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3E1AE4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后续扩展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538FB1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减少同质化</w:t>
            </w:r>
          </w:p>
        </w:tc>
      </w:tr>
    </w:tbl>
    <w:p w14:paraId="67451CF1">
      <w:pPr>
        <w:spacing w:before="0" w:after="40"/>
      </w:pPr>
    </w:p>
    <w:p w14:paraId="2BEA893D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五个核心场景中约四个用T+1数据完全够用，只有场景4"客户旅程优化"的实时触发部分需准实时（且属增强能力），再次印证第三章"实时不是必要条件"的结论。POC首选场景1：T+1数据即可、业务价值明确、最易验证、合规风险可控。</w:t>
      </w:r>
    </w:p>
    <w:p w14:paraId="22C7586F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（二）效益测算（保守/中性/乐观三档）</w:t>
      </w:r>
    </w:p>
    <w:p w14:paraId="11D82A1C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下面按保守、中性、乐观三档给出效益区间。这里先把依据的成色讲清楚：截至编制日，尚无任何机构发布过DToC效益的独立公开数据，表中数字来自三类来源——厂商官方材料（LatentView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[12]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、Delve AI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[13]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、Genesys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[14]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，属厂商口径，未获独立第三方验证）、非金融业的通用个性化基准（McKinsey，2021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[26]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），以及基于DToC技术特性的理论推算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[15]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。本章第三节的同业案例只能证明推演能力可以落地，均未披露本表所列的具体百分比，因此不构成效益量级的证据。DToC尚处早期，这些测算属于行业类推和理论推演，实际效益须经POC验证（效益为示意区间，非承诺）：</w:t>
      </w:r>
    </w:p>
    <w:p w14:paraId="54DB6F13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表11 三档效益区间测算（示意口径；依据强度分四档：厂商口径／理论推算／行业经验／参考估算，本表无一项达到行业实测水平）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05"/>
        <w:gridCol w:w="1387"/>
        <w:gridCol w:w="1387"/>
        <w:gridCol w:w="1387"/>
        <w:gridCol w:w="1304"/>
        <w:gridCol w:w="1896"/>
      </w:tblGrid>
      <w:tr w14:paraId="4EB373F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35E2B06A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效益维度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478AC3FA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保守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0C52F7E6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中性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6CA9DE6A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乐观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3763B4C0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依据强度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3AAAEDEA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数据依据</w:t>
            </w:r>
          </w:p>
        </w:tc>
      </w:tr>
      <w:tr w14:paraId="05D187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7420E0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客户流失率降低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4FD8B8E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5%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B2709BE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15%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EAB30B2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25%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A85973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行业经验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C02058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提前预警＋主动干预可降低流失率（行业经验值，非实测）</w:t>
            </w:r>
          </w:p>
        </w:tc>
      </w:tr>
      <w:tr w14:paraId="38BA79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0BC0A0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营销转化率提升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64F9A33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10%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EC0ECB6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25%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1116DA4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40%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28DA68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厂商口径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84646F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个性化推荐相比群体营销可提升15—40%转化率（厂商口径，未获独立第三方验证）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[12][14]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；个性化领先企业可获10%—15%营收提升（McKinsey，2021，非金融业专属）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[26]</w:t>
            </w:r>
          </w:p>
        </w:tc>
      </w:tr>
      <w:tr w14:paraId="5259EB3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60B803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欺诈检测误报率降低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953FE90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20%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CD396F2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40%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84FEA41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60%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4D8683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理论推算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4F007A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基于个体行为基线的异常检测相比规则引擎可显著降低误报率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[13][15]</w:t>
            </w:r>
          </w:p>
        </w:tc>
      </w:tr>
      <w:tr w14:paraId="2FF9731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F2853E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新产品上市周期缩短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3601942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15%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7BDE913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30%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2D81D08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50%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B755AD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理论推算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77BEE1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虚拟市场模拟可减少实体试点需求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[12][15]</w:t>
            </w:r>
          </w:p>
        </w:tc>
      </w:tr>
      <w:tr w14:paraId="506A82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93C605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客户满意度提升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D2F1BEB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5%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C092C99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15%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E8FCB6A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25%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48B352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厂商口径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33FC56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主动预判和个性化服务可提升NPS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[14]</w:t>
            </w:r>
          </w:p>
        </w:tc>
      </w:tr>
      <w:tr w14:paraId="75D58C4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54C579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投资回收期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2D4563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36—48个月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F1DD00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24—36个月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F7ACA3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18—24个月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9E42BE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参考估算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CA858E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基于客户分析平台平均ROI和较高初始投入的参考测算，区间不确定性高，非承诺</w:t>
            </w:r>
          </w:p>
        </w:tc>
      </w:tr>
    </w:tbl>
    <w:p w14:paraId="78087EA4">
      <w:pPr>
        <w:spacing w:before="0" w:after="40"/>
      </w:pPr>
    </w:p>
    <w:p w14:paraId="688D1F2C">
      <w:pPr>
        <w:spacing w:before="60" w:after="60" w:line="360" w:lineRule="auto"/>
        <w:ind w:left="0" w:firstLine="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注：以上为参考估算，非实测数据，须经POC验证并结合各行具体场景调整后确定。其中客户流失率降低与投资回收期两行无公开来源支撑，分别为行业经验值与参考测算，不确定性最高，引用时须一并说明。"投资回收期"口径为：初始建设投入（含数据治理、平台建设、模型开发、系统集成）÷ 年度净效益（流失减少带来的收入保留＋营销转化率提升＋欺诈损失减少＋运营效率提升），不同规模银行和数据基础差异较大，该区间不确定性较高。</w:t>
      </w:r>
    </w:p>
    <w:p w14:paraId="50A96FB9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（三）国内外同业落地案例</w:t>
      </w:r>
    </w:p>
    <w:p w14:paraId="3B752D1D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案例一：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招商银行。可核实的权威信息包括：招行"天秤"风控平台已采用神经网络算法识别客户异常风险行为（每日经济新闻2024年报道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[22]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）；招行泉州分行金融科技展厅展示"网点数字孪生"功能，用于网点运营可视化和客户动线分析（地方媒体2022年报道，仅作现象参考，未采信为权威证据）；招行2024年智能化应用实现替代工时数达2600万小时，AI赋能风险预警时间较传统方式提前42天（招行官网及年报披露）。需说明：截至编制日，招行尚未官方披露完整的DToC规模化生产部署，"天秤"与"网点数字孪生"属数字孪生在特定场景的局部应用，与严格意义上的个体级客户行为镜像＋场景模拟存在差距。</w:t>
      </w:r>
    </w:p>
    <w:p w14:paraId="0D0D16A0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案例二：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工商银行。千亿级金融大模型"工银智涌"已在30余个业务领域落地500余个场景（工行官网2026年披露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[23]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）；工行在金库运营中构建了三维数字孪生底座，通过实时接入物联网数据流实现物理金库与虚拟模型的实时映射（新浪财经2025年报道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[24]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）。需说明：工行的数字孪生应用目前主要集中在金库运营等物理资产领域，DToC的规模化生产部署尚未见官方披露。</w:t>
      </w:r>
    </w:p>
    <w:p w14:paraId="76A242B9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案例三：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Etiya DToC（电信行业，可参考）。Etiya的客户数字孪生产品获The Fast Mode 2025 Awards的CX Catalyst Award创新类奖项，具备实时个性化和全渠道编排能力。虽主要面向电信行业，其技术架构对银行业具有参考价值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[21]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。</w:t>
      </w:r>
    </w:p>
    <w:p w14:paraId="33BCA524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案例四：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LatentView DToC咨询方案（跨行业）。LatentView提供DToC端到端咨询与实施服务，方案涵盖数据采集与统一、ML建模层、孪生引擎和应用决策层，在金融、零售、电信等行业有实施经验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[12]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。</w:t>
      </w:r>
    </w:p>
    <w:p w14:paraId="03A59AF7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推演能力的跨行业验证（技术可行性佐证）。这里要区分两件事：银行业自身的DToC落地案例，与推演能力的跨行业验证。前者确无先例，后者已有实证。Uber以强化学习＋市场模拟平台实现司机收入提升0.52%、乘客取消率降低2.2%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[2]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；Netflix推荐系统贡献约80%的观看时长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[3]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；哈啰出行以Tree-based Uplift模型识别四类人群、将补贴聚焦于"给券才买"人群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[4]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；Capital One以"测试并学习"的实验文化驱动产品决策，被视为分析型竞争者代表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[5]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。上述案例说明推演能力在互联网行业可规模落地，但其数据基础（高频、可随机实验）与银行业存在差异，不可直接套用效果量级。</w:t>
      </w:r>
    </w:p>
    <w:p w14:paraId="6C80DAD0">
      <w:pPr>
        <w:spacing w:before="60" w:after="60" w:line="360" w:lineRule="auto"/>
        <w:ind w:left="0" w:firstLine="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说明：截至本报告编制日，尚未检索到国内大型银行公开披露的完整客户数字孪生（DToC）规模化生产部署案例。现有案例多为数字孪生在风控、网点运营等特定场景的局部应用，或国际咨询公司/技术厂商的概念验证与试点项目。严格意义上的个体级客户行为镜像＋场景模拟＋实时决策的完整DToC体系，在银行业仍处于研究和探索阶段。</w:t>
      </w:r>
    </w:p>
    <w:p w14:paraId="2161FD68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（四）价值贡献度与战略紧迫度评级</w:t>
      </w:r>
    </w:p>
    <w:p w14:paraId="652E79B4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撰写规范要求用Gartner优先级矩阵（Priority Matrix，效益等级×主流采用所需年数）对价值贡献度和战略紧迫度作综合定位。对照Gartner公开口径，DToC效益评级为"高"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[17]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，预计5至10年进入生产成熟期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[16]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，落在"高效益、长采用周期"区域（矩阵原图涉及Gartner版权，须通过合法授权渠道取得），与本节两项评级相互印证。</w:t>
      </w:r>
    </w:p>
    <w:p w14:paraId="0DCF12D7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b/>
          <w:color w:val="000000"/>
          <w:sz w:val="32"/>
        </w:rPr>
        <w:t>价值贡献度评级：</w:t>
      </w:r>
      <w:r>
        <w:rPr>
          <w:rFonts w:ascii="仿宋" w:hAnsi="仿宋" w:eastAsia="仿宋"/>
          <w:color w:val="000000"/>
          <w:sz w:val="32"/>
        </w:rPr>
        <w:t>4分——效率维度价值明确可量化（Uplift行业公开案例），客户体验、风控维度亦有机制论证与示意测算支撑，符合规范"两个以上维度（效率、风控、体验、新业务）价值明确、可初步量化"的4分档；效益区间的绝对值仍属示意测算，须经实测校准，但不影响维度认定。战略紧迫度评级：3分——处于3—5年关键窗口：同业已有先行信号，监管约束临近但不构成"必须采用"的倒逼。</w:t>
      </w:r>
    </w:p>
    <w:p w14:paraId="6E8D19EB">
      <w:pPr>
        <w:spacing w:before="60" w:after="60" w:line="360" w:lineRule="auto"/>
        <w:ind w:left="0" w:firstLine="0"/>
        <w:jc w:val="center"/>
      </w:pPr>
      <w:r>
        <w:rPr>
          <w:rFonts w:ascii="仿宋" w:hAnsi="仿宋" w:eastAsia="仿宋"/>
          <w:color w:val="000000"/>
          <w:sz w:val="28"/>
        </w:rPr>
        <w:t>表12 价值贡献度与战略紧迫度评级依据（4分/3分）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88"/>
        <w:gridCol w:w="2888"/>
      </w:tblGrid>
      <w:tr w14:paraId="5286F32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232A7D8E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评级维度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47B6BA6E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关键要点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250E44BE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定档含义</w:t>
            </w:r>
          </w:p>
        </w:tc>
      </w:tr>
      <w:tr w14:paraId="36861B3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7137F5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价值·效率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5F6C68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Uplift精准投放千次增量留存＋66%（行业公开案例）；预算优化与续投干预的示意测算显示增量提升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0C85E7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唯一行业案例口径；效率维度明确可量化</w:t>
            </w:r>
          </w:p>
        </w:tc>
      </w:tr>
      <w:tr w14:paraId="6CFBD6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A65426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价值·体验/风控/新业务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8C6DAC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旅程转化率与投诉率的示意改善；虚拟市场测试压缩试错成本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9B2A3BE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示意测算与机制论证叠加效率维度案例，支撑4分档"两个以上维度价值明确、可初步量化"；绝对值须实测校准</w:t>
            </w:r>
          </w:p>
        </w:tc>
      </w:tr>
      <w:tr w14:paraId="258449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CDCF8B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紧迫·技术窗口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5DA4C7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创新触发期定位，Gartner预计5—10年产生变革性影响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[16][17]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AFD22D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对应3—5年前瞻布局窗口</w:t>
            </w:r>
          </w:p>
        </w:tc>
      </w:tr>
      <w:tr w14:paraId="3AB846F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C66888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紧迫·同业信号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05B7FD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互联网侧推演能力已规模验证；国内头部银行在相邻领域探索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FC0158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先行信号明确，采用倒逼尚未形成</w:t>
            </w:r>
          </w:p>
        </w:tc>
      </w:tr>
      <w:tr w14:paraId="4C4991A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2E6FC0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紧迫·监管时限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4E6C35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《金融产品网络营销管理办法》2026-09-30施行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[10]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496E9A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合规约束时限，并非强制采用信号</w:t>
            </w:r>
          </w:p>
        </w:tc>
      </w:tr>
    </w:tbl>
    <w:p w14:paraId="5BA9EF64">
      <w:pPr>
        <w:spacing w:before="0" w:after="40"/>
      </w:pPr>
    </w:p>
    <w:p w14:paraId="2BB6B4D4">
      <w:pPr>
        <w:pStyle w:val="3"/>
        <w:spacing w:before="240" w:after="120" w:line="360" w:lineRule="auto"/>
        <w:ind w:left="0" w:firstLine="0"/>
        <w:jc w:val="left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五、风险与挑战</w:t>
      </w:r>
    </w:p>
    <w:p w14:paraId="71059C6D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（一）监管合规映射</w:t>
      </w:r>
    </w:p>
    <w:p w14:paraId="15E0595D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DToC涉及大量客户个人信息处理，须将监管要求落实到具体文件条款。主要监管合规映射如下：</w:t>
      </w:r>
    </w:p>
    <w:p w14:paraId="65FCA8ED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表13 监管合规要求映射明细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2166"/>
        <w:gridCol w:w="2166"/>
        <w:gridCol w:w="2166"/>
      </w:tblGrid>
      <w:tr w14:paraId="10AEA98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3488E699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监管文件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10D941EF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具体条款/要求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2AC8BBCE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DToC对应影响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15968B1D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风险等级</w:t>
            </w:r>
          </w:p>
        </w:tc>
      </w:tr>
      <w:tr w14:paraId="19716B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146DFF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《个人信息保护法》</w:t>
            </w:r>
            <w:r>
              <w:rPr>
                <w:rFonts w:ascii="仿宋" w:hAnsi="仿宋" w:eastAsia="仿宋"/>
                <w:b/>
                <w:i w:val="0"/>
                <w:color w:val="000000"/>
                <w:sz w:val="28"/>
                <w:vertAlign w:val="superscript"/>
              </w:rPr>
              <w:t>[6]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241207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第十三、十四条：处理个人信息须取得个人同意，遵循合法、正当、必要和诚信原则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D83DFA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须确保知情同意与最小必要原则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D370D7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高</w:t>
            </w:r>
          </w:p>
        </w:tc>
      </w:tr>
      <w:tr w14:paraId="2FDD0B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645D96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《个人信息保护法》</w:t>
            </w:r>
            <w:r>
              <w:rPr>
                <w:rFonts w:ascii="仿宋" w:hAnsi="仿宋" w:eastAsia="仿宋"/>
                <w:b/>
                <w:i w:val="0"/>
                <w:color w:val="000000"/>
                <w:sz w:val="28"/>
                <w:vertAlign w:val="superscript"/>
              </w:rPr>
              <w:t>[6]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BC0ACE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第二十四条：自动化决策应保证透明度和结果公平公正，不得在交易价格等方面实行不合理差别待遇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EF2D87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个性化推荐与定价须保障知情权与拒绝权，防范"大数据杀熟"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A8CFC9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高</w:t>
            </w:r>
          </w:p>
        </w:tc>
      </w:tr>
      <w:tr w14:paraId="3C126F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1D94DA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《个人信息保护法》</w:t>
            </w:r>
            <w:r>
              <w:rPr>
                <w:rFonts w:ascii="仿宋" w:hAnsi="仿宋" w:eastAsia="仿宋"/>
                <w:b/>
                <w:i w:val="0"/>
                <w:color w:val="000000"/>
                <w:sz w:val="28"/>
                <w:vertAlign w:val="superscript"/>
              </w:rPr>
              <w:t>[6]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A75B5A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第二十八、二十九条：处理敏感个人信息（金融账户、行踪轨迹等）须取得单独同意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EBFECD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涉及金融账户与交易记录，须取得单独同意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9831DA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高</w:t>
            </w:r>
          </w:p>
        </w:tc>
      </w:tr>
      <w:tr w14:paraId="17E9F44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307CCC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《数据安全法》</w:t>
            </w:r>
            <w:r>
              <w:rPr>
                <w:rFonts w:ascii="仿宋" w:hAnsi="仿宋" w:eastAsia="仿宋"/>
                <w:b/>
                <w:i w:val="0"/>
                <w:color w:val="000000"/>
                <w:sz w:val="28"/>
                <w:vertAlign w:val="superscript"/>
              </w:rPr>
              <w:t>[7]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2B0F21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第二十一条：数据分类分级保护，重要数据重点保护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F07CED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客户行为与交易数据须按分级保护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D50296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中高</w:t>
            </w:r>
          </w:p>
        </w:tc>
      </w:tr>
      <w:tr w14:paraId="2C475EB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F2BAD0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《网络数据安全管理条例》（国务院令第790号）</w:t>
            </w:r>
            <w:r>
              <w:rPr>
                <w:rFonts w:ascii="仿宋" w:hAnsi="仿宋" w:eastAsia="仿宋"/>
                <w:b/>
                <w:i w:val="0"/>
                <w:color w:val="000000"/>
                <w:sz w:val="28"/>
                <w:vertAlign w:val="superscript"/>
              </w:rPr>
              <w:t>[9]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A3851D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敏感个人信息须单独同意；不得超范围收集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E01497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采集范围须严格限定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F9AD02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高</w:t>
            </w:r>
          </w:p>
        </w:tc>
      </w:tr>
      <w:tr w14:paraId="517D88E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31137F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《互联网信息服务算法推荐管理规定》第二十一条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AD18FB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不得利用算法在交易价格等交易条件上实施不合理差别待遇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9E9A0D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与个保法第二十四条形成双重约束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[8]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4A79CF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高</w:t>
            </w:r>
          </w:p>
        </w:tc>
      </w:tr>
      <w:tr w14:paraId="5D20BE3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E9E8A6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《互联网信息服务算法推荐管理规定》第十七条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BB3E84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应提供不针对个人特征的选项，或便捷关闭算法推荐服务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FFFE86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个性化触达须提供非个性化选项或关闭入口，现有触达系统能力需专项评估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[8]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528CCA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高</w:t>
            </w:r>
          </w:p>
        </w:tc>
      </w:tr>
      <w:tr w14:paraId="705B762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7D520C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《金融产品网络营销管理办法》（2026-04-24印发，2026-09-30施行）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F6E5DA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算法推荐纳入监管，禁止利用算法诱导过度消费，要求提供非个性化选项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EE654D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针对金融产品营销场景，是DToC最直接、约束力最强的监管依据；涉及个性营销的场景须在上线前完成对齐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[10]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9B9D33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高</w:t>
            </w:r>
          </w:p>
        </w:tc>
      </w:tr>
      <w:tr w14:paraId="5268711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D4AC31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金发〔2026〕8号《关于银行业保险业人工智能安全开发应用的指导意见》</w:t>
            </w:r>
            <w:r>
              <w:rPr>
                <w:rFonts w:ascii="仿宋" w:hAnsi="仿宋" w:eastAsia="仿宋"/>
                <w:b/>
                <w:i w:val="0"/>
                <w:color w:val="000000"/>
                <w:sz w:val="28"/>
                <w:vertAlign w:val="superscript"/>
              </w:rPr>
              <w:t>[11]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D4E63A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姓名、身份证号、手机号、银行卡号等个人信息不得用于生成式AI模型训练和优化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A1CC63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传统ML（含Uplift）不受此限；若用GenAI须严格排除上述信息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DE2DBE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高</w:t>
            </w:r>
          </w:p>
        </w:tc>
      </w:tr>
      <w:tr w14:paraId="53506C3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FFCD16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金发〔2026〕8号</w:t>
            </w:r>
            <w:r>
              <w:rPr>
                <w:rFonts w:ascii="仿宋" w:hAnsi="仿宋" w:eastAsia="仿宋"/>
                <w:b/>
                <w:i w:val="0"/>
                <w:color w:val="000000"/>
                <w:sz w:val="28"/>
                <w:vertAlign w:val="superscript"/>
              </w:rPr>
              <w:t>[11]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C30A26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第六条：加强网络安全、数据安全与个人信息保护，提高透明度，促进可解释性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DBD1AF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模型须具备可解释性，避免"黑箱"决策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7DA140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中高</w:t>
            </w:r>
          </w:p>
        </w:tc>
      </w:tr>
      <w:tr w14:paraId="76BF97F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622A22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《消费者权益保护法》及金融消费者权益保护相关规定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A96241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保障知情权、自主选择权，不得误导性宣传和不公平交易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0FDB47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个性化营销须避免误导和操纵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807860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中</w:t>
            </w:r>
          </w:p>
        </w:tc>
      </w:tr>
      <w:tr w14:paraId="125C129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7F9FD9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中国人民银行《金融领域科技伦理指引》（JR/T 0258—2022）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B4E160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数据"专事专用"、最小必要采集，禁止大数据杀熟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A33031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行业自律层面的伦理约束，与前述法规呼应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[27]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5A4587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中</w:t>
            </w:r>
          </w:p>
        </w:tc>
      </w:tr>
    </w:tbl>
    <w:p w14:paraId="02D23E23">
      <w:pPr>
        <w:spacing w:before="0" w:after="40"/>
      </w:pPr>
    </w:p>
    <w:p w14:paraId="6777843D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（二）DToC合规可行域：各能力模块的法律边界</w:t>
      </w:r>
    </w:p>
    <w:p w14:paraId="08B681A7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上一节是从法规条款梳理合规要求。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这一节换个角度，按DToC技术架构的四层逐层看，在现行法律框架下各能力模块能做什么、什么条件下能做、哪些碰不得，供技术选型和场景落地时参照。</w:t>
      </w:r>
    </w:p>
    <w:p w14:paraId="5DBC7558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表14 DToC各能力模块的合规边界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2166"/>
        <w:gridCol w:w="2166"/>
        <w:gridCol w:w="2166"/>
      </w:tblGrid>
      <w:tr w14:paraId="1068983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45432DC1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能力层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4EEC8D08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明确能做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4D2FE786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有条件能做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27A61FBE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红线不能做</w:t>
            </w:r>
          </w:p>
        </w:tc>
      </w:tr>
      <w:tr w14:paraId="6F58838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6ED1B9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数据采集层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9A6BF9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①银行自有业务数据（交易、账户、产品持有、还款记录），依据个保法第十三条第（二）项"履行合同所必需"无需单独同意；②银行自有渠道内的行为数据（APP点击、页面停留、客服交互），须在隐私政策中告知；③已脱敏或匿名化的群体数据；④干预事件数据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89F9E3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①外部数据接入（社保、公积金、税务、运营商），须合法来源且在授权范围内；②跨机构融合须通过联邦学习/隐私计算、原始数据不出域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2F7C2D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①采集银行渠道之外的行为数据（社交媒体、浏览历史、位置轨迹），实践中几乎没有合法获取路径；②将生物识别信息（人脸、指纹、声纹）用于行为建模</w:t>
            </w:r>
          </w:p>
        </w:tc>
      </w:tr>
      <w:tr w14:paraId="6E0B7F0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B110DD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模型训练层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974AA1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①传统ML（逻辑回归、XGBoost、随机森林、图神经网络、Uplift等）训练预测与增量模型——不属生成式AI，不受金发8号文限制，是当前主力路径；②已脱敏群体级数据训练任何模型；③合成数据训练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8A6FD8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①LLM做客户文本理解（摘要、分类、意图识别），但训练/微调不得输入姓名、身份证号、手机号、银行卡号，须严格PII脱敏；②个人数据训练推荐模型须最小必要且可解释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5F7C44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①四类个人信息用于生成式AI训练（金发8号文直接禁止）；②训练端到端客户行为生成模型（输入全量历史生成未来轨迹）；③训练数据出境</w:t>
            </w:r>
          </w:p>
        </w:tc>
      </w:tr>
      <w:tr w14:paraId="1ADEEF1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26828A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孪生引擎层（行为模拟与推演）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1A53AB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①群体级行为模拟（客群趋势、新产品接受度、市场场景推演）；②风险类预测（欺诈、洗钱、信用风险，属法定义务）；③客户服务类预测（咨询预判、智能路由）；④Uplift增量预测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D42963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①个体级流失预警，但干预不得构成差别待遇、客户可拒绝、须人工复核；②个体级推荐须可解释、不得杀熟、客户可关闭；③人生事件预测仅作内部参考，敏感事件（离婚、失业、重大疾病）建议不做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F0ACB4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①无人工复核的、影响客户重大权益的自动化决策；②无合理依据的差异化定价；③基于心理弱点的诱导性营销话术</w:t>
            </w:r>
          </w:p>
        </w:tc>
      </w:tr>
      <w:tr w14:paraId="4649772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A4BB17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应用决策层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9980AF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见下表（表15）逐条评估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B49447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见下表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DA81F3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见下表</w:t>
            </w:r>
          </w:p>
        </w:tc>
      </w:tr>
    </w:tbl>
    <w:p w14:paraId="408F801A">
      <w:pPr>
        <w:spacing w:before="0" w:after="40"/>
      </w:pPr>
    </w:p>
    <w:p w14:paraId="223B94E2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表15 各应用场景合规可行度汇总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88"/>
        <w:gridCol w:w="2888"/>
      </w:tblGrid>
      <w:tr w14:paraId="14B7533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73F15D26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应用场景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07AF7893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合规可行度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511E84A3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关键约束</w:t>
            </w:r>
          </w:p>
        </w:tc>
      </w:tr>
      <w:tr w14:paraId="5560B00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C46633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欺诈检测/反洗钱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7C252B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完全可行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878883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法定职责，无需同意；但须可解释、可追溯</w:t>
            </w:r>
          </w:p>
        </w:tc>
      </w:tr>
      <w:tr w14:paraId="5128A28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6830CA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群体级市场分析/新产品模拟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C457FB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完全可行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5847C3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不针对可识别个人；推演结果不得对外用作收益承诺</w:t>
            </w:r>
          </w:p>
        </w:tc>
      </w:tr>
      <w:tr w14:paraId="5FABC5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F869B1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Uplift增量预测/营销预算优化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00E04D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完全可行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30CAC9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群体级或辅助决策，不直接影响客户权益；属内部资源分配，不对客户差异化定价</w:t>
            </w:r>
          </w:p>
        </w:tc>
      </w:tr>
      <w:tr w14:paraId="782E105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D25B4A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理财续投/流失干预（辅助人工）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E87BDF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基本可行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E897C9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人工复核后执行；POC统一券面金额，只在"给谁不给"上差异化；控制外呼时段与频次</w:t>
            </w:r>
          </w:p>
        </w:tc>
      </w:tr>
      <w:tr w14:paraId="78487A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2B9FC2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智能客服路由/需求预判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46C547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基本可行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4DB49D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不直接影响客户权益；须告知客户使用了AI</w:t>
            </w:r>
          </w:p>
        </w:tc>
      </w:tr>
      <w:tr w14:paraId="18B6128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18D2E6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个体级个性化产品推荐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15294C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有条件可行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F353AD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须可解释；不得大数据杀熟；客户有权关闭个性化推荐</w:t>
            </w:r>
          </w:p>
        </w:tc>
      </w:tr>
      <w:tr w14:paraId="31829C5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43EC88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客户旅程触点优化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A9C9DC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有条件可行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9325C3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须提供退订渠道，退订后不得再触达；同一活动触点不超过3次；触点差异化须有明确规则</w:t>
            </w:r>
          </w:p>
        </w:tc>
      </w:tr>
      <w:tr w14:paraId="299BBBA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01B7C1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个体级人生事件预测＋主动营销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EA368E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谨慎可行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160FF4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预测仅作内部参考；敏感事件不做；遵守营销频次和退订规则</w:t>
            </w:r>
          </w:p>
        </w:tc>
      </w:tr>
      <w:tr w14:paraId="402C8C5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B14736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自动化授信/定价决策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CB3CF4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红线区域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7EB9BA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须人工复核；不得仅基于自动化决策；授信按《商业银行法》审批流程执行；对公数据注意商业秘密保护</w:t>
            </w:r>
          </w:p>
        </w:tc>
      </w:tr>
      <w:tr w14:paraId="175251D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145AD6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客户心理画像＋诱导性营销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B3E489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禁止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CBB412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可能构成欺诈/误导，触及消保红线</w:t>
            </w:r>
          </w:p>
        </w:tc>
      </w:tr>
    </w:tbl>
    <w:p w14:paraId="6B8EF281">
      <w:pPr>
        <w:spacing w:before="0" w:after="40"/>
      </w:pPr>
    </w:p>
    <w:p w14:paraId="25C4ECB2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综合判断：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现行法律框架下银行DToC能做到什么程度。大体是三块能做、三条不能碰。能做的三块：一是风控类DToC，以欺诈检测、反洗钱、信用风险预警为主，合规空间最大、商业价值最明确；二是群体级DToC，做客群层面的行为趋势预测、新产品市场模拟、Uplift增量预测和营销预算优化，不针对可识别的个人，最容易落地；三是辅助决策型个体DToC，做流失预警、产品推荐、服务预判，但定位是辅助人工决策，不是自动化决策。不能碰的三条：一是影响客户重大权益却不经人工复核的自动化决策；二是大数据杀熟和价格歧视；三是用敏感个人信息训练生成式AI。</w:t>
      </w:r>
    </w:p>
    <w:p w14:paraId="0E0616AF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（三）风险清单（六要素表）</w:t>
      </w:r>
    </w:p>
    <w:p w14:paraId="6F1CEBCE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按"风险项/概率/影响/触发场景/应对措施/责任环节"六要素列出DToC主要风险：</w:t>
      </w:r>
    </w:p>
    <w:p w14:paraId="155CA755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表16 DToC主要风险清单（六要素）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864"/>
        <w:gridCol w:w="655"/>
        <w:gridCol w:w="614"/>
        <w:gridCol w:w="2795"/>
        <w:gridCol w:w="2294"/>
        <w:gridCol w:w="1444"/>
      </w:tblGrid>
      <w:tr w14:paraId="18BE413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2796ED59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风险项</w:t>
            </w:r>
          </w:p>
        </w:tc>
        <w:tc>
          <w:tcPr>
            <w:tcW w:w="6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790CD8EE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概率</w:t>
            </w:r>
          </w:p>
        </w:tc>
        <w:tc>
          <w:tcPr>
            <w:tcW w:w="6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779AB3FF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影响</w:t>
            </w:r>
          </w:p>
        </w:tc>
        <w:tc>
          <w:tcPr>
            <w:tcW w:w="27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01D74731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触发场景</w:t>
            </w:r>
          </w:p>
        </w:tc>
        <w:tc>
          <w:tcPr>
            <w:tcW w:w="22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4858B153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应对措施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54013E3E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责任环节</w:t>
            </w:r>
          </w:p>
        </w:tc>
      </w:tr>
      <w:tr w14:paraId="6F736E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FA4F71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隐私合规违规</w:t>
            </w:r>
          </w:p>
        </w:tc>
        <w:tc>
          <w:tcPr>
            <w:tcW w:w="6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01D030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高</w:t>
            </w:r>
          </w:p>
        </w:tc>
        <w:tc>
          <w:tcPr>
            <w:tcW w:w="6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BE5924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高</w:t>
            </w:r>
          </w:p>
        </w:tc>
        <w:tc>
          <w:tcPr>
            <w:tcW w:w="27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2BE955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采集使用个人信息未取得有效同意；超最小必要范围；敏感信息未单独同意；自动化决策未保障知情权与拒绝权；未提供非个性化选项或算法关闭入口</w:t>
            </w:r>
          </w:p>
        </w:tc>
        <w:tc>
          <w:tcPr>
            <w:tcW w:w="22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36A4C4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数据最小化；分级授权与同意管理；隐私计算（联邦学习、差分隐私）；自动化决策设人工复核与拒绝通道；提供非个性化选项与关闭入口；定期合规审计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755B12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合规审查与授权管理（牵头）；数据治理协同</w:t>
            </w:r>
          </w:p>
        </w:tc>
      </w:tr>
      <w:tr w14:paraId="369149D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A3867E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数据质量不足导致模型偏差</w:t>
            </w:r>
          </w:p>
        </w:tc>
        <w:tc>
          <w:tcPr>
            <w:tcW w:w="6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20766A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高</w:t>
            </w:r>
          </w:p>
        </w:tc>
        <w:tc>
          <w:tcPr>
            <w:tcW w:w="6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045FF2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中</w:t>
            </w:r>
          </w:p>
        </w:tc>
        <w:tc>
          <w:tcPr>
            <w:tcW w:w="27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6495E7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数据不完整、不准确、不及时；跨系统不一致；样本偏差致对特定客群（老年、农村客户）预测不准</w:t>
            </w:r>
          </w:p>
        </w:tc>
        <w:tc>
          <w:tcPr>
            <w:tcW w:w="22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E02180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加强数据治理与质量监控；建立质量评估体系；定期评估模型公平性与偏差；数据不足客群采用保守策略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FFF0ED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数据治理与质量监控（牵头）</w:t>
            </w:r>
          </w:p>
        </w:tc>
      </w:tr>
      <w:tr w14:paraId="1D9CDB6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3C60BF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模型可解释性不足</w:t>
            </w:r>
          </w:p>
        </w:tc>
        <w:tc>
          <w:tcPr>
            <w:tcW w:w="6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8152A4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中</w:t>
            </w:r>
          </w:p>
        </w:tc>
        <w:tc>
          <w:tcPr>
            <w:tcW w:w="6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5872B9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高</w:t>
            </w:r>
          </w:p>
        </w:tc>
        <w:tc>
          <w:tcPr>
            <w:tcW w:w="27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10ED65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复杂模型决策过程难以解释，导致监管审查困难、客户投诉无法回应、内部决策无法追溯</w:t>
            </w:r>
          </w:p>
        </w:tc>
        <w:tc>
          <w:tcPr>
            <w:tcW w:w="22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6A19F2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优先选用可解释模型（线性模型、决策树、SHAP）；建立决策日志与追溯机制；高风险决策设人工复核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DDC519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模型可解释性与追溯管理（牵头）；模型风险管控</w:t>
            </w:r>
          </w:p>
        </w:tc>
      </w:tr>
      <w:tr w14:paraId="3818EDD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E8693A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"大数据杀熟"争议</w:t>
            </w:r>
          </w:p>
        </w:tc>
        <w:tc>
          <w:tcPr>
            <w:tcW w:w="6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77A305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中</w:t>
            </w:r>
          </w:p>
        </w:tc>
        <w:tc>
          <w:tcPr>
            <w:tcW w:w="6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DCFF80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高</w:t>
            </w:r>
          </w:p>
        </w:tc>
        <w:tc>
          <w:tcPr>
            <w:tcW w:w="27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DF6CD4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基于客户行为和价格敏感度差异化定价或推荐，被感知为"大数据杀熟"，引发投诉和监管处罚</w:t>
            </w:r>
          </w:p>
        </w:tc>
        <w:tc>
          <w:tcPr>
            <w:tcW w:w="22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1112E6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建立差异化定价合规审查机制；避免对同一产品不合理差别待遇；公开定价规则与个性化逻辑；设客户申诉通道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560874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定价合规审查；业务与消保协同</w:t>
            </w:r>
          </w:p>
        </w:tc>
      </w:tr>
      <w:tr w14:paraId="6ED8FD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F0101F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实施成本超预期</w:t>
            </w:r>
          </w:p>
        </w:tc>
        <w:tc>
          <w:tcPr>
            <w:tcW w:w="6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53F1BD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高</w:t>
            </w:r>
          </w:p>
        </w:tc>
        <w:tc>
          <w:tcPr>
            <w:tcW w:w="6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1DEF27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中</w:t>
            </w:r>
          </w:p>
        </w:tc>
        <w:tc>
          <w:tcPr>
            <w:tcW w:w="27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AA1F75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数据治理、模型开发、系统集成与持续运维投入较大</w:t>
            </w:r>
          </w:p>
        </w:tc>
        <w:tc>
          <w:tcPr>
            <w:tcW w:w="22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218BA5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分阶段实施，先切入高价值低复杂度场景；复用现有CDP与数据平台；考虑外部厂商合作；建立ROI跟踪机制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2804E4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科技与财务联合管控</w:t>
            </w:r>
          </w:p>
        </w:tc>
      </w:tr>
      <w:tr w14:paraId="3DB5E2A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C25BB8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人才缺口</w:t>
            </w:r>
          </w:p>
        </w:tc>
        <w:tc>
          <w:tcPr>
            <w:tcW w:w="6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46FCBB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高</w:t>
            </w:r>
          </w:p>
        </w:tc>
        <w:tc>
          <w:tcPr>
            <w:tcW w:w="6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B1898F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中</w:t>
            </w:r>
          </w:p>
        </w:tc>
        <w:tc>
          <w:tcPr>
            <w:tcW w:w="27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CCD372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需数据工程、AI建模、因果推断、行为科学、金融业务复合型人才，市场供给不足</w:t>
            </w:r>
          </w:p>
        </w:tc>
        <w:tc>
          <w:tcPr>
            <w:tcW w:w="22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D4C7AB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内部培养与跨部门协作；与高校研究机构合作；引入外部咨询与技术服务；建立激励保留机制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20FEB2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人才引进与培养；科技协同</w:t>
            </w:r>
          </w:p>
        </w:tc>
      </w:tr>
      <w:tr w14:paraId="6E81C90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86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CDB550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客户信任与接受度</w:t>
            </w:r>
          </w:p>
        </w:tc>
        <w:tc>
          <w:tcPr>
            <w:tcW w:w="65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43486C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中</w:t>
            </w:r>
          </w:p>
        </w:tc>
        <w:tc>
          <w:tcPr>
            <w:tcW w:w="61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12045A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中</w:t>
            </w:r>
          </w:p>
        </w:tc>
        <w:tc>
          <w:tcPr>
            <w:tcW w:w="279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8B6D2B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客户对银行预测其行为感到不适，认为隐私被侵犯，导致信任下降和流失</w:t>
            </w:r>
          </w:p>
        </w:tc>
        <w:tc>
          <w:tcPr>
            <w:tcW w:w="229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6E462A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透明告知数据使用目的；提供数据使用控制权；强调用于提升服务而非监控；开展客户沟通</w:t>
            </w:r>
          </w:p>
        </w:tc>
        <w:tc>
          <w:tcPr>
            <w:tcW w:w="1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64BCB7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客户沟通与消保协同</w:t>
            </w:r>
          </w:p>
        </w:tc>
      </w:tr>
    </w:tbl>
    <w:p w14:paraId="1FA7B14D">
      <w:pPr>
        <w:spacing w:before="0" w:after="40"/>
      </w:pPr>
    </w:p>
    <w:p w14:paraId="779B2A33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（四）引入可行度评级依据</w:t>
      </w:r>
    </w:p>
    <w:p w14:paraId="1BB87BDC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按短板原则，引入可行度按架构/场景改造难度、合规风险、安全风险、人才门槛四项子要素分别评级，取最低分：</w:t>
      </w:r>
    </w:p>
    <w:p w14:paraId="4173D4EC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表17 引入可行度四子要素评级（短板原则）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88"/>
        <w:gridCol w:w="2888"/>
      </w:tblGrid>
      <w:tr w14:paraId="78D221F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58ECB9CE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子要素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7D4E10EC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评级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5D6FBE63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依据</w:t>
            </w:r>
          </w:p>
        </w:tc>
      </w:tr>
      <w:tr w14:paraId="70BE1B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AFDB40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架构/场景改造难度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4325B9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2分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538C2E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需构建数据底座、特征仓库、行为建模、推演引擎、决策集成等完整技术栈，与现有核心、营销、风控系统深度集成，改造成本较高；但可基于现有数据平台和CDP增量建设，非颠覆性改造</w:t>
            </w:r>
          </w:p>
        </w:tc>
      </w:tr>
      <w:tr w14:paraId="7DF1B2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7A2AA7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合规风险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854AA2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2分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7D2A67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涉及大量客户敏感个人信息处理，直接触及个保法、数据安全法、金发〔2026〕8号文等；但存在隐私计算、联邦学习、数据脱敏、差分隐私及非个性化选项等可行前置管控手段，且传统ML路径不受GenAI训练限制；算法推荐规定与即将施行的《金融产品网络营销管理办法》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[10]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进一步抬高客户级差异化触达的合规设计门槛</w:t>
            </w:r>
          </w:p>
        </w:tc>
      </w:tr>
      <w:tr w14:paraId="6C5A9FA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914F2A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安全风险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FBB5DE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3分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EA8520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系统本身面临数据泄露、模型攻击等风险，但可通过现有数据安全体系管理；不涉及新增重大攻击面；总体可控</w:t>
            </w:r>
          </w:p>
        </w:tc>
      </w:tr>
      <w:tr w14:paraId="5C41417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63936D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人才门槛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711EF9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2分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BCE9A4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需数据工程、AI建模、因果推断、行为科学、金融业务复合型人才，市场供给严重不足；现有团队难以独立支撑建设和运营；需专项人才引进和培养</w:t>
            </w:r>
          </w:p>
        </w:tc>
      </w:tr>
    </w:tbl>
    <w:p w14:paraId="46B83613">
      <w:pPr>
        <w:spacing w:before="0" w:after="40"/>
      </w:pPr>
    </w:p>
    <w:p w14:paraId="7B66C803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引入可行度综合评级：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2分（四项子要素最低分为2分，合规风险和人才门槛较高，需专项立项治理才可能推进）。</w:t>
      </w:r>
    </w:p>
    <w:p w14:paraId="74793C43">
      <w:pPr>
        <w:pStyle w:val="3"/>
        <w:spacing w:before="240" w:after="120" w:line="360" w:lineRule="auto"/>
        <w:ind w:left="0" w:firstLine="0"/>
        <w:jc w:val="left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六、市场格局与竞争生态</w:t>
      </w:r>
    </w:p>
    <w:p w14:paraId="217DCF80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（一）市场规模与行业结构（Porter五力分析）</w:t>
      </w:r>
    </w:p>
    <w:p w14:paraId="74194A66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DToC是数字孪生市场中的一个细分领域，目前规模不大，增长潜力较大。全球数字孪生市场2025年规模约244.8亿美元，预计2026年增至339.7亿美元，长期预测到2034年可达3847.9亿美元（复合增长率35.4%）。这组数据引自第三方调研平台CleverX的汇总分析，不是Gartner、IDC等专业市场研究机构的口径，仅作量级参考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[28]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。其中客户体验数字孪生增长较快，但在整体数字孪生市场中占比仍然较小。</w:t>
      </w:r>
    </w:p>
    <w:p w14:paraId="6A5AE79E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关于采用率预测，需区分Gartner官方原话与第三方博客转引：Gartner官方在2025年销售技术Hype Cycle新闻稿中确认了DToC的"创新触发期"定位及定义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[1]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；"到2027年20%的B2B销售组织将实施客户数字孪生"为TD SYNNEX博客转引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[29]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，"到2027年超过40%的大型企业将在以收入为重点的项目中采用数字孪生技术"为MindInventory博客转引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[30]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。上述预测涵盖广义数字孪生，DToC作为细分领域的实际采用率可能更低。Gartner供应链调查亦显示，仅27%的首席供应链官认为DToC重要且具有颠覆性，27%正在试点或计划实施，远低于数字供应链孪生（DSCT）的60%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[31]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，表明DToC认知度和采用率仍处低位。</w:t>
      </w:r>
    </w:p>
    <w:p w14:paraId="3FE4C62F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Porter五力分析。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供应商议价能力中等：技术栈以开源组件为主，锁定程度不高，但完整方案需要深度定制和行业know-how。购买者议价能力中等偏高：市场尚在早期，供给方不少但成熟方案少，买方有选择空间。潜在进入者威胁高：CDP厂商、AI营销平台、云厂商、咨询公司、大数据厂商都在加速进入。替代品威胁高：传统客户画像加CDP加推荐系统的组合可以部分实现DToC的功能，而且更成熟、成本更低，这是当前最主要的竞争威胁。行业内竞争强度中等但趋于加剧：目前参与者不多，竞争主要集中在概念和方案层面。</w:t>
      </w:r>
    </w:p>
    <w:p w14:paraId="60D83DE5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（二）主要厂商/方案格局</w:t>
      </w:r>
    </w:p>
    <w:p w14:paraId="54B04F48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表18 主要厂商/方案格局一览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909"/>
        <w:gridCol w:w="1664"/>
        <w:gridCol w:w="1711"/>
        <w:gridCol w:w="1687"/>
        <w:gridCol w:w="1695"/>
      </w:tblGrid>
      <w:tr w14:paraId="594B0B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36A309CE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厂商/机构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3508D537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国别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52CF733C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DToC相关产品/方案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05FA2AD0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核心优势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5FE6B68C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金融行业适配</w:t>
            </w:r>
          </w:p>
        </w:tc>
      </w:tr>
      <w:tr w14:paraId="5499214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ACB75E8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z w:val="28"/>
              </w:rPr>
              <w:t>Genesys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C45165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美国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9834C7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客户体验平台＋数字孪生能力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5E6CB5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全渠道编排、AI驱动个性化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5F1067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有金融客户基础，DToC集成在CX平台中</w:t>
            </w:r>
          </w:p>
        </w:tc>
      </w:tr>
      <w:tr w14:paraId="32558A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338DA9D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z w:val="28"/>
              </w:rPr>
              <w:t>Etiya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6029D5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土耳其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094D799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Digital Twin of Customer (DToC)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BE500B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实时个性化、全渠道编排，获CX创新奖项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26E22A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主要面向电信，金融适配需评估</w:t>
            </w:r>
          </w:p>
        </w:tc>
      </w:tr>
      <w:tr w14:paraId="770181D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460D6DA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z w:val="28"/>
              </w:rPr>
              <w:t>LatentView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547030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美国/印度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5FB956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DToC咨询与实施服务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A19F1D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数据分析和AI咨询专长，端到端实施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3F173C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有金融服务业DToC咨询经验</w:t>
            </w:r>
          </w:p>
        </w:tc>
      </w:tr>
      <w:tr w14:paraId="4379EFC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6A8DE0B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z w:val="28"/>
              </w:rPr>
              <w:t>Accenture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E70721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爱尔兰/全球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848A4E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客户数字孪生咨询方案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EF724B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全球咨询巨头，行业资源丰富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FD02DA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金融咨询经验深厚</w:t>
            </w:r>
          </w:p>
        </w:tc>
      </w:tr>
      <w:tr w14:paraId="7393C0D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898B32A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z w:val="28"/>
              </w:rPr>
              <w:t>Segment (Twilio)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A2D5FE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美国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C35A7A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客户数据平台(CDP)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533B36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领先CDP，实时客户数据统一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723812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可作DToC数据底座，需额外建模层</w:t>
            </w:r>
          </w:p>
        </w:tc>
      </w:tr>
      <w:tr w14:paraId="7503462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BA57040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z w:val="28"/>
              </w:rPr>
              <w:t>Tealium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D83348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美国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648EDF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客户数据平台(CDP)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160F74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企业级CDP，实时数据编排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530EC8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可作DToC数据层</w:t>
            </w:r>
          </w:p>
        </w:tc>
      </w:tr>
      <w:tr w14:paraId="3530DF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2002999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z w:val="28"/>
              </w:rPr>
              <w:t>IBM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8350E5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美国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5168A5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Watson＋数字孪生解决方案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423BF9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AI和企业软件巨头，方案丰富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BBB659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金融客户基础深厚，可定制化</w:t>
            </w:r>
          </w:p>
        </w:tc>
      </w:tr>
      <w:tr w14:paraId="537D0C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B2AD63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奇安信/国内大数据厂商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37D9FF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中国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6343DB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客户数据平台＋AI营销解决方案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499F7C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国产化、数据安全、金融深耕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03FAA3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国内金融适配好，完整方案尚在发展</w:t>
            </w:r>
          </w:p>
        </w:tc>
      </w:tr>
      <w:tr w14:paraId="7FE8735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18D14A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银行自研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87868D6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—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0AF901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基于现有数据平台和AI能力自研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11B060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数据自主可控、业务理解深入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8E5D03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招行、工行等已有相关探索</w:t>
            </w:r>
          </w:p>
        </w:tc>
      </w:tr>
      <w:tr w14:paraId="2F27738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D260A3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Accenture（收购Percipient）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C936B3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爱尔兰/全球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928C04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银行核心系统数字孪生（2025年1月并购）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CA67A0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面向核心系统改造的仿真建模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[20]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56506C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属组织/系统级数字孪生，非DToC，列此作边界澄清</w:t>
            </w:r>
          </w:p>
        </w:tc>
      </w:tr>
      <w:tr w14:paraId="617099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3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2C09C0B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z w:val="28"/>
              </w:rPr>
              <w:t>Sprinklr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3955C6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美国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6C66CE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"Digital Twins"品牌侧AI代理（2025年）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C55ACF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自动化承接客户服务对话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[19]</w:t>
            </w:r>
          </w:p>
        </w:tc>
        <w:tc>
          <w:tcPr>
            <w:tcW w:w="173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24F333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模拟对象是品牌而非客户，方向与DToC相反</w:t>
            </w:r>
          </w:p>
        </w:tc>
      </w:tr>
    </w:tbl>
    <w:p w14:paraId="180B2764">
      <w:pPr>
        <w:spacing w:before="0" w:after="40"/>
      </w:pPr>
    </w:p>
    <w:p w14:paraId="67EFE008">
      <w:pPr>
        <w:spacing w:before="60" w:after="60" w:line="360" w:lineRule="auto"/>
        <w:ind w:left="0" w:firstLine="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说明：Gartner魔力象限（Magic Quadrant）针对DToC的专门报告尚未发布，须使用合法授权原图，本报告不二次绘制替代图。下方两图为基于公开信息自绘或行内研究整理，非Gartner图表。</w:t>
      </w:r>
    </w:p>
    <w:p w14:paraId="7B718F8D">
      <w:pPr>
        <w:spacing w:after="40"/>
        <w:jc w:val="center"/>
      </w:pPr>
      <w:r>
        <w:drawing>
          <wp:inline distT="0" distB="0" distL="114300" distR="114300">
            <wp:extent cx="5579745" cy="3263265"/>
            <wp:effectExtent l="0" t="0" r="1905" b="13335"/>
            <wp:docPr id="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Picture 3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26366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382DF2D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图3 DToC生态位与产业链图谱（基于行内研究整理，仅供内部参考）</w:t>
      </w:r>
    </w:p>
    <w:p w14:paraId="519742F5">
      <w:pPr>
        <w:spacing w:after="40"/>
        <w:jc w:val="center"/>
      </w:pPr>
      <w:r>
        <w:drawing>
          <wp:inline distT="0" distB="0" distL="114300" distR="114300">
            <wp:extent cx="5579745" cy="3949065"/>
            <wp:effectExtent l="0" t="0" r="1905" b="13335"/>
            <wp:docPr id="1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" name="Picture 4"/>
                    <pic:cNvPicPr>
                      <a:picLocks noChangeAspect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94909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7988955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图4 DToC厂商格局定位图（基于公开信息自绘，非Gartner魔力象限）</w:t>
      </w:r>
    </w:p>
    <w:p w14:paraId="778EDBBF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（三）生态开放度评级依据</w:t>
      </w:r>
    </w:p>
    <w:p w14:paraId="562400BE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生态开放度考察的是厂商集中度和可替代路径，回答"会不会被单一厂商锁定"。撰写规范要求从开源与标准程度、供应商竞争格局、国产化适配、替代方案成本四个子维度评估。本报告对DToC的生态开放度评为3分，即主流开放标准与专有方案并存、存在中等成本的替代路径。依据如下：</w:t>
      </w:r>
    </w:p>
    <w:p w14:paraId="375FDAD4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表19 生态开放度评级依据（评级：3分）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88"/>
        <w:gridCol w:w="2888"/>
      </w:tblGrid>
      <w:tr w14:paraId="1B58B9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6BBD13C4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子维度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47CEF8B0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现状事实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4DF32056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指向</w:t>
            </w:r>
          </w:p>
        </w:tc>
      </w:tr>
      <w:tr w14:paraId="564FB4F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DEB80E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开源与标准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566A31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核心栈由Kafka、Flink、Spark、MLflow、Feast等主流开源组件构成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B2B317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不存在不可替代的专有技术锁定</w:t>
            </w:r>
          </w:p>
        </w:tc>
      </w:tr>
      <w:tr w14:paraId="4C1C187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F3F9B0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供应商格局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C7AA27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市场未形成寡头垄断，CDP厂商/AI营销平台/云厂商/咨询公司多路供给并存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860F81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买方具备议价与替换空间</w:t>
            </w:r>
          </w:p>
        </w:tc>
      </w:tr>
      <w:tr w14:paraId="48B2D83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881FAA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国产化适配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BF6175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国内大数据厂商与银行自研方案均可承接核心栈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F95CCA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信创环境可行</w:t>
            </w:r>
          </w:p>
        </w:tc>
      </w:tr>
      <w:tr w14:paraId="46D6647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B6C125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替代方案成本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F1939D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传统画像＋CDP＋推荐系统的组合功能部分等效且更成熟、更低成本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571F05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存在中等成本替代路径，本维度封顶于3分档</w:t>
            </w:r>
          </w:p>
        </w:tc>
      </w:tr>
    </w:tbl>
    <w:p w14:paraId="3B0D19B0">
      <w:pPr>
        <w:spacing w:before="0" w:after="40"/>
      </w:pPr>
    </w:p>
    <w:p w14:paraId="45E4011C">
      <w:pPr>
        <w:pStyle w:val="3"/>
        <w:spacing w:before="240" w:after="120" w:line="360" w:lineRule="auto"/>
        <w:ind w:left="0" w:firstLine="0"/>
        <w:jc w:val="left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七、战略定位与匹配度</w:t>
      </w:r>
    </w:p>
    <w:p w14:paraId="22E45065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（一）与浦发银行战略的关系</w:t>
      </w:r>
    </w:p>
    <w:p w14:paraId="5FF0BEF6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命中"数智化"战略下的"客户经营"体系。本行2025年年度报告明确，以数智贯通"客户经营、数据管理、智能运营、产品创新、风险管理"五大体系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[32]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，其中"客户经营"位列五大体系之首；同时提出"推进客户经营与一体化服务融合""践行一个客户、多款产品、一站式科技服务理念，提升全周期服务体验"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[32]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。DToC正是客户经营体系从"描述—预测"向"推演"进阶的技术路径，与上述战略表述方向一致。</w:t>
      </w:r>
    </w:p>
    <w:p w14:paraId="4FA68DBF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落入已规模化落地的"数智营销"领域，属能力深化而非开辟新战线。本行2025年在智慧营销、智慧经营、高效运营、数智风控、智能管理五大领域落地超200个人工智能场景；2026年上半年累计推进超440个AI应用建设，覆盖数智营销、数智生态、数智运营、数智风控、数智管理五大领域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[32][33]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。这说明营销智能化在本行已有基础，DToC不是另开一条战线，而是把现有营销AI从"预测谁会买"推进到"算清增量、优化投放"。这也解释了为什么容易产生"银行好像已经做了"的印象：已经做的是预测层，还没做的是推演层。</w:t>
      </w:r>
    </w:p>
    <w:p w14:paraId="67E20B67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与本行AI旗舰路径的关系：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命中但非点名旗舰。本行发布《人工智能实施行动计划（2026）》，将AI能力建设提升至战略核心地位，明确提出"打造金融垂类大模型与智能体"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[32]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；2026年上半年发布"浦银智启"大模型服务矩阵，完成GLM5.1与DeepSeek-V4的部署应用，打造表单识别、财务分析、行业分析三大标杆金融垂类大模型</w:t>
      </w:r>
      <w:r>
        <w:rPr>
          <w:rFonts w:ascii="仿宋" w:hAnsi="仿宋" w:eastAsia="仿宋"/>
          <w:b w:val="0"/>
          <w:i w:val="0"/>
          <w:color w:val="000000"/>
          <w:sz w:val="32"/>
          <w:vertAlign w:val="superscript"/>
        </w:rPr>
        <w:t>[33]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。可见本行AI战略点名的旗舰路径是垂类大模型与智能体，DToC未被点名，属"客户经营/数智营销"方向下的技术路径之一。这一点构成本维度评3分而非4分的核心依据，详见本章第（四）节。</w:t>
      </w:r>
    </w:p>
    <w:p w14:paraId="17EB8658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与当前客户画像痛点解决的协同。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DToC的五路能力建设与第二章列举的六类画像痛点一一对应，所以DToC建设不是另起炉灶，而是在解决现有痛点的过程中，逐步积累朝DToC方向演进的能力。这一点不影响分值，但说明这项研究当下就有价值，可以据此排期。</w:t>
      </w:r>
    </w:p>
    <w:p w14:paraId="6E090064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（二）与企业架构的关系</w:t>
      </w:r>
    </w:p>
    <w:p w14:paraId="00B62F10">
      <w:pPr>
        <w:spacing w:before="90" w:after="90" w:line="360" w:lineRule="auto"/>
        <w:ind w:left="0" w:firstLine="480"/>
        <w:jc w:val="both"/>
        <w:rPr>
          <w:rFonts w:hint="default"/>
          <w:b w:val="0"/>
          <w:sz w:val="21"/>
          <w:lang w:val="en-US" w:eastAsia="zh-CN"/>
        </w:rPr>
      </w:pPr>
      <w:r>
        <w:rPr>
          <w:rFonts w:ascii="仿宋" w:hAnsi="仿宋" w:eastAsia="仿宋" w:cs="宋体"/>
          <w:b w:val="0"/>
          <w:color w:val="000000"/>
          <w:sz w:val="32"/>
          <w:szCs w:val="24"/>
        </w:rPr>
        <w:t>D</w:t>
      </w:r>
      <w:r>
        <w:rPr>
          <w:rFonts w:hint="eastAsia" w:ascii="仿宋" w:hAnsi="仿宋" w:eastAsia="仿宋"/>
          <w:b w:val="0"/>
          <w:color w:val="000000"/>
          <w:sz w:val="32"/>
        </w:rPr>
        <w:t>ToC 作为客户经营智能化专项，不独立建设全套业务、数据、风控底座，建设全流程纳入浦发 5A4S 企业级架构管控</w:t>
      </w:r>
      <w:r>
        <w:rPr>
          <w:rFonts w:hint="eastAsia" w:ascii="仿宋" w:hAnsi="仿宋" w:eastAsia="仿宋"/>
          <w:b w:val="0"/>
          <w:color w:val="000000"/>
          <w:sz w:val="32"/>
          <w:lang w:eastAsia="zh-CN"/>
        </w:rPr>
        <w:t>，</w:t>
      </w:r>
      <w:r>
        <w:rPr>
          <w:rFonts w:hint="eastAsia" w:ascii="仿宋" w:hAnsi="仿宋" w:eastAsia="仿宋"/>
          <w:b w:val="0"/>
          <w:color w:val="000000"/>
          <w:sz w:val="32"/>
          <w:lang w:val="en-US" w:eastAsia="zh-CN"/>
        </w:rPr>
        <w:t>融入</w:t>
      </w:r>
      <w:r>
        <w:rPr>
          <w:rFonts w:hint="eastAsia" w:ascii="仿宋" w:hAnsi="仿宋" w:eastAsia="仿宋" w:cs="宋体"/>
          <w:b w:val="0"/>
          <w:color w:val="000000"/>
          <w:sz w:val="32"/>
          <w:szCs w:val="24"/>
        </w:rPr>
        <w:t>十大业务能力中心的企业级共享能力</w:t>
      </w:r>
      <w:r>
        <w:rPr>
          <w:rFonts w:hint="eastAsia" w:ascii="仿宋" w:hAnsi="仿宋" w:eastAsia="仿宋" w:cs="宋体"/>
          <w:b w:val="0"/>
          <w:color w:val="000000"/>
          <w:sz w:val="32"/>
          <w:szCs w:val="24"/>
          <w:lang w:eastAsia="zh-CN"/>
        </w:rPr>
        <w:t>。</w:t>
      </w:r>
      <w:r>
        <w:rPr>
          <w:rFonts w:ascii="仿宋" w:hAnsi="仿宋" w:eastAsia="仿宋"/>
          <w:b w:val="0"/>
          <w:color w:val="000000"/>
          <w:sz w:val="32"/>
        </w:rPr>
        <w:t xml:space="preserve"> DToC</w:t>
      </w:r>
      <w:r>
        <w:rPr>
          <w:rFonts w:hint="eastAsia" w:ascii="仿宋" w:hAnsi="仿宋" w:eastAsia="仿宋"/>
          <w:b w:val="0"/>
          <w:color w:val="000000"/>
          <w:sz w:val="32"/>
          <w:lang w:val="en-US" w:eastAsia="zh-CN"/>
        </w:rPr>
        <w:t>主要涉及客户经营中心、数智能力中心。</w:t>
      </w:r>
    </w:p>
    <w:p w14:paraId="35E258CD">
      <w:pPr>
        <w:spacing w:after="120" w:line="336" w:lineRule="auto"/>
        <w:ind w:firstLine="420"/>
        <w:rPr>
          <w:rFonts w:hint="eastAsia"/>
          <w:b w:val="0"/>
          <w:sz w:val="21"/>
          <w:lang w:val="en-US" w:eastAsia="zh-CN"/>
        </w:rPr>
      </w:pPr>
    </w:p>
    <w:p w14:paraId="40AE7151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（三）SWOT分析</w:t>
      </w:r>
    </w:p>
    <w:p w14:paraId="5AEA8A12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表20 SWOT分析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53"/>
        <w:gridCol w:w="6913"/>
      </w:tblGrid>
      <w:tr w14:paraId="120D734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4B63BC17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维度</w:t>
            </w:r>
          </w:p>
        </w:tc>
        <w:tc>
          <w:tcPr>
            <w:tcW w:w="69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0A3170A4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内容</w:t>
            </w:r>
          </w:p>
        </w:tc>
      </w:tr>
      <w:tr w14:paraId="630ED6E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0AF18A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优势（S）</w:t>
            </w:r>
          </w:p>
        </w:tc>
        <w:tc>
          <w:tcPr>
            <w:tcW w:w="69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2230F9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1. 客户数据资产丰富，管理个人AUM余额（含市值）2026年上半年末达50,051.26亿元、较上年末增长7.30%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[33]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；2. 数智化战略明确，"客户经营"位列数智贯通五大体系之首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[32]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；3. 已有智慧营销规模化AI落地基础（2025年超200个场景、2026年上半年超440个应用）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[32][33]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，可增量建设；4. 已建成5A4S企业级架构与国产千卡算力集群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[32]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；5. 五路能力同步解决当前画像痛点，建设有当下价值</w:t>
            </w:r>
          </w:p>
        </w:tc>
      </w:tr>
      <w:tr w14:paraId="54F5BA7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8C21CF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劣势（W）</w:t>
            </w:r>
          </w:p>
        </w:tc>
        <w:tc>
          <w:tcPr>
            <w:tcW w:w="69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F847EC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1. DToC技术成熟度低，缺乏标准化方法论和成熟产品；2. 隐私合规风险高；3. 复合型人才（数据工程＋AI建模＋因果推断＋行为科学＋金融业务）不足；4. 干预事件数据未系统化记录，而这是因果推断的核心必要条件；5. 实施成本高、周期长，ROI不确定性大</w:t>
            </w:r>
          </w:p>
        </w:tc>
      </w:tr>
      <w:tr w14:paraId="60E667B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59BEBF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机会（O）</w:t>
            </w:r>
          </w:p>
        </w:tc>
        <w:tc>
          <w:tcPr>
            <w:tcW w:w="69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718943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1. 2026年为本行数智化战略"全面深化年"，AI能力建设已提升至战略核心地位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[32]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；2. 客户体验竞争加剧，超个性化成为差异化方向；3. 隐私计算技术（联邦学习、差分隐私、合成数据）提供合规路径；4. 同业尚未规模化部署，先行探索可建立先发优势；5. Uplift/因果推断技术本身成熟，互联网行业已验证</w:t>
            </w:r>
          </w:p>
        </w:tc>
      </w:tr>
      <w:tr w14:paraId="262E0CC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5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435D7C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威胁（T）</w:t>
            </w:r>
          </w:p>
        </w:tc>
        <w:tc>
          <w:tcPr>
            <w:tcW w:w="6913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CE792C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1. 隐私监管趋严，算法推荐规定与2026年9月30日施行的《金融产品网络营销管理办法》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[8][10]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抬高个性化触达合规门槛；2. 客户对数据隐私关注度提升；3. 传统CDP＋推荐系统替代方案可满足大部分需求，延迟DToC决策；4. 本行AI资源已重点投向垂类大模型与智能体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[32][33]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，DToC面临内部资源竞争；5. "大数据杀熟"负面舆情风险</w:t>
            </w:r>
          </w:p>
        </w:tc>
      </w:tr>
    </w:tbl>
    <w:p w14:paraId="39904BBC">
      <w:pPr>
        <w:spacing w:before="0" w:after="40"/>
      </w:pPr>
    </w:p>
    <w:p w14:paraId="341E317A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（四）战略匹配度评级依据</w:t>
      </w:r>
    </w:p>
    <w:p w14:paraId="7BDB33CA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color w:val="000000"/>
          <w:sz w:val="32"/>
        </w:rPr>
        <w:t>综合以上，战略匹配度评为3分，即命中战略方向清单中的1项，属该方向下的技术路径之一。该判定基于公开披露的方向级口径，方向内技术路径清单细化后须复核（见第八章）。需要说明的是，与现有画像痛点的协同不改变分值，但它说明这项研究现在做就有现实意义，可以据此排期。</w:t>
      </w:r>
    </w:p>
    <w:p w14:paraId="648DB215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表21 战略匹配度评级依据（评级：3分）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90"/>
        <w:gridCol w:w="2888"/>
        <w:gridCol w:w="2888"/>
      </w:tblGrid>
      <w:tr w14:paraId="15233BD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7E91301B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判定项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48E7B33D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要点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40E205DC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对分值的影响</w:t>
            </w:r>
          </w:p>
        </w:tc>
      </w:tr>
      <w:tr w14:paraId="137F636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35A679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战略方向命中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2FA2AD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命中本行"数智化"战略下"客户经营"体系与"数智营销"领域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[32][33]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，属该方向下的技术路径之一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ABB090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满足3分档的基本判据</w:t>
            </w:r>
          </w:p>
        </w:tc>
      </w:tr>
      <w:tr w14:paraId="006710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D87864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非旗舰的原因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F9E626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本行《人工智能实施行动计划（2026）》点名的AI旗舰路径为"金融垂类大模型与智能体"</w:t>
            </w: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  <w:vertAlign w:val="superscript"/>
              </w:rPr>
              <w:t>[32]</w:t>
            </w: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，DToC未被点名；同方向下另有并列技术路径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655136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不足以评4分及以上</w:t>
            </w:r>
          </w:p>
        </w:tc>
      </w:tr>
      <w:tr w14:paraId="19DF328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E7D033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其他战略协同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CCD057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与AI战略、数据战略存在协同，但非其核心方向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461A4A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不产生升档效应</w:t>
            </w:r>
          </w:p>
        </w:tc>
      </w:tr>
      <w:tr w14:paraId="1DBEBD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89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CF957E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现实加分项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9FF59B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五路能力建设同步解决第二章所述六类现存画像痛点</w:t>
            </w:r>
          </w:p>
        </w:tc>
        <w:tc>
          <w:tcPr>
            <w:tcW w:w="288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A788158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支撑观察层内保持较高跟踪频次的现实理由</w:t>
            </w:r>
          </w:p>
        </w:tc>
      </w:tr>
    </w:tbl>
    <w:p w14:paraId="252F7775">
      <w:pPr>
        <w:spacing w:before="0" w:after="40"/>
      </w:pPr>
    </w:p>
    <w:p w14:paraId="187E1B30">
      <w:pPr>
        <w:pStyle w:val="3"/>
        <w:spacing w:before="240" w:after="120" w:line="360" w:lineRule="auto"/>
        <w:ind w:left="0" w:firstLine="0"/>
        <w:jc w:val="left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八、综合评估结论</w:t>
      </w:r>
    </w:p>
    <w:p w14:paraId="669BBFE4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（一）六维评级汇总</w:t>
      </w:r>
    </w:p>
    <w:p w14:paraId="18B94AFA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表22 六维评级汇总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051"/>
        <w:gridCol w:w="1126"/>
        <w:gridCol w:w="5489"/>
      </w:tblGrid>
      <w:tr w14:paraId="393E906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12BC460B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评估维度</w:t>
            </w:r>
          </w:p>
        </w:tc>
        <w:tc>
          <w:tcPr>
            <w:tcW w:w="11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1E4B61E9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分值</w:t>
            </w:r>
          </w:p>
        </w:tc>
        <w:tc>
          <w:tcPr>
            <w:tcW w:w="5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3D9945C9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评级依据（一句话）</w:t>
            </w:r>
          </w:p>
        </w:tc>
      </w:tr>
      <w:tr w14:paraId="751710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D5973F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技术成熟度</w:t>
            </w:r>
          </w:p>
        </w:tc>
        <w:tc>
          <w:tcPr>
            <w:tcW w:w="11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AEA41B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2分</w:t>
            </w:r>
          </w:p>
        </w:tc>
        <w:tc>
          <w:tcPr>
            <w:tcW w:w="5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677ADE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Gartner列为创新触发期，TRL 3—4级，个别实验性验证，缺乏成熟产品和标准化方法论；但Uplift/因果推断组件技术成熟（评分口径见第三章第（六）节）</w:t>
            </w:r>
          </w:p>
        </w:tc>
      </w:tr>
      <w:tr w14:paraId="45D4F37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DB1FD3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战略匹配度</w:t>
            </w:r>
          </w:p>
        </w:tc>
        <w:tc>
          <w:tcPr>
            <w:tcW w:w="11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8AD837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3分</w:t>
            </w:r>
          </w:p>
        </w:tc>
        <w:tc>
          <w:tcPr>
            <w:tcW w:w="5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DD5C7A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命中本行"客户经营/数智营销"方向，但AI旗舰路径为垂类大模型与智能体，DToC非点名旗舰</w:t>
            </w:r>
          </w:p>
        </w:tc>
      </w:tr>
      <w:tr w14:paraId="3C69BD6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136581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价值贡献度</w:t>
            </w:r>
          </w:p>
        </w:tc>
        <w:tc>
          <w:tcPr>
            <w:tcW w:w="11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0989615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  <w:t>4分</w:t>
            </w:r>
          </w:p>
        </w:tc>
        <w:tc>
          <w:tcPr>
            <w:tcW w:w="5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D805B31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效率、体验、风控多维价值明确、可初步量化；区间绝对值仍属示意测算，须实测校准</w:t>
            </w:r>
          </w:p>
        </w:tc>
      </w:tr>
      <w:tr w14:paraId="3E2E52C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C00945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引入可行度</w:t>
            </w:r>
          </w:p>
        </w:tc>
        <w:tc>
          <w:tcPr>
            <w:tcW w:w="11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190840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2分</w:t>
            </w:r>
          </w:p>
        </w:tc>
        <w:tc>
          <w:tcPr>
            <w:tcW w:w="5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064171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合规风险与人才门槛较高，但传统ML路径不受GenAI限制，存在隐私计算等前置管控手段</w:t>
            </w:r>
          </w:p>
        </w:tc>
      </w:tr>
      <w:tr w14:paraId="5645FE4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0F487F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战略紧迫度</w:t>
            </w:r>
          </w:p>
        </w:tc>
        <w:tc>
          <w:tcPr>
            <w:tcW w:w="11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B8923F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3分</w:t>
            </w:r>
          </w:p>
        </w:tc>
        <w:tc>
          <w:tcPr>
            <w:tcW w:w="5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9064CB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3—5年关键窗口，互联网行业已验证推演能力、银行业空白，但无明确监管强制采用时限</w:t>
            </w:r>
          </w:p>
        </w:tc>
      </w:tr>
      <w:tr w14:paraId="144712B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05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E8499C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生态开放度</w:t>
            </w:r>
          </w:p>
        </w:tc>
        <w:tc>
          <w:tcPr>
            <w:tcW w:w="112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D60DE0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3分</w:t>
            </w:r>
          </w:p>
        </w:tc>
        <w:tc>
          <w:tcPr>
            <w:tcW w:w="5489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A8AEAD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技术栈以开源为主，多厂商可选，存在中等成本替代路径，国产化路径清晰</w:t>
            </w:r>
          </w:p>
        </w:tc>
      </w:tr>
    </w:tbl>
    <w:p w14:paraId="32B46CBE">
      <w:pPr>
        <w:spacing w:before="0" w:after="40"/>
      </w:pPr>
    </w:p>
    <w:p w14:paraId="7083A6F4">
      <w:pPr>
        <w:spacing w:after="40"/>
        <w:jc w:val="center"/>
      </w:pPr>
      <w:r>
        <w:drawing>
          <wp:inline distT="0" distB="0" distL="114300" distR="114300">
            <wp:extent cx="5579745" cy="4723130"/>
            <wp:effectExtent l="0" t="0" r="1905" b="8255"/>
            <wp:docPr id="1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Picture 5"/>
                    <pic:cNvPicPr>
                      <a:picLocks noChangeAspect="1"/>
                    </pic:cNvPicPr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4278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9BDA8E4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图5 DToC六维评估雷达图（自绘）</w:t>
      </w:r>
    </w:p>
    <w:p w14:paraId="70075E50">
      <w:pPr>
        <w:spacing w:before="60" w:after="60" w:line="360" w:lineRule="auto"/>
        <w:ind w:left="0" w:firstLine="0"/>
        <w:jc w:val="left"/>
      </w:pPr>
      <w:r>
        <w:rPr>
          <w:rFonts w:ascii="仿宋" w:hAnsi="仿宋" w:eastAsia="仿宋"/>
          <w:color w:val="000000"/>
          <w:sz w:val="28"/>
        </w:rPr>
        <w:t>注：雷达图六个顶点自正上方起顺时针依次为技术成熟度、战略匹配度、价值贡献度、引入可行度、战略紧迫度、生态开放度；各顶点旁标注维度名称与得分（1—5分制）。六维分值不做加权求和，综合结论按"处置档位映射规则"的组合判据推导。</w:t>
      </w:r>
    </w:p>
    <w:p w14:paraId="6CAF419F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（二）处置档位推导</w:t>
      </w:r>
    </w:p>
    <w:p w14:paraId="1C0A8031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b/>
          <w:color w:val="000000"/>
          <w:sz w:val="32"/>
        </w:rPr>
        <w:t>根据处置档位映射规则的组合判据：</w:t>
      </w:r>
      <w:r>
        <w:rPr>
          <w:rFonts w:ascii="仿宋" w:hAnsi="仿宋" w:eastAsia="仿宋"/>
          <w:color w:val="000000"/>
          <w:sz w:val="32"/>
        </w:rPr>
        <w:t>战略匹配度3分、价值贡献度4分、技术成熟度2分、引入可行度2分、战略紧迫度3分、生态开放度3分。逐档对照如下：布局层要求战略匹配度与价值贡献度均不低于4分、引入可行度不低于3分——价值贡献度4分虽已达标，但战略匹配度3分、引入可行度2分两项不满足，先行排除；论证层在布局层条件之上还要求技术成熟度4至5分，更不满足。观察层判据之一是"技术成熟度不高于2分，且战略匹配度或价值贡献度待判"——技术成熟度2分，已属不高于2分；战略匹配度虽评3分，但其判定基于本行公开披露的方向级口径（"客户经营""数智营销"），方向内具体技术路径清单尚未细化，DToC究竟是"明确列出的技术路径"（维持3分）还是"边缘相关"（降至2分），有待战略口径细化后复核，按规范口径属"待判"；且无论维持3分或降至2分，均低于布局层要求的4分，不影响档位结论。两项条件同时成立，命中观察层。研究层要求"至少一维处于3分附近的关键不确定"，并以"趋势明确"为前提，而DToC的技术路径尚未定型：Gartner仍将其列在五阶段中最早的创新触发期，国内银行业无可公开核实的规模化生产案例，厂商方案形态各异且与传统"CDP＋推荐"组合高度重叠，趋势本身仍在形成之中，不满足研究层"趋势明确但尚待判明"的前提。据此，DToC处置档位定为"动态观察（观察层）"。须强调的是，价值贡献度升至4分不改变上述结论：六维按组合判据推导、不做加权求和，单项价值再高也不能对冲技术成熟度与引入可行度两道2分硬门槛——卡点不在"值不值得做"，而在"现在能不能做"，这恰是观察层与布局层的分界所在。另有两点一并说明：引入可行度2分，但隐私计算、数据脱敏、分级授权、人工复核等前置管控手段均可行，按规范不构成"无可行前置管控"的单列否决（详见第五章），仅支持不进入布局、论证层；生态开放度3分，高于2分，不触发供应链依赖预警。</w:t>
      </w:r>
    </w:p>
    <w:p w14:paraId="19AE74A5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b/>
          <w:color w:val="000000"/>
          <w:sz w:val="32"/>
        </w:rPr>
        <w:t>综合结论：</w:t>
      </w:r>
      <w:r>
        <w:rPr>
          <w:rFonts w:ascii="仿宋" w:hAnsi="仿宋" w:eastAsia="仿宋"/>
          <w:color w:val="000000"/>
          <w:sz w:val="32"/>
        </w:rPr>
        <w:t>DToC处置档位为"动态观察（观察层）"，战略紧迫度3分，在观察层内按较高频次（建议半年一次）跟踪复评。核心建议分三层。一是不投入：观察期内不建设DToC平台、不启动专项POC——在技术路径未定型、银行业无生产案例的阶段投入，不确定性并不会因投入而降低。二是低成本观察：以季度信息跟踪、半年一次复评的节奏，重点跟踪三件事——Gartner对DToC的技术定位是否越过创新触发期、国内是否出现可核实的同业生产部署案例、《金融产品网络营销管理办法》执行细则</w:t>
      </w:r>
      <w:r>
        <w:rPr>
          <w:rFonts w:ascii="仿宋" w:hAnsi="仿宋" w:eastAsia="仿宋"/>
          <w:color w:val="000000"/>
          <w:sz w:val="32"/>
          <w:vertAlign w:val="superscript"/>
        </w:rPr>
        <w:t>[10]</w:t>
      </w:r>
      <w:r>
        <w:rPr>
          <w:rFonts w:ascii="仿宋" w:hAnsi="仿宋" w:eastAsia="仿宋"/>
          <w:color w:val="000000"/>
          <w:sz w:val="32"/>
        </w:rPr>
        <w:t>及算法推荐、自动化决策相关监管要求的落地口径；同时推进"干预事件数据采集"这一本就属于客户数据底座短板的基础工作，其价值不因DToC最终是否成立而消失。三是预设升档触发条件，按目标档位分两组：具备下列任一情形，技术成熟度可升至3分，即转研究层并开展POC——Gartner将DToC推进至期望膨胀期或更高、TRL就绪度达到5级以上，或国内出现2家以上同业可核实的规模化生产案例；在具备研究层条件的基础上，若行内合规专项治理立项完成、复合型人才到位（引入可行度升至3分），且战略清单将DToC明确为"客户经营"方向核心路径（战略匹配度升至4分），则满足布局层全部门槛，可提前布局。升档后的执行方案（五路能力框架、场景优先级、成功与止损标准）见第九章，已备妥待触发，无需重新论证。</w:t>
      </w:r>
    </w:p>
    <w:p w14:paraId="10A3AF1A">
      <w:pPr>
        <w:pStyle w:val="3"/>
        <w:spacing w:before="240" w:after="120" w:line="360" w:lineRule="auto"/>
        <w:ind w:left="0" w:firstLine="0"/>
        <w:jc w:val="left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九、实施建议</w:t>
      </w:r>
    </w:p>
    <w:p w14:paraId="5F6E3348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b/>
          <w:color w:val="000000"/>
          <w:sz w:val="32"/>
        </w:rPr>
        <w:t>本章依次说明四件事：</w:t>
      </w:r>
      <w:r>
        <w:rPr>
          <w:rFonts w:ascii="仿宋" w:hAnsi="仿宋" w:eastAsia="仿宋"/>
          <w:color w:val="000000"/>
          <w:sz w:val="32"/>
        </w:rPr>
        <w:t>观察期内该做什么、满足什么条件才升档、升档后按什么路径推进并设置哪些里程碑，以及核心组件该自建还是外购。需要说明的是，本章给出的五路能力框架与实施路径，是升档触发之后的执行蓝图，观察期内不启动建设；蓝图先行备妥，触发即可执行，不必重新论证。</w:t>
      </w:r>
    </w:p>
    <w:p w14:paraId="2F7E2FC9">
      <w:pPr>
        <w:pStyle w:val="4"/>
        <w:spacing w:before="120" w:after="60" w:line="360" w:lineRule="auto"/>
        <w:ind w:left="0" w:firstLine="0"/>
        <w:jc w:val="left"/>
      </w:pPr>
      <w:r>
        <w:rPr>
          <w:rFonts w:ascii="仿宋" w:hAnsi="仿宋" w:eastAsia="仿宋"/>
          <w:b/>
          <w:color w:val="000000"/>
          <w:sz w:val="32"/>
        </w:rPr>
        <w:t>（一）总体思路：以五路能力为主线的渐进演进（升档后执行）</w:t>
      </w:r>
    </w:p>
    <w:p w14:paraId="314A4796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color w:val="000000"/>
          <w:sz w:val="32"/>
        </w:rPr>
        <w:t>完整的DToC平台目前还不成熟，但可以把这个远景方向拆成五路能力，分步建设。需要强调的是，本节的框架与投入比例是"升档触发之后"的执行蓝图，观察期内不启动建设、不投入专项资源；蓝图先行备妥，触发即可执行。本报告参照Gartner对DToC的定义（模拟、仿效、预测三个特征）和数字孪生通用架构，结合银行业客户智能的实际情况，提出下面的五路能力框架，作为升档后实施工作的总纲。这个框架是本项目自己提出的分析框架，不是Gartner或其他权威机构发布的行业标准，实际执行时可以合并、拆分或调整。它的思路是：每一路能力都对应解决一个第二章列举的画像痛点（标签庞杂、不会归因、决策靠经验、数据与决策两张皮、合规靠人工），业务部门当下就能受益；同时每建成一路，就离DToC的远景近一步。换句话说，是在解决当前痛点的过程中让能力自然演进，不是为建DToC而建能力。</w:t>
      </w:r>
    </w:p>
    <w:p w14:paraId="31136E81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表23 五路能力建设框架总表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329"/>
        <w:gridCol w:w="1276"/>
        <w:gridCol w:w="1325"/>
        <w:gridCol w:w="2036"/>
        <w:gridCol w:w="1325"/>
        <w:gridCol w:w="1375"/>
      </w:tblGrid>
      <w:tr w14:paraId="3F2EBE38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0A557882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能力路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5453B4C1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定位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47D18D3E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解决的当前痛点</w:t>
            </w:r>
          </w:p>
        </w:tc>
        <w:tc>
          <w:tcPr>
            <w:tcW w:w="145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569F7CCF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建设内容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138296D1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当下价值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32D7E5B8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远期价值（DToC拼图）</w:t>
            </w:r>
          </w:p>
        </w:tc>
      </w:tr>
      <w:tr w14:paraId="5853D76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3B7958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第一路：数据底座能力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605A61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基础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102B8B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标签庞杂；干预事件数据缺失；身份不统一</w:t>
            </w:r>
          </w:p>
        </w:tc>
        <w:tc>
          <w:tcPr>
            <w:tcW w:w="145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0FFC23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①标签治理；②干预事件数据采集（核心必要）；③OneID身份解析；④特征仓库；⑤准实时数据流（增强）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BBBB2D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标签少而精；可算清营销真实增量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C72CE3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构成动态镜像的数据基础</w:t>
            </w:r>
          </w:p>
        </w:tc>
      </w:tr>
      <w:tr w14:paraId="3EC857A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84D0C7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第二路：行为建模能力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7E0CF1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核心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C97923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模型分散重复建设；只会预测不会归因</w:t>
            </w:r>
          </w:p>
        </w:tc>
        <w:tc>
          <w:tcPr>
            <w:tcW w:w="145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FCB221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①统一建模引擎；②Uplift/因果推断算法库（Causal Forest、X-Learner、DML）；③模型矩阵（流失/响应/Uplift/序列/图神经网络）；④可解释性（SHAP/LIME）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517A7E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预算从"大水漫灌"变"精准滴灌"；模型复用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F85E46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构成DToC的建模内核</w:t>
            </w:r>
          </w:p>
        </w:tc>
      </w:tr>
      <w:tr w14:paraId="298F2B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CC8850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第三路：场景推演能力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A6988A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核心增量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E32D9D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决策靠经验；产品靠试错；预算靠博弈</w:t>
            </w:r>
          </w:p>
        </w:tc>
        <w:tc>
          <w:tcPr>
            <w:tcW w:w="145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4C38F9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①增量效果归因；②参数化推演；③What-if场景模拟；④反事实评估；⑤多策略对比；⑥A/B测试虚拟预演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2EE4B3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新品上线前模拟接受度与资金来源；预算按增量收益优化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2F4F90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DToC区别于CDP的关键所在</w:t>
            </w:r>
          </w:p>
        </w:tc>
      </w:tr>
      <w:tr w14:paraId="41CEA75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83B3C8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第四路：决策集成能力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52E649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闭环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53B26E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数据与决策两张皮；效果不回流</w:t>
            </w:r>
          </w:p>
        </w:tc>
        <w:tc>
          <w:tcPr>
            <w:tcW w:w="145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51297A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①统一决策服务层（标准化API）；②人工复核工作台（个保法第二十四条）；③闭环反馈；④决策审计日志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3678FD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模型结果一键推送业务系统；闭环让模型越用越准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D25C66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让推演结果落到业务系统</w:t>
            </w:r>
          </w:p>
        </w:tc>
      </w:tr>
      <w:tr w14:paraId="09F9B27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445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1B9661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第五路：合规与隐私计算能力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B69951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保障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A3227C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合规靠人工；数据使用不透明</w:t>
            </w:r>
          </w:p>
        </w:tc>
        <w:tc>
          <w:tcPr>
            <w:tcW w:w="1457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F7EE47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①自动化脱敏；②合成数据；③模型可解释性；④人工复核；⑤客户权利保障自动化；⑥数据血缘追踪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3999E4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合规审查自动化；合成数据可训练而不碰真实信息</w:t>
            </w:r>
          </w:p>
        </w:tc>
        <w:tc>
          <w:tcPr>
            <w:tcW w:w="1441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83E1B3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DToC的合规保障</w:t>
            </w:r>
          </w:p>
        </w:tc>
      </w:tr>
    </w:tbl>
    <w:p w14:paraId="68F288A6">
      <w:pPr>
        <w:spacing w:before="0" w:after="40"/>
      </w:pPr>
    </w:p>
    <w:p w14:paraId="08FC72AD">
      <w:pPr>
        <w:spacing w:after="40"/>
        <w:jc w:val="center"/>
      </w:pPr>
      <w:r>
        <w:drawing>
          <wp:inline distT="0" distB="0" distL="114300" distR="114300">
            <wp:extent cx="5579745" cy="3619500"/>
            <wp:effectExtent l="0" t="0" r="1905" b="0"/>
            <wp:docPr id="1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" name="Picture 6"/>
                    <pic:cNvPicPr>
                      <a:picLocks noChangeAspect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580000" cy="36197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1C0650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图6 DToC能力架构分层视图</w:t>
      </w:r>
    </w:p>
    <w:p w14:paraId="4BBBBC1E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color w:val="000000"/>
          <w:sz w:val="32"/>
        </w:rPr>
        <w:t>推演能力的四个进阶台阶（与第三路能力对应）。推演能力建不成一步到位，可以分成四个台阶：第一步A/B测试基础设施（系统化实验设计与因果数据积累，多数银行已有雏形，无需专门建设）；第二步Uplift增量预测（识别"因干预才转化"的营销敏感人群，技术成熟、6个月可出效果，是升档后POC的切入点）；第三步反事实评估（模拟不同策略下的结果对比，需第二步数据积累，12—18个月）；第四步市场级系统模拟（全量客群系统级动态推演，技术复杂、需3—5年积累，POC不建议触碰）。完整的DToC平台对应第四步，目前对银行来说过于超前，不宜作为当前建设目标。</w:t>
      </w:r>
    </w:p>
    <w:p w14:paraId="09C15C13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color w:val="000000"/>
          <w:sz w:val="32"/>
        </w:rPr>
        <w:t>升档后POC阶段五路能力的建设优先级和投入比例建议：第一路轻量版（25%，重点补干预事件数据＋标签治理，不建实时流）、第二路Uplift扩展（25%）、第三路基础推演引擎（30%，核心）、第四路轻量对接（10%）、第五路用现有能力（10%）。</w:t>
      </w:r>
    </w:p>
    <w:p w14:paraId="3DC82C2B">
      <w:pPr>
        <w:pStyle w:val="4"/>
        <w:spacing w:before="120" w:after="60" w:line="360" w:lineRule="auto"/>
        <w:ind w:left="0" w:firstLine="0"/>
        <w:jc w:val="left"/>
      </w:pPr>
      <w:r>
        <w:rPr>
          <w:rFonts w:ascii="仿宋" w:hAnsi="仿宋" w:eastAsia="仿宋"/>
          <w:b/>
          <w:color w:val="000000"/>
          <w:sz w:val="32"/>
        </w:rPr>
        <w:t>（二）观察期安排、升档触发条件与实施路径</w:t>
      </w:r>
    </w:p>
    <w:p w14:paraId="1707DE48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color w:val="000000"/>
          <w:sz w:val="32"/>
        </w:rPr>
        <w:t>按"动态观察→升档评估→POC验证→有限试点"四个阶段推进，前两个阶段在观察层内完成，后两个阶段在升档后执行；每个阶段设置可考核里程碑，任一阶段未达标准即触发调整或止损（阈值全行内统一）：</w:t>
      </w:r>
    </w:p>
    <w:p w14:paraId="3794D244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表24 分阶段实施路径与里程碑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1720"/>
        <w:gridCol w:w="1554"/>
        <w:gridCol w:w="3444"/>
        <w:gridCol w:w="1948"/>
      </w:tblGrid>
      <w:tr w14:paraId="31984A1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09785B88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阶段</w:t>
            </w:r>
          </w:p>
        </w:tc>
        <w:tc>
          <w:tcPr>
            <w:tcW w:w="15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2CF9EBCF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时间窗口</w:t>
            </w:r>
          </w:p>
        </w:tc>
        <w:tc>
          <w:tcPr>
            <w:tcW w:w="3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3FDCAC48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核心任务</w:t>
            </w:r>
          </w:p>
        </w:tc>
        <w:tc>
          <w:tcPr>
            <w:tcW w:w="19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3B7C5D62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可考核里程碑</w:t>
            </w:r>
          </w:p>
        </w:tc>
      </w:tr>
      <w:tr w14:paraId="3CD2801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16BFC37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  <w:t>第一阶段：动态观察（观察层内）</w:t>
            </w:r>
          </w:p>
        </w:tc>
        <w:tc>
          <w:tcPr>
            <w:tcW w:w="15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4DCA78C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即日起—触发条件满足前</w:t>
            </w:r>
          </w:p>
        </w:tc>
        <w:tc>
          <w:tcPr>
            <w:tcW w:w="3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8430A22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1. 建立季度信息跟踪与半年一次复评机制，跟踪Gartner技术定位、同业生产案例、监管细则落地口径；2. 按数据就绪度清单（本章第（三）节）自评行内现状、识别短板；3. 推进干预事件数据采集等客户数据底座基础工作（其价值不依赖DToC是否成立）；4. 不启动平台建设与专项POC</w:t>
            </w:r>
          </w:p>
        </w:tc>
        <w:tc>
          <w:tcPr>
            <w:tcW w:w="19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A284939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每半年输出一期《DToC观察跟踪简报》；数据就绪度自评完成一轮；升档触发条件清单动态维护</w:t>
            </w:r>
          </w:p>
        </w:tc>
      </w:tr>
      <w:tr w14:paraId="6F0CEA0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82CB613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  <w:t>第二阶段：可行性研究与数据就绪评估（升档后）</w:t>
            </w:r>
          </w:p>
        </w:tc>
        <w:tc>
          <w:tcPr>
            <w:tcW w:w="15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FBB21FB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升档后0—3个月</w:t>
            </w:r>
          </w:p>
        </w:tc>
        <w:tc>
          <w:tcPr>
            <w:tcW w:w="3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CC9109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1. 完成技术可行性与合规路径研究；2. 按数据就绪度清单（本章第（三）节）评估行内现状，前1—2个月先行摸底行内基线数据（近2年理财到期客户自然续投率、营销活动干预增量、标签使用率、干预事件数据覆盖率），重点评估干预事件数据可用性；3. 选定POC场景（建议理财到期客户续投干预推演）；4. 组建POC核心团队（科技与零售业务部联合）</w:t>
            </w:r>
          </w:p>
        </w:tc>
        <w:tc>
          <w:tcPr>
            <w:tcW w:w="19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F81BFC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产出《DToC可行性研究报告》《合规路径白皮书》《数据就绪度评估报告》；行内基线数据摸底完成；场景与团队确定；通过行AI治理委员会审议立项</w:t>
            </w:r>
          </w:p>
        </w:tc>
      </w:tr>
      <w:tr w14:paraId="20C6D33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6D37A14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  <w:t>第三阶段：POC概念验证</w:t>
            </w:r>
          </w:p>
        </w:tc>
        <w:tc>
          <w:tcPr>
            <w:tcW w:w="15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ACA3F3A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升档后3—9个月</w:t>
            </w:r>
          </w:p>
        </w:tc>
        <w:tc>
          <w:tcPr>
            <w:tcW w:w="3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201CC7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1. 补干预事件数据采集与历史数据整理（核心必要）；2. 标签治理（精简出POC所需高频标签）；3. 基于现有CDP和数据平台搭建Uplift增量预测模型与基础推演引擎；4. 历史数据回溯验证；5. 建立模型评估、公平性检测与合规审查机制；6. 完成POC效果评估</w:t>
            </w:r>
          </w:p>
        </w:tc>
        <w:tc>
          <w:tcPr>
            <w:tcW w:w="19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148CFB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Uplift模型回溯验证吻合度≥70%；推演引擎模拟与实际偏差≤25%；A/B测试增量续投金额较传统投放提升≥20%（10%—20%为调整复验区，&lt;10%触发止损）；至少1个场景验证业务价值；合规审查无红线问题</w:t>
            </w:r>
          </w:p>
        </w:tc>
      </w:tr>
      <w:tr w14:paraId="22361A1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1720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ED53D10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/>
                <w:color w:val="000000"/>
                <w:sz w:val="28"/>
              </w:rPr>
              <w:t>第四阶段：试点部署（视POC结果决定）</w:t>
            </w:r>
          </w:p>
        </w:tc>
        <w:tc>
          <w:tcPr>
            <w:tcW w:w="155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2A7FB99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color w:val="000000"/>
                <w:sz w:val="28"/>
              </w:rPr>
              <w:t>升档后9—24个月</w:t>
            </w:r>
          </w:p>
        </w:tc>
        <w:tc>
          <w:tcPr>
            <w:tcW w:w="3444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3DF88E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1. 按五路能力框架扩展：完善数据底座（特征仓库、OneID）、行为建模（反事实评估）、场景推演（多策略对比）、决策集成（统一服务层、闭环反馈）、合规能力（合成数据、自动脱敏）；2. 选1—2个业务条线有限规模试点；3. 建立运营体系与SOP；4. 持续评估ROI与合规风险</w:t>
            </w:r>
          </w:p>
        </w:tc>
        <w:tc>
          <w:tcPr>
            <w:tcW w:w="194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BD7C19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五路能力轻量版全部上线；至少2个业务场景规模化应用；年业务收益可量化且达预期；年度合规审计通过；客户投诉率无显著上升</w:t>
            </w:r>
          </w:p>
        </w:tc>
      </w:tr>
    </w:tbl>
    <w:p w14:paraId="161CC6D3">
      <w:pPr>
        <w:spacing w:before="0" w:after="40"/>
      </w:pPr>
    </w:p>
    <w:p w14:paraId="3EC39FC4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（三）前提条件</w:t>
      </w:r>
    </w:p>
    <w:p w14:paraId="038819DD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color w:val="000000"/>
          <w:sz w:val="32"/>
        </w:rPr>
        <w:t>升档并启动POC前，组织、数据、合规三方面的就绪情况都要评估一遍，建议把评估结果作为立项审议的必备材料逐项确认；其中数据就绪度清单也可在观察期内先行自评，作为判断是否升档的输入。</w:t>
      </w:r>
    </w:p>
    <w:p w14:paraId="24131478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b/>
          <w:color w:val="000000"/>
          <w:sz w:val="32"/>
        </w:rPr>
        <w:t>数据就绪度评估清单。</w:t>
      </w:r>
      <w:r>
        <w:rPr>
          <w:rFonts w:ascii="仿宋" w:hAnsi="仿宋" w:eastAsia="仿宋"/>
          <w:color w:val="000000"/>
          <w:sz w:val="32"/>
        </w:rPr>
        <w:t>数据就绪是最靠前的硬条件，建议在观察期内就用下面的清单逐项自评行内现状，每项标注"已具备/部分具备/不具备"，作为升档判断的输入之一。其中干预事件数据是必需项，要重点评估；实时流处理能力属于加分项。还有一项硬条件容易被忽略，就是历史干预分配是否随机：如果长期靠人工经验挑选投放客户，历史数据里就没有可比的对照组，因果模型无法训练，这种情况下要在POC首月安排一次小规模随机对照（holdout）实验。</w:t>
      </w:r>
    </w:p>
    <w:p w14:paraId="072C81C2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表27 数据就绪度评估清单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2166"/>
        <w:gridCol w:w="2166"/>
        <w:gridCol w:w="2166"/>
      </w:tblGrid>
      <w:tr w14:paraId="4883CD0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5ECB9C3B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检查项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0A1B6E60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优先级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10F34B2B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评估标准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5CBAA9F3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不具备时的影响</w:t>
            </w:r>
          </w:p>
        </w:tc>
      </w:tr>
      <w:tr w14:paraId="3A773DB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36CEB3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干预事件数据采集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6FB895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核心必要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D6752B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具备系统化干预事件记录能力，覆盖推送/外呼/优惠/利率调整等；记录时间、渠道、内容、客户反应；历史至少2年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59C684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无干预事件数据则因果推断模型无法训练，POC无法启动（最核心必要条件）</w:t>
            </w:r>
          </w:p>
        </w:tc>
      </w:tr>
      <w:tr w14:paraId="5F75D04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C94CFF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客户特征数据（标签）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CA3C42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核心必要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8929E4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标签覆盖人口属性、交易行为、产品持有、渠道偏好、风险等级；更新≤T+1；有明确业务定义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51F055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标签不足则细分粒度不够；未治理则业务用不起来，可POC中同步治理</w:t>
            </w:r>
          </w:p>
        </w:tc>
      </w:tr>
      <w:tr w14:paraId="022A429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7A3B5A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身份解析覆盖率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4D91B9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核心必要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14B1A4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跨渠道（APP/网银/柜台/客服）身份匹配率≥90%；支持OneID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FFE6AA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行为数据碎片化，无法构建完整镜像</w:t>
            </w:r>
          </w:p>
        </w:tc>
      </w:tr>
      <w:tr w14:paraId="3DC94A5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6FEA1A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数据分类分级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53F059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核心必要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636CA9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已完成个人信息分类分级（一般/敏感/核心），资产目录覆盖率≥80%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08EDF2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无法确定哪些数据可用、哪些需脱敏，合规风险高</w:t>
            </w:r>
          </w:p>
        </w:tc>
      </w:tr>
      <w:tr w14:paraId="23CE2D9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ACA64C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数据脱敏机制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A6514F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核心必要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CAA9B4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支持动态脱敏（查询时）与静态脱敏（训练数据）；敏感数据默认脱敏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58BE2B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直接使用原始个人信息训练模型，违反金发〔2026〕8号文</w:t>
            </w:r>
          </w:p>
        </w:tc>
      </w:tr>
      <w:tr w14:paraId="2C30E446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717C25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客户同意管理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297088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核心必要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953700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具备授权管理系统，可追溯授权范围、时间、撤回状态；支持按用途分类授权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903F50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超出授权范围使用数据，违反个保法</w:t>
            </w:r>
          </w:p>
        </w:tc>
      </w:tr>
      <w:tr w14:paraId="007D5B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0C6F23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数据质量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CAEC8D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重要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1454C4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完整性≥95%（关键字段非空率）；准确性≥90%；及时性满足T+1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B74979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垃圾进垃圾出，模型效果差</w:t>
            </w:r>
          </w:p>
        </w:tc>
      </w:tr>
      <w:tr w14:paraId="1380BBA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59F853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特征仓库（Feature Store）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EEB963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增强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3C78BA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具备集中式特征管理，支持复用与在线/离线一致性；已有特征≥200个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B7E91C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特征重复开发，POC周期延长；可轻量建设</w:t>
            </w:r>
          </w:p>
        </w:tc>
      </w:tr>
      <w:tr w14:paraId="5A73DB72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BE1866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实时流处理能力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7D388F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增强（非POC必要）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A8D3B4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具备Kafka/Flink等实时流引擎，支持秒级接入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B33751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POC用T+1即可，仅扩展实时触发场景时需要</w:t>
            </w:r>
          </w:p>
        </w:tc>
      </w:tr>
      <w:tr w14:paraId="64CC854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D28105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数据安全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A04F05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重要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880E36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传输与存储加密、访问控制（RBAC＋ABAC）、审计日志保留≥6个月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9505D3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数据泄露风险，违反数据安全法</w:t>
            </w:r>
          </w:p>
        </w:tc>
      </w:tr>
      <w:tr w14:paraId="2B70911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9006C8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合成数据能力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B93E9A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增强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02F554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具备生成合成客户数据的能力（GAN/扩散模型）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4314CF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无法用合成数据规避个保法限制；POC可用脱敏数据替代</w:t>
            </w:r>
          </w:p>
        </w:tc>
      </w:tr>
    </w:tbl>
    <w:p w14:paraId="6F848A6C">
      <w:pPr>
        <w:spacing w:before="0" w:after="40"/>
      </w:pPr>
    </w:p>
    <w:p w14:paraId="0E7D060B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b/>
          <w:color w:val="000000"/>
          <w:sz w:val="32"/>
        </w:rPr>
        <w:t>清单怎么用：</w:t>
      </w:r>
      <w:r>
        <w:rPr>
          <w:rFonts w:ascii="仿宋" w:hAnsi="仿宋" w:eastAsia="仿宋"/>
          <w:color w:val="000000"/>
          <w:sz w:val="32"/>
        </w:rPr>
        <w:t>上述6项必需项（干预事件数据、客户特征数据、身份解析、数据分类分级、数据脱敏、客户同意管理）中，若有2项以上不具备，建议维持观察、先补数据基础，不宜升档；若必需项基本具备而加分项不具备，可以在升档后的POC中同步建设，或者先放一放。</w:t>
      </w:r>
    </w:p>
    <w:p w14:paraId="192BF3BB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（四）自建还是外购</w:t>
      </w:r>
    </w:p>
    <w:p w14:paraId="3965A7A1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color w:val="000000"/>
          <w:sz w:val="32"/>
        </w:rPr>
        <w:t>升档后的DToC建设既不宜全部自研，也不宜整套买厂商，应按组件的战略价值和行内已有能力分层决定：涉及核心竞争力的组件必须自研，通用基础设施优先复用或采用开源方案，隐私计算这类门槛较高的技术可以采购成熟产品以控制风险。所有外采组件都要在合同中要求开放API和数据导出能力，避免被厂商锁定。</w:t>
      </w:r>
    </w:p>
    <w:p w14:paraId="0CC49C34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表29 自建还是外购分层决策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8"/>
        <w:gridCol w:w="2166"/>
        <w:gridCol w:w="2166"/>
        <w:gridCol w:w="2166"/>
      </w:tblGrid>
      <w:tr w14:paraId="792BA84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23E3BB78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组件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7C8F9806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决策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0B4F515B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具体方案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0C8F5415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决策理由</w:t>
            </w:r>
          </w:p>
        </w:tc>
      </w:tr>
      <w:tr w14:paraId="03780E0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A798E7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数据底座（CDP、数据仓库、ETL）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CE3DC1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复用行内已有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0715CE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不新建，基于行内现有CDP和大数据平台扩展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E55479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行内已有成熟数据平台，新建属重复投资；DToC是数据应用层</w:t>
            </w:r>
          </w:p>
        </w:tc>
      </w:tr>
      <w:tr w14:paraId="438BBF8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1D23DA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干预事件数据采集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6953C0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自研＋行内系统改造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85BE87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基于营销、客服、APP推送系统日志统一采集整理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28738B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数据分散在行内各系统，需统一采集规范，自研改造最可控</w:t>
            </w:r>
          </w:p>
        </w:tc>
      </w:tr>
      <w:tr w14:paraId="3D0B1C3B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AC3422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特征仓库（Feature Store）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535B68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开源＋自研封装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E6AA9A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基于Feast开源组件，行内封装适配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8306C1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核心基础设施，开源方案成熟，避免厂商锁定</w:t>
            </w:r>
          </w:p>
        </w:tc>
      </w:tr>
      <w:tr w14:paraId="54FD45B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68A365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AI网关/推理服务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7222B9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开源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B9BED4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基于LiteLLM、vLLM等开源框架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2C1317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通用基础设施，开源方案成熟</w:t>
            </w:r>
          </w:p>
        </w:tc>
      </w:tr>
      <w:tr w14:paraId="3622CF0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188ADB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Uplift/因果推断引擎（核心）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FC0D54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自研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75E6C0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基于EconML、DoWhy、CausalML等开源库封装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5B4E3C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DToC核心竞争力，涉及行内客户数据和业务逻辑，必须自主可控</w:t>
            </w:r>
          </w:p>
        </w:tc>
      </w:tr>
      <w:tr w14:paraId="6AB393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4BC3D9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场景推演引擎（核心）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D6055E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自研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FC80FF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行内自主开发，不依赖厂商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EB2D2C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DToC区别于通用CDP/AI平台的关键，必须自研</w:t>
            </w:r>
          </w:p>
        </w:tc>
      </w:tr>
      <w:tr w14:paraId="58CB2B1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030BEE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数据脱敏/隐私计算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B6C3C3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买厂商＋开源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2BECD2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联邦学习平台采购成熟厂商产品；差分隐私、动态脱敏用开源组件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712CFE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技术门槛高，成熟厂商产品经过验证，自研周期长风险大</w:t>
            </w:r>
          </w:p>
        </w:tc>
      </w:tr>
      <w:tr w14:paraId="3D4762C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7ACAD8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模型监控/可解释性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38CC78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开源＋自研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5D0CFF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基于Evidently、MLflow、SHAP等开源工具封装监控面板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263964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合规要求，开源工具成熟</w:t>
            </w:r>
          </w:p>
        </w:tc>
      </w:tr>
      <w:tr w14:paraId="55188DE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470DAC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前端展示/报表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2649AB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低代码或买厂商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BBA895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用行内已有BI工具或低代码平台搭建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EF1A34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非核心竞争力，用现有工具快速搭建</w:t>
            </w:r>
          </w:p>
        </w:tc>
      </w:tr>
      <w:tr w14:paraId="3C298D0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26B4142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客户同意管理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1B9CC2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复用行内已有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0E79DD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基于行内现有客户授权管理系统扩展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976AE4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合规基础设施，行内已有系统</w:t>
            </w:r>
          </w:p>
        </w:tc>
      </w:tr>
    </w:tbl>
    <w:p w14:paraId="4D78B3E3">
      <w:pPr>
        <w:spacing w:before="0" w:after="40"/>
      </w:pPr>
    </w:p>
    <w:p w14:paraId="452CB428">
      <w:pPr>
        <w:pStyle w:val="3"/>
        <w:spacing w:before="240" w:after="120" w:line="360" w:lineRule="auto"/>
        <w:ind w:left="0" w:firstLine="0"/>
        <w:jc w:val="left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附录一 研究方法与数据来源</w:t>
      </w:r>
    </w:p>
    <w:p w14:paraId="5680A1DF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A.1 研究方法</w:t>
      </w:r>
    </w:p>
    <w:p w14:paraId="16AFA2D3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文献研究：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系统检索Gartner、IDC等第三方研究机构关于数字孪生和客户数字孪生的研究报告，以及学术数据库中客户行为建模、因果推断、Uplift Modeling、数字孪生金融应用相关论文。</w:t>
      </w:r>
    </w:p>
    <w:p w14:paraId="58C119E7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案例调研：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收集国内外DToC厂商产品信息、银行业数字孪生相关项目案例，进行实名化整理与分析。</w:t>
      </w:r>
    </w:p>
    <w:p w14:paraId="6DBBC97B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联网核实：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通过公开渠道核实监管文件原文、厂商产品发布信息、行业数据、银行公开披露的技术项目与本行（浦发银行）定期报告披露的战略与经营信息等关键事实。</w:t>
      </w:r>
    </w:p>
    <w:p w14:paraId="13C7825F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专家研判：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基于银行业科技、数据和客户管理实践经验，对技术成熟度、引入可行度、价值贡献度等维度进行综合研判。</w:t>
      </w:r>
    </w:p>
    <w:p w14:paraId="3C3E041E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A.2 数据来源</w:t>
      </w:r>
    </w:p>
    <w:p w14:paraId="2CEBA0AF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主要数据来源渠道（除注明者外均为公开可查证信源）：Gartner研究报告（Hype Cycle、Top Strategic Technology Trends）、国家金融监督管理总局等监管机构官方文件、厂商官方网站与产品文档、行业分析报告（CleverX、McKinsey等）、银行公开披露的技术项目信息、浦发银行2025年年度报告及2026年半年度报告等定期报告、公开新闻报道。</w:t>
      </w:r>
    </w:p>
    <w:p w14:paraId="71218266">
      <w:pPr>
        <w:pStyle w:val="4"/>
        <w:spacing w:before="120" w:after="60" w:line="360" w:lineRule="auto"/>
        <w:ind w:left="0" w:firstLine="0"/>
        <w:jc w:val="left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A.3 数据核实与局限性</w:t>
      </w:r>
    </w:p>
    <w:p w14:paraId="2637CBFB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核心事实和关键数据（Gartner技术定位、监管文件条款、本行定期报告披露的战略与经营数据、厂商官方产品信息）均经公开来源核实。需说明以下局限：</w:t>
      </w:r>
    </w:p>
    <w:p w14:paraId="358327E0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部分厂商产品声明（Etiya DToC获奖、LatentView DToC方案等）属单一厂商来源，未经第三方独立验证。</w:t>
      </w:r>
    </w:p>
    <w:p w14:paraId="1DB7C891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本报告同业案例仅保留银行官方披露、权威财经媒体和可核实的公开信息。</w:t>
      </w:r>
    </w:p>
    <w:p w14:paraId="6D1EE544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图3、图6基于行内研究整理，仅供内部参考，不作为对外引用的独立证据。</w:t>
      </w:r>
    </w:p>
    <w:p w14:paraId="6E0EB650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color w:val="000000"/>
          <w:sz w:val="32"/>
        </w:rPr>
        <w:t>价值贡献度评4分，依据规范"两个以上维度（效率、风控、体验、新业务）价值明确、可初步量化"档：效率维度有行业公开案例的量化口径，体验、风控维度有机制论证与示意测算支撑；效益区间的绝对值仍属示意测算、未经实测校准，引用时应视为量级参考而非承诺。特此披露。</w:t>
      </w:r>
    </w:p>
    <w:p w14:paraId="75927624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/>
          <w:i w:val="0"/>
          <w:color w:val="000000"/>
          <w:sz w:val="32"/>
        </w:rPr>
        <w:t>其他局限：</w:t>
      </w:r>
      <w:r>
        <w:rPr>
          <w:rFonts w:hint="eastAsia" w:ascii="仿宋" w:hAnsi="仿宋" w:eastAsia="仿宋"/>
          <w:b w:val="0"/>
          <w:i w:val="0"/>
          <w:color w:val="000000"/>
          <w:sz w:val="32"/>
        </w:rPr>
        <w:t>部分效益数据为同类平台经验估算，非本行实测，须经POC验证；五路能力框架为本报告分析性框架，非行业标准；Gartner付费报告原图未取得，相关分析基于公开摘要；DToC合规路径仍在探索中，本报告合规建议基于现有法规解读，不构成法律意见。</w:t>
      </w:r>
    </w:p>
    <w:p w14:paraId="3221EF1E">
      <w:pPr>
        <w:spacing w:before="90" w:after="90" w:line="360" w:lineRule="auto"/>
        <w:ind w:left="0" w:firstLine="480"/>
        <w:jc w:val="both"/>
      </w:pPr>
      <w:r>
        <w:rPr>
          <w:rFonts w:ascii="仿宋" w:hAnsi="仿宋" w:eastAsia="仿宋"/>
          <w:b/>
          <w:color w:val="000000"/>
          <w:sz w:val="32"/>
        </w:rPr>
        <w:t>技术成熟度评分口径：</w:t>
      </w:r>
      <w:r>
        <w:rPr>
          <w:rFonts w:ascii="仿宋" w:hAnsi="仿宋" w:eastAsia="仿宋"/>
          <w:color w:val="000000"/>
          <w:sz w:val="32"/>
        </w:rPr>
        <w:t>Gartner创新触发期（五阶段最早档，对应规范1分档"创新萌芽期"）与TRL 3—4级、个别实验性验证（对应2分档）两个信号不一致；本报告取2分的三点理由（TRL已达3—4、已有可核实个别验证、创新触发期不否定组件就绪度）；若严格就低评1分，亦不改变第八章观察层结论（观察层判据之一即"技术成熟度不高于2分"，评1分同样满足，结论更为确定）。</w:t>
      </w:r>
    </w:p>
    <w:p w14:paraId="1ABDC668">
      <w:pPr>
        <w:pStyle w:val="3"/>
        <w:spacing w:before="240" w:after="120" w:line="360" w:lineRule="auto"/>
        <w:ind w:left="0" w:firstLine="0"/>
        <w:jc w:val="left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附录二 名词解释</w:t>
      </w:r>
    </w:p>
    <w:p w14:paraId="77D57152">
      <w:pPr>
        <w:spacing w:before="60" w:after="60" w:line="360" w:lineRule="auto"/>
        <w:ind w:left="0" w:firstLine="0"/>
        <w:jc w:val="center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表30 名词解释术语表</w:t>
      </w:r>
    </w:p>
    <w:tbl>
      <w:tblPr>
        <w:tblStyle w:val="33"/>
        <w:tblW w:w="8666" w:type="dxa"/>
        <w:jc w:val="center"/>
        <w:tblBorders>
          <w:top w:val="single" w:color="auto" w:sz="4" w:space="0"/>
          <w:left w:val="single" w:color="auto" w:sz="4" w:space="0"/>
          <w:bottom w:val="single" w:color="auto" w:sz="4" w:space="0"/>
          <w:right w:val="single" w:color="auto" w:sz="4" w:space="0"/>
          <w:insideH w:val="single" w:color="auto" w:sz="4" w:space="0"/>
          <w:insideV w:val="single" w:color="auto" w:sz="4" w:space="0"/>
        </w:tblBorders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5"/>
        <w:gridCol w:w="2161"/>
        <w:gridCol w:w="2176"/>
        <w:gridCol w:w="2164"/>
      </w:tblGrid>
      <w:tr w14:paraId="57B3DDF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12217704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术语/缩写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69A9C2DC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中文全称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1C640E76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英文全称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E8E8E8"/>
            <w:vAlign w:val="center"/>
          </w:tcPr>
          <w:p w14:paraId="7C5C5678">
            <w:pPr>
              <w:spacing w:after="40" w:line="360" w:lineRule="auto"/>
              <w:jc w:val="center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简明释义</w:t>
            </w:r>
          </w:p>
        </w:tc>
      </w:tr>
      <w:tr w14:paraId="2F4A1F9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97A2C74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z w:val="28"/>
              </w:rPr>
              <w:t>DToC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4E7FF2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客户数字孪生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2E997CE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Digital Twin of Customer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9DBACB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为客户创建动态虚拟镜像，支持行为模拟、因果推演和场景预测的技术体系；核心是因果推演而非实时更新</w:t>
            </w:r>
          </w:p>
        </w:tc>
      </w:tr>
      <w:tr w14:paraId="70275670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F49D110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z w:val="28"/>
              </w:rPr>
              <w:t>CDP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797F41C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客户数据平台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9CF0C6E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Customer Data Platform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01F1F5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统一采集、清洗、整合和管理客户数据的平台，为DToC提供数据底座</w:t>
            </w:r>
          </w:p>
        </w:tc>
      </w:tr>
      <w:tr w14:paraId="16BA0C45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B339AC6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z w:val="28"/>
              </w:rPr>
              <w:t>Uplift Modeling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54FC57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增量提升建模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6E54DE1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Uplift Modeling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3C622F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识别"因干预才转化"人群的因果推断方法，用于优化营销资源分配；DToC推演能力的入门技术</w:t>
            </w:r>
          </w:p>
        </w:tc>
      </w:tr>
      <w:tr w14:paraId="3E61C7B9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1CADDC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因果推断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A18286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因果推断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F5945B7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Causal Inference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035538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研究变量间因果关系的统计方法，区别于相关性分析；含Causal Forest、DML、X-Learner等</w:t>
            </w:r>
          </w:p>
        </w:tc>
      </w:tr>
      <w:tr w14:paraId="5868BD53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D8D2F2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反事实推理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51D267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反事实推理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A142DD4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Counterfactual Reasoning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4C7314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模拟"若采取不同行动结果会怎样"的推理方法，属推演能力进阶技术</w:t>
            </w:r>
          </w:p>
        </w:tc>
      </w:tr>
      <w:tr w14:paraId="08A3C41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84C31F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反事实评估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7024D5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反事实评估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7AE2D8B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Counterfactual Evaluation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8F7BB3B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推断"同一对象若未接受干预会怎样"，据此评价干预真实效果</w:t>
            </w:r>
          </w:p>
        </w:tc>
      </w:tr>
      <w:tr w14:paraId="739A1A71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459D69F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干预事件数据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984FF4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干预事件数据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67C6522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Intervention Event Data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281775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银行对客户做了什么干预、时间、渠道、内容及客户反应的数据；因果推断的核心训练数据</w:t>
            </w:r>
          </w:p>
        </w:tc>
      </w:tr>
      <w:tr w14:paraId="0D91675C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E7C4391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选择偏差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22E970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选择偏差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A6D2C88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Selection Bias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AA3CEA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干预组与对照组在干预前即存在系统性差异，导致直接比较会误估干预效果</w:t>
            </w:r>
          </w:p>
        </w:tc>
      </w:tr>
      <w:tr w14:paraId="0F49642E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0F6449B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z w:val="28"/>
              </w:rPr>
              <w:t>PSM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57262B7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倾向得分匹配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0CB90A0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Propensity Score Matching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461F9CF4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匹配倾向得分相近的干预组与对照组样本以构造可比对照、估计干预效果</w:t>
            </w:r>
          </w:p>
        </w:tc>
      </w:tr>
      <w:tr w14:paraId="2F87B0BD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2A509CB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合成数据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426B3D5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合成数据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27BF793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Synthetic Data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83CD15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与真实数据统计分布一致但不含真实个人信息的数据，可用于训练以规避个保法限制</w:t>
            </w:r>
          </w:p>
        </w:tc>
      </w:tr>
      <w:tr w14:paraId="23093464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BC5E77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联邦学习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3D3C5E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联邦学习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A275A98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Federated Learning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6911D5A9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不共享原始数据前提下多方协作训练模型的分布式机器学习方法</w:t>
            </w:r>
          </w:p>
        </w:tc>
      </w:tr>
      <w:tr w14:paraId="3EB4D967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1D13B8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差分隐私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B24915E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差分隐私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D1DC366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Differential Privacy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2B0DA33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通过添加噪声确保单个个体信息无法被推断的隐私保护技术</w:t>
            </w:r>
          </w:p>
        </w:tc>
      </w:tr>
      <w:tr w14:paraId="4A4C618F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5FDA506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/>
                <w:i w:val="0"/>
                <w:color w:val="000000"/>
                <w:sz w:val="28"/>
              </w:rPr>
              <w:t>DTO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FB95D1D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组织数字孪生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74BAFFD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Digital Twin of an Organization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1EE8F48A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以组织/系统为对象的数字孪生，与DToC分属不同技术路线</w:t>
            </w:r>
          </w:p>
        </w:tc>
      </w:tr>
      <w:tr w14:paraId="2AA766CA">
        <w:tblPrEx>
          <w:tblBorders>
            <w:top w:val="single" w:color="auto" w:sz="4" w:space="0"/>
            <w:left w:val="single" w:color="auto" w:sz="4" w:space="0"/>
            <w:bottom w:val="single" w:color="auto" w:sz="4" w:space="0"/>
            <w:right w:val="single" w:color="auto" w:sz="4" w:space="0"/>
            <w:insideH w:val="single" w:color="auto" w:sz="4" w:space="0"/>
            <w:insideV w:val="single" w:color="auto" w:sz="4" w:space="0"/>
          </w:tblBorders>
          <w:tblCellMar>
            <w:top w:w="0" w:type="dxa"/>
            <w:left w:w="108" w:type="dxa"/>
            <w:bottom w:w="0" w:type="dxa"/>
            <w:right w:w="108" w:type="dxa"/>
          </w:tblCellMar>
        </w:tblPrEx>
        <w:trPr>
          <w:jc w:val="center"/>
        </w:trPr>
        <w:tc>
          <w:tcPr>
            <w:tcW w:w="2168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0C601CA6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/>
                <w:i w:val="0"/>
                <w:color w:val="000000"/>
                <w:sz w:val="28"/>
              </w:rPr>
              <w:t>处置档位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5E8694C0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处置档位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37E0E2C0">
            <w:pPr>
              <w:spacing w:after="40" w:line="360" w:lineRule="auto"/>
              <w:jc w:val="left"/>
            </w:pPr>
            <w:r>
              <w:rPr>
                <w:rFonts w:ascii="仿宋" w:hAnsi="仿宋" w:eastAsia="仿宋"/>
                <w:b w:val="0"/>
                <w:i w:val="0"/>
                <w:color w:val="000000"/>
                <w:sz w:val="28"/>
              </w:rPr>
              <w:t>Disposition Tier</w:t>
            </w:r>
          </w:p>
        </w:tc>
        <w:tc>
          <w:tcPr>
            <w:tcW w:w="2166" w:type="dxa"/>
            <w:tcBorders>
              <w:top w:val="single" w:color="808080" w:sz="4" w:space="0"/>
              <w:left w:val="single" w:color="808080" w:sz="4" w:space="0"/>
              <w:bottom w:val="single" w:color="808080" w:sz="4" w:space="0"/>
              <w:right w:val="single" w:color="808080" w:sz="4" w:space="0"/>
            </w:tcBorders>
            <w:shd w:val="clear" w:color="auto" w:fill="FFFFFF"/>
            <w:vAlign w:val="center"/>
          </w:tcPr>
          <w:p w14:paraId="74FB8FF8">
            <w:pPr>
              <w:spacing w:after="40" w:line="360" w:lineRule="auto"/>
              <w:jc w:val="left"/>
            </w:pPr>
            <w:r>
              <w:rPr>
                <w:rFonts w:hint="eastAsia" w:ascii="仿宋" w:hAnsi="仿宋" w:eastAsia="仿宋"/>
                <w:b w:val="0"/>
                <w:i w:val="0"/>
                <w:color w:val="000000"/>
                <w:sz w:val="28"/>
              </w:rPr>
              <w:t>前沿技术储备库四层处置结论：提前布局/系统论证/深入研究/动态观察</w:t>
            </w:r>
          </w:p>
        </w:tc>
      </w:tr>
    </w:tbl>
    <w:p w14:paraId="2D1D76C5">
      <w:pPr>
        <w:spacing w:before="0" w:after="40"/>
      </w:pPr>
    </w:p>
    <w:p w14:paraId="2A00C313">
      <w:pPr>
        <w:pStyle w:val="3"/>
        <w:spacing w:before="240" w:after="120" w:line="360" w:lineRule="auto"/>
        <w:ind w:left="0" w:firstLine="0"/>
        <w:jc w:val="left"/>
      </w:pPr>
      <w:r>
        <w:rPr>
          <w:rFonts w:hint="eastAsia" w:ascii="黑体" w:hAnsi="黑体" w:eastAsia="黑体"/>
          <w:b/>
          <w:i w:val="0"/>
          <w:color w:val="000000"/>
          <w:sz w:val="32"/>
        </w:rPr>
        <w:t>附录三 参考文献</w:t>
      </w:r>
    </w:p>
    <w:p w14:paraId="49CE61C3">
      <w:pPr>
        <w:spacing w:before="90" w:after="90" w:line="360" w:lineRule="auto"/>
        <w:ind w:left="0" w:firstLine="480"/>
        <w:jc w:val="both"/>
      </w:pPr>
      <w:r>
        <w:rPr>
          <w:rFonts w:hint="eastAsia" w:ascii="仿宋" w:hAnsi="仿宋" w:eastAsia="仿宋"/>
          <w:b w:val="0"/>
          <w:i w:val="0"/>
          <w:color w:val="000000"/>
          <w:sz w:val="32"/>
        </w:rPr>
        <w:t>以下信源按正文首次引用顺序编号，并标注来源类型与核实状态。除注明者外均为公开可查证信源。</w:t>
      </w:r>
    </w:p>
    <w:p w14:paraId="2DD2B81F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[1] Gartner. Gartner Hype Cycle Reveals How AI and Digital Advancements Are Primed to Aid Sales Transformations. 2025-10-30.（公开可查证）https://www.gartner.com/en/newsroom/press-releases/2025-10-30-gartner-hype-cycle-reveals-how-ai-and-digital-advancements-are-primed-to-aid-sales-transformations</w:t>
      </w:r>
    </w:p>
    <w:p w14:paraId="0C0D1CF2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[2] Uber Engineering. Reinforcement Learning for Modeling Marketplace Balance（司机收入+0.52%、乘客取消率-2.2%）. 2025-07-02.（公开可查证，关键数据已对照原文核实）https://www.uber.com/us/en/blog/reinforcement-learning-for-modeling-marketplace-balance/</w:t>
      </w:r>
    </w:p>
    <w:p w14:paraId="5C1961F9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[3] Gomez-Uribe C A, Hunt N. The Netflix Recommender System: Algorithms, Business Value, and Innovation. ACM TMIS, 2015, 6(4).（公开可查证；推荐系统贡献约80%观看时长）https://dl.acm.org/doi/10.1145/2843948</w:t>
      </w:r>
    </w:p>
    <w:p w14:paraId="04B4A8A6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[4] 董彦燊（哈啰出行）. 因果推断在哈啰出行的实践探索（Tree-based Uplift模型用于酒店营销补贴）. 2022.（公开可查证；公开材料未披露具体效率提升百分比）（企业技术团队公开分享，非正式披露材料；公开材料未披露具体效率提升百分比）https://zhuanlan.zhihu.com/p/473864327</w:t>
      </w:r>
    </w:p>
    <w:p w14:paraId="730FB893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[5] Davenport T H. Competing on Analytics. Harvard Business Review, 2006-01.（公开可查证；Capital One为test-and-learn实验文化代表案例）https://hbr.org/2006/01/competing-on-analytics</w:t>
      </w:r>
    </w:p>
    <w:p w14:paraId="2A8AA6FD">
      <w:pPr>
        <w:spacing w:before="0" w:after="0" w:line="360" w:lineRule="auto"/>
        <w:ind w:left="280" w:hanging="280"/>
        <w:jc w:val="left"/>
      </w:pPr>
      <w:r>
        <w:rPr>
          <w:rFonts w:ascii="仿宋" w:hAnsi="仿宋" w:eastAsia="仿宋"/>
          <w:b w:val="0"/>
          <w:i w:val="0"/>
          <w:color w:val="000000"/>
          <w:sz w:val="28"/>
        </w:rPr>
        <w:t>[6] 全国人大常委会. 中华人民共和国个人信息保护法. 2021-08-20通过，2021-11-01施行.（公开可查证）https://www.cac.gov.cn/2021-08/20/c_1631050028355286.htm</w:t>
      </w:r>
    </w:p>
    <w:p w14:paraId="45AFB3CE">
      <w:pPr>
        <w:spacing w:before="0" w:after="0" w:line="360" w:lineRule="auto"/>
        <w:ind w:left="280" w:hanging="280"/>
        <w:jc w:val="left"/>
      </w:pPr>
      <w:r>
        <w:rPr>
          <w:rFonts w:ascii="仿宋" w:hAnsi="仿宋" w:eastAsia="仿宋"/>
          <w:b w:val="0"/>
          <w:i w:val="0"/>
          <w:color w:val="000000"/>
          <w:sz w:val="28"/>
        </w:rPr>
        <w:t>[7] 全国人大常委会. 中华人民共和国数据安全法. 2021-06-10通过，2021-09-01施行.（公开可查证）https://www.cac.gov.cn/2021-06/11/c_1624994566919140.htm</w:t>
      </w:r>
    </w:p>
    <w:p w14:paraId="2B07FF28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[8] 国家互联网信息办公室等四部门. 互联网信息服务算法推荐管理规定. 2022-03-01施行.（公开可查证，第17、21条原文已核实）https://www.cac.gov.cn/2022-01/04/c_1642894606364259.htm</w:t>
      </w:r>
    </w:p>
    <w:p w14:paraId="22215FB4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[9] 中国政府网. 网络数据安全管理条例（国务院令第790号）. 2024-10-20.（公开可查证）https://www.gov.cn/gongbao/2024/issue_11646/202410/content_6980863.html</w:t>
      </w:r>
    </w:p>
    <w:p w14:paraId="3348E38F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[10] 金融产品网络营销管理办法. 2026-04-24印发，2026-09-30施行.（部分核实：要点经Lexology专业解读转引，全文以正式刊发文本为准）https://www.lexology.com/library/detail.aspx?g=e65768cb-c8e9-43b7-bf88-c441c4f7ede2</w:t>
      </w:r>
    </w:p>
    <w:p w14:paraId="5984F5B5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[11] 国家金融监督管理总局. 关于银行业保险业人工智能安全开发应用的指导意见（金发〔2026〕8号）. 2026-06-18.（公开可查证）https://www.nfra.gov.cn/cn/view/pages/ItemDetail.html?docId=1261784</w:t>
      </w:r>
    </w:p>
    <w:p w14:paraId="4542D6F1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[12] LatentView. Digital Twin of Customer (DToC). 2026-03-25.（公开可查证，厂商官方来源）（厂商口径，未获独立第三方验证；其量化数字不作为效益承诺依据）https://www.latentview.com/glossary/digital-twin-of-customer-DToC/</w:t>
      </w:r>
    </w:p>
    <w:p w14:paraId="37C5C720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[13] Delve AI. Digital Twin of a Customer (DToC): How It Can Help Marketers. 2026-07-07.（公开可查证，厂商官方来源）（厂商口径）https://www.delve.ai/blog/digital-twin-of-a-customer</w:t>
      </w:r>
    </w:p>
    <w:p w14:paraId="7F371749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[14] Genesys. Digital twin of a customer. 2026-07-19.（公开可查证，厂商官方来源）（厂商口径）https://www.genesys.com/en-gb/definitions/what-is-a-digital-twin-of-a-customer</w:t>
      </w:r>
    </w:p>
    <w:p w14:paraId="5AD84CDD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[15] ICEMD（ESIC商学院）. Customer Digital Twins for simulating journeys: A practical guide. 2025-12-30.（公开可查证，含银行金融应用分析）https://icemd.esic.edu/knowledge/articulos/gemelos-digitales-del-cliente-customer-digital-twins-para-simular-journeys-la-guia-practica-aplicable-e-innovadora/</w:t>
      </w:r>
    </w:p>
    <w:p w14:paraId="2DFE2484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[16] Cognizant. How Digital Twins of Customers (DToCs) can Leverage Customer Experience. 2026-06-24.（公开可查证；Gartner专家认为5—10年内变革企业）（厂商洞察；转引Gartner专家观点，非Gartner原文）https://www.cognizant.com/ch/en/insights/blog/articles/customerexperience-digital-twins</w:t>
      </w:r>
    </w:p>
    <w:p w14:paraId="7FB10B31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[17] Gartner. Hype Cycle for CRM Technologies, 2025（G00827302）：DToC处于On the Rise，效益评级"高"，渗透率1%—5%.（部分核实：原文为订阅内容，经第三方转引页面核实）（Gartner原文为订阅内容，本条经第三方转引页面核实）https://poly.ai/files/gartner-hype-cycle-for-crm</w:t>
      </w:r>
    </w:p>
    <w:p w14:paraId="5CC66937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[18] Consumer Goods Technology. Coca-Cola Scaling GenAI Marketing Campaigns With Digital Twins. 2024-08-02.（公开可查证；属内容生产型数字孪生，仅作边界参照）（行业媒体报道；属产品/内容数字孪生，仅作边界参照）https://consumergoods.com/coca-cola-scaling-genai-marketing-campaigns-digital-twins</w:t>
      </w:r>
    </w:p>
    <w:p w14:paraId="39759278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[19] VentureBeat. Sprinklr launches "Digital Twins," AI versions of brands.（公开可查证，原文未标注发布日期）（行业媒体报道；原文未标注发布日期）https://venturebeat.com/ai/sprinklr-launches-digital-twins-ai-versions-of-brands/</w:t>
      </w:r>
    </w:p>
    <w:p w14:paraId="51E59AED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[20] BusinessWire. Accenture Acquires Digital Twin Technology for Banks to Enhance Core Modernization Capabilities. 2025-01-03.（公开可查证）https://www.businesswire.com/news/home/20250103552551/en/Accenture-Acquires-Digital-Twin-Technology-for-Banks-to-Enhance-Core-Modernization-Capabilities</w:t>
      </w:r>
    </w:p>
    <w:p w14:paraId="64098144">
      <w:pPr>
        <w:spacing w:before="0" w:after="0" w:line="360" w:lineRule="auto"/>
        <w:ind w:left="280" w:hanging="280"/>
        <w:jc w:val="left"/>
      </w:pPr>
      <w:r>
        <w:rPr>
          <w:rFonts w:ascii="仿宋" w:hAnsi="仿宋" w:eastAsia="仿宋"/>
          <w:b w:val="0"/>
          <w:i w:val="0"/>
          <w:color w:val="000000"/>
          <w:sz w:val="28"/>
        </w:rPr>
        <w:t>[21] Etiya. Etiya's Digital Twin of Customer (DToC) Wins the CX Catalyst Award. 2025-12-05.（公开可查证，厂商官方来源）https://www.etiya.com/en/our-company/news-and-media/news/etiya-dtoc-cx-catalyst-award</w:t>
      </w:r>
    </w:p>
    <w:p w14:paraId="5BC80790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  <w:lang w:val="en-US" w:eastAsia="zh-CN"/>
        </w:rPr>
        <w:t xml:space="preserve"> </w:t>
      </w:r>
      <w:r>
        <w:rPr>
          <w:rFonts w:hint="eastAsia" w:ascii="仿宋" w:hAnsi="仿宋" w:eastAsia="仿宋"/>
          <w:b w:val="0"/>
          <w:i w:val="0"/>
          <w:color w:val="000000"/>
          <w:sz w:val="28"/>
        </w:rPr>
        <w:t>[22] 每日经济新闻. 对话俞吴杰：近观招商银行如何修炼数字"内功". 2024-12-09.（公开可查证，经今日头条平台转发）（财经媒体报道；经今日头条平台转载，建议以每日经济新闻原站为准）http://m.toutiao.com/group/7446389963979096591/</w:t>
      </w:r>
    </w:p>
    <w:p w14:paraId="257C367B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[23] 中国工商银行. 中国工商银行2025年经营发展向新向优（"工银智涌"落地500余个场景）. 2026-03-27.（公开可查证，银行官方披露）http://wap.icbc.com.cn/page/1211022925424381952.html</w:t>
      </w:r>
    </w:p>
    <w:p w14:paraId="769E6C39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[24] 新浪财经. 工行数字化转型如何重塑现金运营？（金库三维数字孪生底座）. 2025-12-01.（公开可查证）（财经媒体报道，非银行官方披露）https://finance.sina.com.cn/roll/2025-12-01/doc-infzfwnn4436826.shtml</w:t>
      </w:r>
    </w:p>
    <w:p w14:paraId="6752ABDD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[25] CX Dive. Digital twins of the customer are "no silver bullet," experts say. 2026-01-26.（公开可查证）https://www.customerexperiencedive.com/news/digital-twins-customer-experience-no-magic-bullet/809927/</w:t>
      </w:r>
    </w:p>
    <w:p w14:paraId="2D12FA96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[26] McKinsey &amp; Company. The value of getting personalization right—or wrong—is multiplying. 2021-11-12.（公开可查证；行业基准，非金融业专属）https://www.mckinsey.com/capabilities/growth-marketing-and-sales/our-insights/the-value-of-getting-personalization-right-or-wrong-is-multiplying</w:t>
      </w:r>
    </w:p>
    <w:p w14:paraId="4579D6B3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[27] 中国人民银行. 金融领域科技伦理指引（JR/T 0258—2022）. 2022-10-09发布并实施.（公开可查证；标准备案信息见全国标准信息公共服务平台，归口及主管部门均为中国人民银行）https://std.samr.gov.cn/hb/search/stdHBDetailedCNF?id=EB8741137DC1D95CE05397BE0A0AEDB5</w:t>
      </w:r>
    </w:p>
    <w:p w14:paraId="2B7AE9A3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[28] CleverX. What are digital twins of customers?（含2025年$24.48B、2026年$33.97B市场规模）. 2026-04-02.（公开可查证）（第三方调研平台汇总，非Gartner、IDC等专业市场研究机构口径，仅作量级参考）https://cleverx.com/guides/what-are-digital-twins-of-customers-definition-how-they-work-and-how-they-compare-to-synthetic-respo/</w:t>
      </w:r>
    </w:p>
    <w:p w14:paraId="201E7EBE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[29] TD SYNNEX. Entenda o conceito de Gêmeo Digital do Cliente (DToC)（转引Gartner：2027年20%的B2B销售组织将实施DToC）. 2026.（公开可查证，第三方转引，非Gartner原文）（第三方转引Gartner，非Gartner原文）https://blog-pt.lac.tdsynnex.com/entenda-o-conceito-de-gemeo-digital-do-cliente-DToC</w:t>
      </w:r>
    </w:p>
    <w:p w14:paraId="2E159098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[30] MindInventory. Digital Twin Statistics 2026（转引Gartner：2027年40%大型企业采用数字孪生）. 2026-08-11.（公开可查证，第三方转引，非Gartner原文）（第三方转引Gartner，非Gartner原文）https://www.mindinventory.com/blog/digital-twin-statistics/</w:t>
      </w:r>
    </w:p>
    <w:p w14:paraId="7F5E89BB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[31] Gartner. Supply Chains Building a Digital Twin of the Customer（27% CSCO认为重要，27%试点或计划实施）.（公开可查证）https://emt.gartnerweb.com/ngw/globalassets/en/supply-chain/documents/digital-twin-of-the-customer.pdf</w:t>
      </w:r>
    </w:p>
    <w:p w14:paraId="5E5D4E50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[32] 上海浦东发展银行. 2025年年度报告. 2026-03-31.（公开可查证，本行定期报告；含"数智化"战略、五大赛道、三超建设、五数与五大体系、5A4S企业级架构、《人工智能实施行动计划（2026）》等）https://static.sse.com.cn/disclosure/listedinfo/announcement/c/new/2026-03-31/600000_20260331_ZWFN.pdf</w:t>
      </w:r>
    </w:p>
    <w:p w14:paraId="59443D89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[33] 上海浦东发展银行. 2026年上半年主要经营情况公告. 2026-07-20.（公开可查证，本行定期报告；含超440个AI应用、数智营销等五大领域）https://news.spdb.com.cn/investor_relation/company_report/202607/P020260720684954815602.pdf</w:t>
      </w:r>
    </w:p>
    <w:p w14:paraId="6889FF21">
      <w:pPr>
        <w:spacing w:before="0" w:after="0" w:line="360" w:lineRule="auto"/>
        <w:ind w:left="280" w:hanging="280"/>
        <w:jc w:val="left"/>
      </w:pPr>
      <w:r>
        <w:rPr>
          <w:rFonts w:hint="eastAsia" w:ascii="仿宋" w:hAnsi="仿宋" w:eastAsia="仿宋"/>
          <w:b w:val="0"/>
          <w:i w:val="0"/>
          <w:color w:val="000000"/>
          <w:sz w:val="28"/>
        </w:rPr>
        <w:t>[34] 浦发银行. 浦发银行发布2025年年报：数智化战略走深走实 高质量发展稳中有进. 2026-04-21.（公开可查证，本行官网；含推进企架工程实施、重点领域架构重塑等）https://news.spdb.com.cn/about_spd/xwdt_1632/202604/t20260421_16563391.shtml</w:t>
      </w:r>
    </w:p>
    <w:sectPr>
      <w:pgSz w:w="11906" w:h="16838"/>
      <w:pgMar w:top="1440" w:right="144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  <w:font w:name="仿宋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MS Gothic">
    <w:panose1 w:val="020B0609070205080204"/>
    <w:charset w:val="80"/>
    <w:family w:val="auto"/>
    <w:pitch w:val="default"/>
    <w:sig w:usb0="E00002FF" w:usb1="6AC7FDFB" w:usb2="08000012" w:usb3="00000000" w:csb0="4002009F" w:csb1="DFD7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Yu Gothic">
    <w:panose1 w:val="020B0400000000000000"/>
    <w:charset w:val="80"/>
    <w:family w:val="auto"/>
    <w:pitch w:val="default"/>
    <w:sig w:usb0="E00002FF" w:usb1="2AC7FDFF" w:usb2="00000016" w:usb3="00000000" w:csb0="2002009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FFont-Family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FFont-Family">
    <w:panose1 w:val="02000509000000000000"/>
    <w:charset w:val="00"/>
    <w:family w:val="auto"/>
    <w:pitch w:val="default"/>
    <w:sig w:usb0="00000001" w:usb1="00000000" w:usb2="00000000" w:usb3="00000000" w:csb0="00000001" w:csb1="00000000"/>
  </w:font>
  <w:font w:name="Microsoft YaHei UI">
    <w:panose1 w:val="020B0503020204020204"/>
    <w:charset w:val="86"/>
    <w:family w:val="auto"/>
    <w:pitch w:val="default"/>
    <w:sig w:usb0="80000287" w:usb1="2ACF3C50" w:usb2="00000016" w:usb3="00000000" w:csb0="0004001F" w:csb1="0000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0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13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18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23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14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16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4"/>
  </w:num>
  <w:num w:numId="3">
    <w:abstractNumId w:val="5"/>
  </w:num>
  <w:num w:numId="4">
    <w:abstractNumId w:val="2"/>
  </w:num>
  <w:num w:numId="5">
    <w:abstractNumId w:val="0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40"/>
  <w:bordersDoNotSurroundHeader w:val="0"/>
  <w:bordersDoNotSurroundFooter w:val="0"/>
  <w:documentProtection w:enforcement="0"/>
  <w:defaultTabStop w:val="720"/>
  <w:displayHorizontalDrawingGridEvery w:val="1"/>
  <w:displayVerticalDrawingGridEvery w:val="1"/>
  <w:noPunctuationKerning w:val="1"/>
  <w:characterSpacingControl w:val="doNotCompress"/>
  <w:footnotePr>
    <w:footnote w:id="0"/>
    <w:footnote w:id="1"/>
  </w:footnotePr>
  <w:endnotePr>
    <w:endnote w:id="0"/>
    <w:endnote w:id="1"/>
  </w:endnotePr>
  <w:compat>
    <w:doNotExpandShiftReturn/>
    <w:doNotWrapTextWithPunct/>
    <w:doNotUseEastAsianBreakRules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012D388C"/>
    <w:rsid w:val="0D13751B"/>
    <w:rsid w:val="0DEB1BAB"/>
    <w:rsid w:val="0F4C2412"/>
    <w:rsid w:val="13FC0117"/>
    <w:rsid w:val="152754B3"/>
    <w:rsid w:val="17725E86"/>
    <w:rsid w:val="1A236719"/>
    <w:rsid w:val="1E20616F"/>
    <w:rsid w:val="234904BA"/>
    <w:rsid w:val="2AEC4B43"/>
    <w:rsid w:val="2D5E35E4"/>
    <w:rsid w:val="2F065CE2"/>
    <w:rsid w:val="2F6D3FB3"/>
    <w:rsid w:val="324A4137"/>
    <w:rsid w:val="34390907"/>
    <w:rsid w:val="35F5122A"/>
    <w:rsid w:val="38FA125D"/>
    <w:rsid w:val="3B5570E7"/>
    <w:rsid w:val="3BAA5C47"/>
    <w:rsid w:val="3E4D1B6F"/>
    <w:rsid w:val="3E7C38CA"/>
    <w:rsid w:val="3F984734"/>
    <w:rsid w:val="438F0BB7"/>
    <w:rsid w:val="468646D7"/>
    <w:rsid w:val="47266AC9"/>
    <w:rsid w:val="4880045B"/>
    <w:rsid w:val="4A527BD5"/>
    <w:rsid w:val="4B510508"/>
    <w:rsid w:val="4E656129"/>
    <w:rsid w:val="4E791BD4"/>
    <w:rsid w:val="505F4DFA"/>
    <w:rsid w:val="524A460B"/>
    <w:rsid w:val="57A93052"/>
    <w:rsid w:val="61F01D56"/>
    <w:rsid w:val="63D00091"/>
    <w:rsid w:val="75644ADD"/>
    <w:rsid w:val="759271DD"/>
    <w:rsid w:val="7AA5597C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qFormat="1" w:uiPriority="99" w:semiHidden="0" w:name="macro"/>
    <w:lsdException w:uiPriority="99" w:name="toa heading"/>
    <w:lsdException w:qFormat="1" w:uiPriority="99" w:semiHidden="0" w:name="List"/>
    <w:lsdException w:qFormat="1" w:uiPriority="99" w:semiHidden="0" w:name="List Bullet"/>
    <w:lsdException w:qFormat="1" w:uiPriority="99" w:semiHidden="0" w:name="List Number"/>
    <w:lsdException w:qFormat="1" w:uiPriority="99" w:semiHidden="0" w:name="List 2"/>
    <w:lsdException w:qFormat="1" w:uiPriority="99" w:semiHidden="0" w:name="List 3"/>
    <w:lsdException w:uiPriority="99" w:name="List 4"/>
    <w:lsdException w:uiPriority="99" w:name="List 5"/>
    <w:lsdException w:qFormat="1" w:uiPriority="99" w:semiHidden="0" w:name="List Bullet 2"/>
    <w:lsdException w:qFormat="1" w:uiPriority="99" w:semiHidden="0" w:name="List Bullet 3"/>
    <w:lsdException w:uiPriority="99" w:name="List Bullet 4"/>
    <w:lsdException w:uiPriority="99" w:name="List Bullet 5"/>
    <w:lsdException w:qFormat="1" w:uiPriority="99" w:semiHidden="0" w:name="List Number 2"/>
    <w:lsdException w:qFormat="1"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qFormat="1" w:uiPriority="1" w:name="Default Paragraph Font"/>
    <w:lsdException w:qFormat="1" w:uiPriority="99" w:semiHidden="0" w:name="Body Text"/>
    <w:lsdException w:uiPriority="99" w:name="Body Text Indent"/>
    <w:lsdException w:qFormat="1" w:uiPriority="99" w:semiHidden="0" w:name="List Continue"/>
    <w:lsdException w:qFormat="1" w:uiPriority="99" w:semiHidden="0" w:name="List Continue 2"/>
    <w:lsdException w:qFormat="1"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qFormat="1" w:uiPriority="99" w:semiHidden="0" w:name="Body Text 2"/>
    <w:lsdException w:qFormat="1"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qFormat="1" w:unhideWhenUsed="0" w:uiPriority="59" w:semiHidden="0" w:name="Table Grid"/>
    <w:lsdException w:uiPriority="99" w:name="Table Theme"/>
    <w:lsdException w:qFormat="1" w:unhideWhenUsed="0" w:uiPriority="1" w:semiHidden="0" w:name="No Spacing"/>
    <w:lsdException w:qFormat="1" w:unhideWhenUsed="0" w:uiPriority="60" w:semiHidden="0" w:name="Light Shading"/>
    <w:lsdException w:unhideWhenUsed="0" w:uiPriority="61" w:semiHidden="0" w:name="Light List"/>
    <w:lsdException w:qFormat="1" w:unhideWhenUsed="0" w:uiPriority="62" w:semiHidden="0" w:name="Light Grid"/>
    <w:lsdException w:qFormat="1" w:unhideWhenUsed="0" w:uiPriority="63" w:semiHidden="0" w:name="Medium Shading 1"/>
    <w:lsdException w:qFormat="1" w:unhideWhenUsed="0" w:uiPriority="64" w:semiHidden="0" w:name="Medium Shading 2"/>
    <w:lsdException w:qFormat="1" w:unhideWhenUsed="0" w:uiPriority="65" w:semiHidden="0" w:name="Medium List 1"/>
    <w:lsdException w:qFormat="1" w:unhideWhenUsed="0" w:uiPriority="66" w:semiHidden="0" w:name="Medium List 2"/>
    <w:lsdException w:unhideWhenUsed="0" w:uiPriority="67" w:semiHidden="0" w:name="Medium Grid 1"/>
    <w:lsdException w:qFormat="1" w:unhideWhenUsed="0" w:uiPriority="68" w:semiHidden="0" w:name="Medium Grid 2"/>
    <w:lsdException w:qFormat="1" w:unhideWhenUsed="0" w:uiPriority="69" w:semiHidden="0" w:name="Medium Grid 3"/>
    <w:lsdException w:qFormat="1" w:unhideWhenUsed="0" w:uiPriority="70" w:semiHidden="0" w:name="Dark List"/>
    <w:lsdException w:qFormat="1" w:unhideWhenUsed="0" w:uiPriority="71" w:semiHidden="0" w:name="Colorful Shading"/>
    <w:lsdException w:qFormat="1" w:unhideWhenUsed="0" w:uiPriority="72" w:semiHidden="0" w:name="Colorful List"/>
    <w:lsdException w:qFormat="1" w:unhideWhenUsed="0" w:uiPriority="73" w:semiHidden="0" w:name="Colorful Grid"/>
    <w:lsdException w:qFormat="1" w:unhideWhenUsed="0" w:uiPriority="60" w:semiHidden="0" w:name="Light Shading Accent 1"/>
    <w:lsdException w:qFormat="1" w:unhideWhenUsed="0" w:uiPriority="61" w:semiHidden="0" w:name="Light List Accent 1"/>
    <w:lsdException w:qFormat="1" w:unhideWhenUsed="0" w:uiPriority="62" w:semiHidden="0" w:name="Light Grid Accent 1"/>
    <w:lsdException w:qFormat="1" w:unhideWhenUsed="0" w:uiPriority="63" w:semiHidden="0" w:name="Medium Shading 1 Accent 1"/>
    <w:lsdException w:qFormat="1" w:unhideWhenUsed="0" w:uiPriority="64" w:semiHidden="0" w:name="Medium Shading 2 Accent 1"/>
    <w:lsdException w:qFormat="1"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qFormat="1" w:unhideWhenUsed="0" w:uiPriority="66" w:semiHidden="0" w:name="Medium List 2 Accent 1"/>
    <w:lsdException w:qFormat="1" w:unhideWhenUsed="0" w:uiPriority="67" w:semiHidden="0" w:name="Medium Grid 1 Accent 1"/>
    <w:lsdException w:qFormat="1" w:unhideWhenUsed="0" w:uiPriority="68" w:semiHidden="0" w:name="Medium Grid 2 Accent 1"/>
    <w:lsdException w:qFormat="1" w:unhideWhenUsed="0" w:uiPriority="69" w:semiHidden="0" w:name="Medium Grid 3 Accent 1"/>
    <w:lsdException w:qFormat="1" w:unhideWhenUsed="0" w:uiPriority="70" w:semiHidden="0" w:name="Dark List Accent 1"/>
    <w:lsdException w:qFormat="1" w:unhideWhenUsed="0" w:uiPriority="71" w:semiHidden="0" w:name="Colorful Shading Accent 1"/>
    <w:lsdException w:qFormat="1" w:unhideWhenUsed="0" w:uiPriority="72" w:semiHidden="0" w:name="Colorful List Accent 1"/>
    <w:lsdException w:qFormat="1" w:unhideWhenUsed="0" w:uiPriority="73" w:semiHidden="0" w:name="Colorful Grid Accent 1"/>
    <w:lsdException w:unhideWhenUsed="0" w:uiPriority="60" w:semiHidden="0" w:name="Light Shading Accent 2"/>
    <w:lsdException w:qFormat="1" w:unhideWhenUsed="0" w:uiPriority="61" w:semiHidden="0" w:name="Light List Accent 2"/>
    <w:lsdException w:qFormat="1" w:unhideWhenUsed="0" w:uiPriority="62" w:semiHidden="0" w:name="Light Grid Accent 2"/>
    <w:lsdException w:unhideWhenUsed="0" w:uiPriority="63" w:semiHidden="0" w:name="Medium Shading 1 Accent 2"/>
    <w:lsdException w:qFormat="1" w:unhideWhenUsed="0" w:uiPriority="64" w:semiHidden="0" w:name="Medium Shading 2 Accent 2"/>
    <w:lsdException w:qFormat="1" w:unhideWhenUsed="0" w:uiPriority="65" w:semiHidden="0" w:name="Medium List 1 Accent 2"/>
    <w:lsdException w:qFormat="1" w:unhideWhenUsed="0" w:uiPriority="66" w:semiHidden="0" w:name="Medium List 2 Accent 2"/>
    <w:lsdException w:qFormat="1" w:unhideWhenUsed="0" w:uiPriority="67" w:semiHidden="0" w:name="Medium Grid 1 Accent 2"/>
    <w:lsdException w:qFormat="1" w:unhideWhenUsed="0" w:uiPriority="68" w:semiHidden="0" w:name="Medium Grid 2 Accent 2"/>
    <w:lsdException w:qFormat="1" w:unhideWhenUsed="0" w:uiPriority="69" w:semiHidden="0" w:name="Medium Grid 3 Accent 2"/>
    <w:lsdException w:qFormat="1" w:unhideWhenUsed="0" w:uiPriority="70" w:semiHidden="0" w:name="Dark List Accent 2"/>
    <w:lsdException w:qFormat="1" w:unhideWhenUsed="0" w:uiPriority="71" w:semiHidden="0" w:name="Colorful Shading Accent 2"/>
    <w:lsdException w:qFormat="1" w:unhideWhenUsed="0" w:uiPriority="72" w:semiHidden="0" w:name="Colorful List Accent 2"/>
    <w:lsdException w:qFormat="1" w:unhideWhenUsed="0" w:uiPriority="73" w:semiHidden="0" w:name="Colorful Grid Accent 2"/>
    <w:lsdException w:qFormat="1" w:unhideWhenUsed="0" w:uiPriority="60" w:semiHidden="0" w:name="Light Shading Accent 3"/>
    <w:lsdException w:qFormat="1" w:unhideWhenUsed="0" w:uiPriority="61" w:semiHidden="0" w:name="Light List Accent 3"/>
    <w:lsdException w:qFormat="1" w:unhideWhenUsed="0" w:uiPriority="62" w:semiHidden="0" w:name="Light Grid Accent 3"/>
    <w:lsdException w:qFormat="1" w:unhideWhenUsed="0" w:uiPriority="63" w:semiHidden="0" w:name="Medium Shading 1 Accent 3"/>
    <w:lsdException w:qFormat="1" w:unhideWhenUsed="0" w:uiPriority="64" w:semiHidden="0" w:name="Medium Shading 2 Accent 3"/>
    <w:lsdException w:qFormat="1" w:unhideWhenUsed="0" w:uiPriority="65" w:semiHidden="0" w:name="Medium List 1 Accent 3"/>
    <w:lsdException w:qFormat="1" w:unhideWhenUsed="0" w:uiPriority="66" w:semiHidden="0" w:name="Medium List 2 Accent 3"/>
    <w:lsdException w:qFormat="1" w:unhideWhenUsed="0" w:uiPriority="67" w:semiHidden="0" w:name="Medium Grid 1 Accent 3"/>
    <w:lsdException w:qFormat="1" w:unhideWhenUsed="0" w:uiPriority="68" w:semiHidden="0" w:name="Medium Grid 2 Accent 3"/>
    <w:lsdException w:qFormat="1" w:unhideWhenUsed="0" w:uiPriority="69" w:semiHidden="0" w:name="Medium Grid 3 Accent 3"/>
    <w:lsdException w:qFormat="1" w:unhideWhenUsed="0" w:uiPriority="70" w:semiHidden="0" w:name="Dark List Accent 3"/>
    <w:lsdException w:qFormat="1" w:unhideWhenUsed="0" w:uiPriority="71" w:semiHidden="0" w:name="Colorful Shading Accent 3"/>
    <w:lsdException w:qFormat="1" w:unhideWhenUsed="0" w:uiPriority="72" w:semiHidden="0" w:name="Colorful List Accent 3"/>
    <w:lsdException w:qFormat="1" w:unhideWhenUsed="0" w:uiPriority="73" w:semiHidden="0" w:name="Colorful Grid Accent 3"/>
    <w:lsdException w:qFormat="1" w:unhideWhenUsed="0" w:uiPriority="60" w:semiHidden="0" w:name="Light Shading Accent 4"/>
    <w:lsdException w:qFormat="1" w:unhideWhenUsed="0" w:uiPriority="61" w:semiHidden="0" w:name="Light List Accent 4"/>
    <w:lsdException w:qFormat="1" w:unhideWhenUsed="0" w:uiPriority="62" w:semiHidden="0" w:name="Light Grid Accent 4"/>
    <w:lsdException w:unhideWhenUsed="0" w:uiPriority="63" w:semiHidden="0" w:name="Medium Shading 1 Accent 4"/>
    <w:lsdException w:qFormat="1" w:unhideWhenUsed="0" w:uiPriority="64" w:semiHidden="0" w:name="Medium Shading 2 Accent 4"/>
    <w:lsdException w:qFormat="1" w:unhideWhenUsed="0" w:uiPriority="65" w:semiHidden="0" w:name="Medium List 1 Accent 4"/>
    <w:lsdException w:qFormat="1" w:unhideWhenUsed="0" w:uiPriority="66" w:semiHidden="0" w:name="Medium List 2 Accent 4"/>
    <w:lsdException w:qFormat="1" w:unhideWhenUsed="0" w:uiPriority="67" w:semiHidden="0" w:name="Medium Grid 1 Accent 4"/>
    <w:lsdException w:qFormat="1" w:unhideWhenUsed="0" w:uiPriority="68" w:semiHidden="0" w:name="Medium Grid 2 Accent 4"/>
    <w:lsdException w:qFormat="1" w:unhideWhenUsed="0" w:uiPriority="69" w:semiHidden="0" w:name="Medium Grid 3 Accent 4"/>
    <w:lsdException w:qFormat="1" w:unhideWhenUsed="0" w:uiPriority="70" w:semiHidden="0" w:name="Dark List Accent 4"/>
    <w:lsdException w:qFormat="1" w:unhideWhenUsed="0" w:uiPriority="71" w:semiHidden="0" w:name="Colorful Shading Accent 4"/>
    <w:lsdException w:qFormat="1" w:unhideWhenUsed="0" w:uiPriority="72" w:semiHidden="0" w:name="Colorful List Accent 4"/>
    <w:lsdException w:qFormat="1" w:unhideWhenUsed="0" w:uiPriority="73" w:semiHidden="0" w:name="Colorful Grid Accent 4"/>
    <w:lsdException w:qFormat="1"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qFormat="1" w:unhideWhenUsed="0" w:uiPriority="63" w:semiHidden="0" w:name="Medium Shading 1 Accent 5"/>
    <w:lsdException w:qFormat="1" w:unhideWhenUsed="0" w:uiPriority="64" w:semiHidden="0" w:name="Medium Shading 2 Accent 5"/>
    <w:lsdException w:unhideWhenUsed="0" w:uiPriority="65" w:semiHidden="0" w:name="Medium List 1 Accent 5"/>
    <w:lsdException w:qFormat="1" w:unhideWhenUsed="0" w:uiPriority="66" w:semiHidden="0" w:name="Medium List 2 Accent 5"/>
    <w:lsdException w:qFormat="1" w:unhideWhenUsed="0" w:uiPriority="67" w:semiHidden="0" w:name="Medium Grid 1 Accent 5"/>
    <w:lsdException w:qFormat="1" w:unhideWhenUsed="0" w:uiPriority="68" w:semiHidden="0" w:name="Medium Grid 2 Accent 5"/>
    <w:lsdException w:qFormat="1" w:unhideWhenUsed="0" w:uiPriority="69" w:semiHidden="0" w:name="Medium Grid 3 Accent 5"/>
    <w:lsdException w:qFormat="1" w:unhideWhenUsed="0" w:uiPriority="70" w:semiHidden="0" w:name="Dark List Accent 5"/>
    <w:lsdException w:qFormat="1" w:unhideWhenUsed="0" w:uiPriority="71" w:semiHidden="0" w:name="Colorful Shading Accent 5"/>
    <w:lsdException w:qFormat="1" w:unhideWhenUsed="0" w:uiPriority="72" w:semiHidden="0" w:name="Colorful List Accent 5"/>
    <w:lsdException w:qFormat="1" w:unhideWhenUsed="0" w:uiPriority="73" w:semiHidden="0" w:name="Colorful Grid Accent 5"/>
    <w:lsdException w:qFormat="1" w:unhideWhenUsed="0" w:uiPriority="60" w:semiHidden="0" w:name="Light Shading Accent 6"/>
    <w:lsdException w:qFormat="1" w:unhideWhenUsed="0" w:uiPriority="61" w:semiHidden="0" w:name="Light List Accent 6"/>
    <w:lsdException w:qFormat="1" w:unhideWhenUsed="0" w:uiPriority="62" w:semiHidden="0" w:name="Light Grid Accent 6"/>
    <w:lsdException w:qFormat="1" w:unhideWhenUsed="0" w:uiPriority="63" w:semiHidden="0" w:name="Medium Shading 1 Accent 6"/>
    <w:lsdException w:qFormat="1" w:unhideWhenUsed="0" w:uiPriority="64" w:semiHidden="0" w:name="Medium Shading 2 Accent 6"/>
    <w:lsdException w:qFormat="1" w:unhideWhenUsed="0" w:uiPriority="65" w:semiHidden="0" w:name="Medium List 1 Accent 6"/>
    <w:lsdException w:qFormat="1" w:unhideWhenUsed="0" w:uiPriority="66" w:semiHidden="0" w:name="Medium List 2 Accent 6"/>
    <w:lsdException w:qFormat="1" w:unhideWhenUsed="0" w:uiPriority="67" w:semiHidden="0" w:name="Medium Grid 1 Accent 6"/>
    <w:lsdException w:qFormat="1" w:unhideWhenUsed="0" w:uiPriority="68" w:semiHidden="0" w:name="Medium Grid 2 Accent 6"/>
    <w:lsdException w:qFormat="1" w:unhideWhenUsed="0" w:uiPriority="69" w:semiHidden="0" w:name="Medium Grid 3 Accent 6"/>
    <w:lsdException w:qFormat="1" w:unhideWhenUsed="0" w:uiPriority="70" w:semiHidden="0" w:name="Dark List Accent 6"/>
    <w:lsdException w:qFormat="1" w:unhideWhenUsed="0" w:uiPriority="71" w:semiHidden="0" w:name="Colorful Shading Accent 6"/>
    <w:lsdException w:qFormat="1" w:unhideWhenUsed="0" w:uiPriority="72" w:semiHidden="0" w:name="Colorful List Accent 6"/>
    <w:lsdException w:qFormat="1"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="仿宋" w:hAnsi="仿宋" w:eastAsia="仿宋" w:cstheme="minorBidi"/>
      <w:sz w:val="32"/>
      <w:szCs w:val="22"/>
      <w:lang w:val="en-US" w:eastAsia="en-US" w:bidi="ar-SA"/>
    </w:rPr>
  </w:style>
  <w:style w:type="paragraph" w:styleId="3">
    <w:name w:val="heading 1"/>
    <w:basedOn w:val="1"/>
    <w:next w:val="1"/>
    <w:link w:val="162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4">
    <w:name w:val="heading 2"/>
    <w:basedOn w:val="1"/>
    <w:next w:val="1"/>
    <w:link w:val="137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5">
    <w:name w:val="heading 3"/>
    <w:basedOn w:val="1"/>
    <w:next w:val="1"/>
    <w:link w:val="149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4"/>
    <w:basedOn w:val="1"/>
    <w:next w:val="1"/>
    <w:link w:val="151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7">
    <w:name w:val="heading 5"/>
    <w:basedOn w:val="1"/>
    <w:next w:val="1"/>
    <w:link w:val="154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8">
    <w:name w:val="heading 6"/>
    <w:basedOn w:val="1"/>
    <w:next w:val="1"/>
    <w:link w:val="158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9">
    <w:name w:val="heading 7"/>
    <w:basedOn w:val="1"/>
    <w:next w:val="1"/>
    <w:link w:val="139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0">
    <w:name w:val="heading 8"/>
    <w:basedOn w:val="1"/>
    <w:next w:val="1"/>
    <w:link w:val="142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1">
    <w:name w:val="heading 9"/>
    <w:basedOn w:val="1"/>
    <w:next w:val="1"/>
    <w:link w:val="159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32">
    <w:name w:val="Default Paragraph Font"/>
    <w:semiHidden/>
    <w:unhideWhenUsed/>
    <w:qFormat/>
    <w:uiPriority w:val="1"/>
  </w:style>
  <w:style w:type="table" w:default="1" w:styleId="32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macro"/>
    <w:link w:val="147"/>
    <w:unhideWhenUsed/>
    <w:qFormat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2">
    <w:name w:val="List 3"/>
    <w:basedOn w:val="1"/>
    <w:unhideWhenUsed/>
    <w:qFormat/>
    <w:uiPriority w:val="99"/>
    <w:pPr>
      <w:ind w:left="1080" w:hanging="360"/>
      <w:contextualSpacing/>
    </w:pPr>
  </w:style>
  <w:style w:type="paragraph" w:styleId="13">
    <w:name w:val="List Number 2"/>
    <w:basedOn w:val="1"/>
    <w:unhideWhenUsed/>
    <w:qFormat/>
    <w:uiPriority w:val="99"/>
    <w:pPr>
      <w:numPr>
        <w:ilvl w:val="0"/>
        <w:numId w:val="1"/>
      </w:numPr>
      <w:contextualSpacing/>
    </w:pPr>
  </w:style>
  <w:style w:type="paragraph" w:styleId="14">
    <w:name w:val="List Number"/>
    <w:basedOn w:val="1"/>
    <w:unhideWhenUsed/>
    <w:qFormat/>
    <w:uiPriority w:val="99"/>
    <w:pPr>
      <w:numPr>
        <w:ilvl w:val="0"/>
        <w:numId w:val="2"/>
      </w:numPr>
      <w:contextualSpacing/>
    </w:pPr>
  </w:style>
  <w:style w:type="paragraph" w:styleId="15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6">
    <w:name w:val="List Bullet"/>
    <w:basedOn w:val="1"/>
    <w:unhideWhenUsed/>
    <w:qFormat/>
    <w:uiPriority w:val="99"/>
    <w:pPr>
      <w:numPr>
        <w:ilvl w:val="0"/>
        <w:numId w:val="3"/>
      </w:numPr>
      <w:contextualSpacing/>
    </w:pPr>
  </w:style>
  <w:style w:type="paragraph" w:styleId="17">
    <w:name w:val="Body Text 3"/>
    <w:basedOn w:val="1"/>
    <w:link w:val="161"/>
    <w:unhideWhenUsed/>
    <w:qFormat/>
    <w:uiPriority w:val="99"/>
    <w:pPr>
      <w:spacing w:after="120"/>
    </w:pPr>
    <w:rPr>
      <w:sz w:val="16"/>
      <w:szCs w:val="16"/>
    </w:rPr>
  </w:style>
  <w:style w:type="paragraph" w:styleId="18">
    <w:name w:val="List Bullet 3"/>
    <w:basedOn w:val="1"/>
    <w:unhideWhenUsed/>
    <w:qFormat/>
    <w:uiPriority w:val="99"/>
    <w:pPr>
      <w:numPr>
        <w:ilvl w:val="0"/>
        <w:numId w:val="4"/>
      </w:numPr>
      <w:contextualSpacing/>
    </w:pPr>
  </w:style>
  <w:style w:type="paragraph" w:styleId="19">
    <w:name w:val="Body Text"/>
    <w:basedOn w:val="1"/>
    <w:link w:val="157"/>
    <w:unhideWhenUsed/>
    <w:qFormat/>
    <w:uiPriority w:val="99"/>
    <w:pPr>
      <w:spacing w:after="120"/>
    </w:pPr>
  </w:style>
  <w:style w:type="paragraph" w:styleId="20">
    <w:name w:val="List Number 3"/>
    <w:basedOn w:val="1"/>
    <w:unhideWhenUsed/>
    <w:qFormat/>
    <w:uiPriority w:val="99"/>
    <w:pPr>
      <w:numPr>
        <w:ilvl w:val="0"/>
        <w:numId w:val="5"/>
      </w:numPr>
      <w:contextualSpacing/>
    </w:pPr>
  </w:style>
  <w:style w:type="paragraph" w:styleId="21">
    <w:name w:val="List 2"/>
    <w:basedOn w:val="1"/>
    <w:unhideWhenUsed/>
    <w:qFormat/>
    <w:uiPriority w:val="99"/>
    <w:pPr>
      <w:ind w:left="720" w:hanging="360"/>
      <w:contextualSpacing/>
    </w:pPr>
  </w:style>
  <w:style w:type="paragraph" w:styleId="22">
    <w:name w:val="List Continue"/>
    <w:basedOn w:val="1"/>
    <w:unhideWhenUsed/>
    <w:qFormat/>
    <w:uiPriority w:val="99"/>
    <w:pPr>
      <w:spacing w:after="120"/>
      <w:ind w:left="360"/>
      <w:contextualSpacing/>
    </w:pPr>
  </w:style>
  <w:style w:type="paragraph" w:styleId="23">
    <w:name w:val="List Bullet 2"/>
    <w:basedOn w:val="1"/>
    <w:unhideWhenUsed/>
    <w:qFormat/>
    <w:uiPriority w:val="99"/>
    <w:pPr>
      <w:numPr>
        <w:ilvl w:val="0"/>
        <w:numId w:val="6"/>
      </w:numPr>
      <w:contextualSpacing/>
    </w:pPr>
  </w:style>
  <w:style w:type="paragraph" w:styleId="24">
    <w:name w:val="footer"/>
    <w:basedOn w:val="1"/>
    <w:link w:val="145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5">
    <w:name w:val="header"/>
    <w:basedOn w:val="1"/>
    <w:link w:val="146"/>
    <w:unhideWhenUsed/>
    <w:qFormat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6">
    <w:name w:val="Subtitle"/>
    <w:basedOn w:val="1"/>
    <w:next w:val="1"/>
    <w:link w:val="138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27">
    <w:name w:val="List"/>
    <w:basedOn w:val="1"/>
    <w:unhideWhenUsed/>
    <w:qFormat/>
    <w:uiPriority w:val="99"/>
    <w:pPr>
      <w:ind w:left="360" w:hanging="360"/>
      <w:contextualSpacing/>
    </w:pPr>
  </w:style>
  <w:style w:type="paragraph" w:styleId="28">
    <w:name w:val="Body Text 2"/>
    <w:basedOn w:val="1"/>
    <w:link w:val="153"/>
    <w:unhideWhenUsed/>
    <w:qFormat/>
    <w:uiPriority w:val="99"/>
    <w:pPr>
      <w:spacing w:after="120" w:line="480" w:lineRule="auto"/>
    </w:pPr>
  </w:style>
  <w:style w:type="paragraph" w:styleId="29">
    <w:name w:val="List Continue 2"/>
    <w:basedOn w:val="1"/>
    <w:unhideWhenUsed/>
    <w:qFormat/>
    <w:uiPriority w:val="99"/>
    <w:pPr>
      <w:spacing w:after="120"/>
      <w:ind w:left="720"/>
      <w:contextualSpacing/>
    </w:pPr>
  </w:style>
  <w:style w:type="paragraph" w:styleId="30">
    <w:name w:val="List Continue 3"/>
    <w:basedOn w:val="1"/>
    <w:unhideWhenUsed/>
    <w:qFormat/>
    <w:uiPriority w:val="99"/>
    <w:pPr>
      <w:spacing w:after="120"/>
      <w:ind w:left="1080"/>
      <w:contextualSpacing/>
    </w:pPr>
  </w:style>
  <w:style w:type="paragraph" w:styleId="31">
    <w:name w:val="Title"/>
    <w:basedOn w:val="1"/>
    <w:next w:val="1"/>
    <w:link w:val="141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3">
    <w:name w:val="Table Grid"/>
    <w:basedOn w:val="32"/>
    <w:qFormat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34">
    <w:name w:val="Light Shading"/>
    <w:basedOn w:val="32"/>
    <w:qFormat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35">
    <w:name w:val="Light Shading Accent 1"/>
    <w:basedOn w:val="32"/>
    <w:qFormat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36">
    <w:name w:val="Light Shading Accent 2"/>
    <w:basedOn w:val="3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37">
    <w:name w:val="Light Shading Accent 3"/>
    <w:basedOn w:val="32"/>
    <w:qFormat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38">
    <w:name w:val="Light Shading Accent 4"/>
    <w:basedOn w:val="32"/>
    <w:qFormat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39">
    <w:name w:val="Light Shading Accent 5"/>
    <w:basedOn w:val="32"/>
    <w:qFormat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40">
    <w:name w:val="Light Shading Accent 6"/>
    <w:basedOn w:val="32"/>
    <w:qFormat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41">
    <w:name w:val="Light List"/>
    <w:basedOn w:val="3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42">
    <w:name w:val="Light List Accent 1"/>
    <w:basedOn w:val="32"/>
    <w:qFormat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43">
    <w:name w:val="Light List Accent 2"/>
    <w:basedOn w:val="32"/>
    <w:qFormat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44">
    <w:name w:val="Light List Accent 3"/>
    <w:basedOn w:val="32"/>
    <w:qFormat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45">
    <w:name w:val="Light List Accent 4"/>
    <w:basedOn w:val="32"/>
    <w:qFormat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46">
    <w:name w:val="Light List Accent 5"/>
    <w:basedOn w:val="3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47">
    <w:name w:val="Light List Accent 6"/>
    <w:basedOn w:val="32"/>
    <w:qFormat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48">
    <w:name w:val="Light Grid"/>
    <w:basedOn w:val="32"/>
    <w:qFormat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49">
    <w:name w:val="Light Grid Accent 1"/>
    <w:basedOn w:val="32"/>
    <w:qFormat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50">
    <w:name w:val="Light Grid Accent 2"/>
    <w:basedOn w:val="32"/>
    <w:qFormat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51">
    <w:name w:val="Light Grid Accent 3"/>
    <w:basedOn w:val="32"/>
    <w:qFormat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52">
    <w:name w:val="Light Grid Accent 4"/>
    <w:basedOn w:val="32"/>
    <w:qFormat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53">
    <w:name w:val="Light Grid Accent 5"/>
    <w:basedOn w:val="3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54">
    <w:name w:val="Light Grid Accent 6"/>
    <w:basedOn w:val="32"/>
    <w:qFormat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55">
    <w:name w:val="Medium Shading 1"/>
    <w:basedOn w:val="32"/>
    <w:qFormat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6">
    <w:name w:val="Medium Shading 1 Accent 1"/>
    <w:basedOn w:val="32"/>
    <w:qFormat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7">
    <w:name w:val="Medium Shading 1 Accent 2"/>
    <w:basedOn w:val="3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8">
    <w:name w:val="Medium Shading 1 Accent 3"/>
    <w:basedOn w:val="32"/>
    <w:qFormat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59">
    <w:name w:val="Medium Shading 1 Accent 4"/>
    <w:basedOn w:val="3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0">
    <w:name w:val="Medium Shading 1 Accent 5"/>
    <w:basedOn w:val="32"/>
    <w:qFormat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1">
    <w:name w:val="Medium Shading 1 Accent 6"/>
    <w:basedOn w:val="32"/>
    <w:qFormat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62">
    <w:name w:val="Medium Shading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3">
    <w:name w:val="Medium Shading 2 Accent 1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4">
    <w:name w:val="Medium Shading 2 Accent 2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5">
    <w:name w:val="Medium Shading 2 Accent 3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6">
    <w:name w:val="Medium Shading 2 Accent 4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7">
    <w:name w:val="Medium Shading 2 Accent 5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8">
    <w:name w:val="Medium Shading 2 Accent 6"/>
    <w:basedOn w:val="32"/>
    <w:qFormat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blPr/>
      <w:tcPr>
        <w:shd w:val="clear" w:color="auto" w:fill="D7D7D7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69">
    <w:name w:val="Medium Lis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BFBFBF" w:themeFill="text1" w:themeFillTint="3F"/>
      </w:tcPr>
    </w:tblStylePr>
    <w:tblStylePr w:type="band1Horz">
      <w:tblPr/>
      <w:tcPr>
        <w:shd w:val="clear" w:color="auto" w:fill="BFBFBF" w:themeFill="text1" w:themeFillTint="3F"/>
      </w:tcPr>
    </w:tblStylePr>
  </w:style>
  <w:style w:type="table" w:styleId="70">
    <w:name w:val="Medium List 1 Accent 1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71">
    <w:name w:val="Medium List 1 Accent 2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3" w:themeFill="accent2" w:themeFillTint="3F"/>
      </w:tcPr>
    </w:tblStylePr>
    <w:tblStylePr w:type="band1Horz">
      <w:tblPr/>
      <w:tcPr>
        <w:shd w:val="clear" w:color="auto" w:fill="EFD3D3" w:themeFill="accent2" w:themeFillTint="3F"/>
      </w:tcPr>
    </w:tblStylePr>
  </w:style>
  <w:style w:type="table" w:styleId="72">
    <w:name w:val="Medium List 1 Accent 3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73">
    <w:name w:val="Medium List 1 Accent 4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74">
    <w:name w:val="Medium List 1 Accent 5"/>
    <w:basedOn w:val="3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0" w:themeFill="accent5" w:themeFillTint="3F"/>
      </w:tcPr>
    </w:tblStylePr>
    <w:tblStylePr w:type="band1Horz">
      <w:tblPr/>
      <w:tcPr>
        <w:shd w:val="clear" w:color="auto" w:fill="D2EAF0" w:themeFill="accent5" w:themeFillTint="3F"/>
      </w:tcPr>
    </w:tblStylePr>
  </w:style>
  <w:style w:type="table" w:styleId="75">
    <w:name w:val="Medium List 1 Accent 6"/>
    <w:basedOn w:val="32"/>
    <w:qFormat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5D1" w:themeFill="accent6" w:themeFillTint="3F"/>
      </w:tcPr>
    </w:tblStylePr>
    <w:tblStylePr w:type="band1Horz">
      <w:tblPr/>
      <w:tcPr>
        <w:shd w:val="clear" w:color="auto" w:fill="FDE5D1" w:themeFill="accent6" w:themeFillTint="3F"/>
      </w:tcPr>
    </w:tblStylePr>
  </w:style>
  <w:style w:type="table" w:styleId="76">
    <w:name w:val="Medium Lis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7">
    <w:name w:val="Medium List 2 Accent 1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8">
    <w:name w:val="Medium List 2 Accent 2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79">
    <w:name w:val="Medium List 2 Accent 3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0">
    <w:name w:val="Medium List 2 Accent 4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1">
    <w:name w:val="Medium List 2 Accent 5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2">
    <w:name w:val="Medium List 2 Accent 6"/>
    <w:basedOn w:val="32"/>
    <w:qFormat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83">
    <w:name w:val="Medium Grid 1"/>
    <w:basedOn w:val="3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84">
    <w:name w:val="Medium Grid 1 Accent 1"/>
    <w:basedOn w:val="32"/>
    <w:qFormat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85">
    <w:name w:val="Medium Grid 1 Accent 2"/>
    <w:basedOn w:val="32"/>
    <w:qFormat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86">
    <w:name w:val="Medium Grid 1 Accent 3"/>
    <w:basedOn w:val="32"/>
    <w:qFormat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87">
    <w:name w:val="Medium Grid 1 Accent 4"/>
    <w:basedOn w:val="32"/>
    <w:qFormat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88">
    <w:name w:val="Medium Grid 1 Accent 5"/>
    <w:basedOn w:val="32"/>
    <w:qFormat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89">
    <w:name w:val="Medium Grid 1 Accent 6"/>
    <w:basedOn w:val="32"/>
    <w:qFormat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90">
    <w:name w:val="Medium Grid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1">
    <w:name w:val="Medium Grid 2 Accent 1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2">
    <w:name w:val="Medium Grid 2 Accent 2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3">
    <w:name w:val="Medium Grid 2 Accent 3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4">
    <w:name w:val="Medium Grid 2 Accent 4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5">
    <w:name w:val="Medium Grid 2 Accent 5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6">
    <w:name w:val="Medium Grid 2 Accent 6"/>
    <w:basedOn w:val="32"/>
    <w:qFormat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97">
    <w:name w:val="Medium Grid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98">
    <w:name w:val="Medium Grid 3 Accent 1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99">
    <w:name w:val="Medium Grid 3 Accent 2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00">
    <w:name w:val="Medium Grid 3 Accent 3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01">
    <w:name w:val="Medium Grid 3 Accent 4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02">
    <w:name w:val="Medium Grid 3 Accent 5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03">
    <w:name w:val="Medium Grid 3 Accent 6"/>
    <w:basedOn w:val="32"/>
    <w:qFormat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04">
    <w:name w:val="Dark List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05">
    <w:name w:val="Dark List Accent 1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06">
    <w:name w:val="Dark List Accent 2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07">
    <w:name w:val="Dark List Accent 3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08">
    <w:name w:val="Dark List Accent 4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09">
    <w:name w:val="Dark List Accent 5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10">
    <w:name w:val="Dark List Accent 6"/>
    <w:basedOn w:val="32"/>
    <w:qFormat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11">
    <w:name w:val="Colorful Shading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2">
    <w:name w:val="Colorful Shading Accent 1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3">
    <w:name w:val="Colorful Shading Accent 2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4">
    <w:name w:val="Colorful Shading Accent 3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15">
    <w:name w:val="Colorful Shading Accent 4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6">
    <w:name w:val="Colorful Shading Accent 5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7">
    <w:name w:val="Colorful Shading Accent 6"/>
    <w:basedOn w:val="32"/>
    <w:qFormat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18">
    <w:name w:val="Colorful List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119">
    <w:name w:val="Colorful List Accent 1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120">
    <w:name w:val="Colorful List Accent 2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121">
    <w:name w:val="Colorful List Accent 3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122">
    <w:name w:val="Colorful List Accent 4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123">
    <w:name w:val="Colorful List Accent 5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124">
    <w:name w:val="Colorful List Accent 6"/>
    <w:basedOn w:val="32"/>
    <w:qFormat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125">
    <w:name w:val="Colorful Grid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7F7F7F" w:themeFill="text1" w:themeFillTint="7F"/>
      </w:tcPr>
    </w:tblStylePr>
    <w:tblStylePr w:type="band1Horz">
      <w:tblPr/>
      <w:tcPr>
        <w:shd w:val="clear" w:color="auto" w:fill="7F7F7F" w:themeFill="text1" w:themeFillTint="7F"/>
      </w:tcPr>
    </w:tblStylePr>
  </w:style>
  <w:style w:type="table" w:styleId="126">
    <w:name w:val="Colorful Grid Accent 1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66091" w:themeFill="accent1" w:themeFillShade="BF"/>
      </w:tcPr>
    </w:tblStylePr>
    <w:tblStylePr w:type="band1Vert">
      <w:tblPr/>
      <w:tcPr>
        <w:shd w:val="clear" w:color="auto" w:fill="A7C0DE" w:themeFill="accent1" w:themeFillTint="7F"/>
      </w:tcPr>
    </w:tblStylePr>
    <w:tblStylePr w:type="band1Horz">
      <w:tblPr/>
      <w:tcPr>
        <w:shd w:val="clear" w:color="auto" w:fill="A7C0DE" w:themeFill="accent1" w:themeFillTint="7F"/>
      </w:tcPr>
    </w:tblStylePr>
  </w:style>
  <w:style w:type="table" w:styleId="127">
    <w:name w:val="Colorful Grid Accent 2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9437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28">
    <w:name w:val="Colorful Grid Accent 3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29">
    <w:name w:val="Colorful Grid Accent 4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30">
    <w:name w:val="Colorful Grid Accent 5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31">
    <w:name w:val="Colorful Grid Accent 6"/>
    <w:basedOn w:val="32"/>
    <w:qFormat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blPr/>
      <w:tcPr>
        <w:shd w:val="clear" w:color="auto" w:fill="E36C09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character" w:styleId="133">
    <w:name w:val="Strong"/>
    <w:basedOn w:val="132"/>
    <w:qFormat/>
    <w:uiPriority w:val="22"/>
    <w:rPr>
      <w:b/>
      <w:bCs/>
    </w:rPr>
  </w:style>
  <w:style w:type="character" w:styleId="134">
    <w:name w:val="Emphasis"/>
    <w:basedOn w:val="132"/>
    <w:qFormat/>
    <w:uiPriority w:val="20"/>
    <w:rPr>
      <w:i/>
      <w:iCs/>
    </w:rPr>
  </w:style>
  <w:style w:type="character" w:customStyle="1" w:styleId="135">
    <w:name w:val="Quote Char"/>
    <w:basedOn w:val="132"/>
    <w:link w:val="136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paragraph" w:styleId="136">
    <w:name w:val="Quote"/>
    <w:basedOn w:val="1"/>
    <w:next w:val="1"/>
    <w:link w:val="135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137">
    <w:name w:val="Heading 2 Char"/>
    <w:basedOn w:val="132"/>
    <w:link w:val="4"/>
    <w:qFormat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138">
    <w:name w:val="Subtitle Char"/>
    <w:basedOn w:val="132"/>
    <w:link w:val="26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character" w:customStyle="1" w:styleId="139">
    <w:name w:val="Heading 7 Char"/>
    <w:basedOn w:val="132"/>
    <w:link w:val="9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140">
    <w:name w:val="Intense Quote"/>
    <w:basedOn w:val="1"/>
    <w:next w:val="1"/>
    <w:link w:val="155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41">
    <w:name w:val="Title Char"/>
    <w:basedOn w:val="132"/>
    <w:link w:val="31"/>
    <w:qFormat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142">
    <w:name w:val="Heading 8 Char"/>
    <w:basedOn w:val="132"/>
    <w:link w:val="10"/>
    <w:semiHidden/>
    <w:qFormat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43">
    <w:name w:val="List Paragraph"/>
    <w:basedOn w:val="1"/>
    <w:qFormat/>
    <w:uiPriority w:val="34"/>
    <w:pPr>
      <w:ind w:left="720"/>
      <w:contextualSpacing/>
    </w:pPr>
  </w:style>
  <w:style w:type="character" w:customStyle="1" w:styleId="144">
    <w:name w:val="Subtle Emphasis"/>
    <w:basedOn w:val="132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145">
    <w:name w:val="Footer Char"/>
    <w:basedOn w:val="132"/>
    <w:link w:val="24"/>
    <w:qFormat/>
    <w:uiPriority w:val="99"/>
  </w:style>
  <w:style w:type="character" w:customStyle="1" w:styleId="146">
    <w:name w:val="Header Char"/>
    <w:basedOn w:val="132"/>
    <w:link w:val="25"/>
    <w:qFormat/>
    <w:uiPriority w:val="99"/>
  </w:style>
  <w:style w:type="character" w:customStyle="1" w:styleId="147">
    <w:name w:val="Macro Text Char"/>
    <w:basedOn w:val="132"/>
    <w:link w:val="2"/>
    <w:qFormat/>
    <w:uiPriority w:val="99"/>
    <w:rPr>
      <w:rFonts w:ascii="Courier" w:hAnsi="Courier"/>
      <w:sz w:val="20"/>
      <w:szCs w:val="20"/>
    </w:rPr>
  </w:style>
  <w:style w:type="paragraph" w:styleId="148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149">
    <w:name w:val="Heading 3 Char"/>
    <w:basedOn w:val="132"/>
    <w:link w:val="5"/>
    <w:qFormat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0">
    <w:name w:val="Book Title"/>
    <w:basedOn w:val="132"/>
    <w:qFormat/>
    <w:uiPriority w:val="33"/>
    <w:rPr>
      <w:b/>
      <w:bCs/>
      <w:smallCaps/>
      <w:spacing w:val="5"/>
    </w:rPr>
  </w:style>
  <w:style w:type="character" w:customStyle="1" w:styleId="151">
    <w:name w:val="Heading 4 Char"/>
    <w:basedOn w:val="132"/>
    <w:link w:val="6"/>
    <w:semiHidden/>
    <w:qFormat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52">
    <w:name w:val="Subtle Reference"/>
    <w:basedOn w:val="132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153">
    <w:name w:val="Body Text 2 Char"/>
    <w:basedOn w:val="132"/>
    <w:link w:val="28"/>
    <w:qFormat/>
    <w:uiPriority w:val="99"/>
  </w:style>
  <w:style w:type="character" w:customStyle="1" w:styleId="154">
    <w:name w:val="Heading 5 Char"/>
    <w:basedOn w:val="132"/>
    <w:link w:val="7"/>
    <w:semiHidden/>
    <w:qFormat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155">
    <w:name w:val="Intense Quote Char"/>
    <w:basedOn w:val="132"/>
    <w:link w:val="140"/>
    <w:qFormat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customStyle="1" w:styleId="156">
    <w:name w:val="TOC Heading"/>
    <w:basedOn w:val="3"/>
    <w:next w:val="1"/>
    <w:semiHidden/>
    <w:unhideWhenUsed/>
    <w:qFormat/>
    <w:uiPriority w:val="39"/>
    <w:pPr>
      <w:outlineLvl w:val="9"/>
    </w:pPr>
  </w:style>
  <w:style w:type="character" w:customStyle="1" w:styleId="157">
    <w:name w:val="Body Text Char"/>
    <w:basedOn w:val="132"/>
    <w:link w:val="19"/>
    <w:qFormat/>
    <w:uiPriority w:val="99"/>
  </w:style>
  <w:style w:type="character" w:customStyle="1" w:styleId="158">
    <w:name w:val="Heading 6 Char"/>
    <w:basedOn w:val="132"/>
    <w:link w:val="8"/>
    <w:semiHidden/>
    <w:qFormat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159">
    <w:name w:val="Heading 9 Char"/>
    <w:basedOn w:val="132"/>
    <w:link w:val="11"/>
    <w:semiHidden/>
    <w:qFormat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160">
    <w:name w:val="Intense Emphasis"/>
    <w:basedOn w:val="132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161">
    <w:name w:val="Body Text 3 Char"/>
    <w:basedOn w:val="132"/>
    <w:link w:val="17"/>
    <w:qFormat/>
    <w:uiPriority w:val="99"/>
    <w:rPr>
      <w:sz w:val="16"/>
      <w:szCs w:val="16"/>
    </w:rPr>
  </w:style>
  <w:style w:type="character" w:customStyle="1" w:styleId="162">
    <w:name w:val="Heading 1 Char"/>
    <w:basedOn w:val="132"/>
    <w:link w:val="3"/>
    <w:qFormat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163">
    <w:name w:val="Intense Reference"/>
    <w:basedOn w:val="132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image" Target="media/image4.png"/><Relationship Id="rId8" Type="http://schemas.openxmlformats.org/officeDocument/2006/relationships/image" Target="media/image3.png"/><Relationship Id="rId7" Type="http://schemas.openxmlformats.org/officeDocument/2006/relationships/image" Target="media/image2.png"/><Relationship Id="rId6" Type="http://schemas.openxmlformats.org/officeDocument/2006/relationships/image" Target="media/image1.png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3" Type="http://schemas.openxmlformats.org/officeDocument/2006/relationships/fontTable" Target="fontTable.xml"/><Relationship Id="rId12" Type="http://schemas.openxmlformats.org/officeDocument/2006/relationships/numbering" Target="numbering.xml"/><Relationship Id="rId11" Type="http://schemas.openxmlformats.org/officeDocument/2006/relationships/image" Target="media/image6.png"/><Relationship Id="rId10" Type="http://schemas.openxmlformats.org/officeDocument/2006/relationships/image" Target="media/image5.png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docProps/app.xml><?xml version="1.0" encoding="utf-8"?>
<Properties xmlns="http://schemas.openxmlformats.org/officeDocument/2006/extended-properties" xmlns:vt="http://schemas.openxmlformats.org/officeDocument/2006/docPropsVTypes">
  <Pages>90</Pages>
  <Words>3116</Words>
  <Characters>3365</Characters>
  <TotalTime>5</TotalTime>
  <ScaleCrop>false</ScaleCrop>
  <LinksUpToDate>false</LinksUpToDate>
  <CharactersWithSpaces>3376</CharactersWithSpaces>
  <Application>WPS Office_12.1.0.28505_F1E327BC-269C-435d-A152-05C5408002CA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2026-09-01T17:38:00Z</dcterms:created>
  <dc:creator>leftn</dc:creator>
  <cp:lastModifiedBy>J.SL</cp:lastModifiedBy>
  <dcterms:modified xsi:type="dcterms:W3CDTF">2026-09-08T09:40:40Z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eyJoZGlkIjoiMTM0NWIzYjIzMDkyOWExZjM0YmY5MDI3NDQ1NjkwYTciLCJ1c2VySWQiOiIxMDI2Nzc2MTIzIn0=</vt:lpwstr>
  </property>
  <property fmtid="{D5CDD505-2E9C-101B-9397-08002B2CF9AE}" pid="3" name="KSOProductBuildVer">
    <vt:lpwstr>2052-12.1.0.28505</vt:lpwstr>
  </property>
  <property fmtid="{D5CDD505-2E9C-101B-9397-08002B2CF9AE}" pid="4" name="ICV">
    <vt:lpwstr>F1EB6B2869484872A07E2B2282469064_12</vt:lpwstr>
  </property>
</Properties>
</file>