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8006A1">
      <w:pPr>
        <w:keepNext/>
        <w:keepLines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/>
          <w:sz w:val="44"/>
        </w:rPr>
        <w:t>决策智能平台（DIP）技术评估汇报讲解稿</w:t>
      </w:r>
    </w:p>
    <w:p w14:paraId="2FC9795A">
      <w:r>
        <w:rPr>
          <w:rFonts w:hint="eastAsia"/>
        </w:rPr>
        <w:t>各位领导：</w:t>
      </w:r>
    </w:p>
    <w:p w14:paraId="1864A9B0">
      <w:r>
        <w:rPr>
          <w:rFonts w:hint="eastAsia"/>
        </w:rPr>
        <w:t>今天汇报的题目是《决策智能平台技术评估》，由总行科技发展部科技规划处牵头完成。为便于对照报告翻阅，我按报告的章节顺序汇报，约十分钟。</w:t>
      </w:r>
    </w:p>
    <w:p w14:paraId="6BDD6E1E">
      <w:pPr>
        <w:keepNext/>
        <w:keepLines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/>
          <w:sz w:val="32"/>
        </w:rPr>
        <w:t>一、整体结论</w:t>
      </w:r>
    </w:p>
    <w:p w14:paraId="535C8AE4">
      <w:r>
        <w:rPr>
          <w:rFonts w:hint="eastAsia"/>
        </w:rPr>
        <w:t>先说结论。本次评估采用六个维度：价值贡献度 5 分，战略匹配度 4 分，技术成熟度 4 分，战略紧迫度 3 分，引入可行度 3 分，生态开放度 3 分。整体画像可概括为：价值明确、窗口存在，但要付出治理与适配成本。按处置档位判据，DIP 处于"系统论证层"，既未触发否决线和预警线，也不具备直接全行推广的条件。建议的路径是"完善基建、系统论证、择机确立品类"：先把数据、合规与架构准备好，再用试点验证，最后才谈全行推广。</w:t>
      </w:r>
    </w:p>
    <w:p w14:paraId="459DE218">
      <w:pPr>
        <w:keepNext/>
        <w:keepLines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/>
          <w:sz w:val="32"/>
        </w:rPr>
        <w:t>二、背景与现状</w:t>
      </w:r>
    </w:p>
    <w:p w14:paraId="077D90FB">
      <w:r>
        <w:rPr>
          <w:rFonts w:hint="eastAsia"/>
        </w:rPr>
        <w:t>为什么要研究这项技术？因为银行经营决策正变得越来越复杂：变量增多、链条拉长、时效提高。而现有商业智能与数据分析平台主要回答"发生了什么""为什么发生""将会发生什么"，回答不了"应当做什么""为什么这样做""做完如何衡量"，分析与决策之间存在断层。</w:t>
      </w:r>
    </w:p>
    <w:p w14:paraId="1280533A">
      <w:r>
        <w:rPr>
          <w:rFonts w:hint="eastAsia"/>
        </w:rPr>
        <w:t>这一断层表现为四个断点：一是数据孤岛，系统间标准不一，决策依据碎片化；二是模型黑盒，可解释性不足，难以通过监管审计；三是反馈滞后，效果评估周期长，无法闭环优化；四是人工瓶颈，高价值决策依赖专家经验，难以规模化复制。四者相互叠加，单点工具只能局部缓解，无法从架构层面根治。</w:t>
      </w:r>
    </w:p>
    <w:p w14:paraId="6600F387">
      <w:pPr>
        <w:keepNext/>
        <w:keepLines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/>
          <w:sz w:val="32"/>
        </w:rPr>
        <w:t>三、技术解析</w:t>
      </w:r>
    </w:p>
    <w:p w14:paraId="193DA44E">
      <w:r>
        <w:rPr>
          <w:rFonts w:hint="eastAsia"/>
        </w:rPr>
        <w:t>决策智能平台究竟是什么？先用一句话区分："智能决策"，是用人工智能辅助做某一个判断；"决策智能"，是把决策本身作为对象来设计、管理、验证并持续优化的完整体系。为讲清它的工作方式，这里借零售行业的经典案例——沃尔玛的"啤酒与尿布"。</w:t>
      </w:r>
    </w:p>
    <w:p w14:paraId="183217C9">
      <w:r>
        <w:rPr>
          <w:rFonts w:hint="eastAsia"/>
        </w:rPr>
        <w:t>第一层是表象。啤酒和尿布经常出现在同一张小票上，周四晚上尤其明显。这只是"相关性"发现，本身不能指导行动——仅把两样摆在一起，很可能什么都不会改变，因为不知道顾客为什么这样买。</w:t>
      </w:r>
    </w:p>
    <w:p w14:paraId="2E005469">
      <w:r>
        <w:rPr>
          <w:rFonts w:hint="eastAsia"/>
        </w:rPr>
        <w:t>第二层是追问真正的原因。是买尿布的人顺便买了啤酒，还是第三种原因同时导致了两件事？分析发现，真因是周边社区的年轻父亲晚上替家里采购婴儿用品时，会顺手给自己带一件东西——啤酒只是"顺手买点自用商品"的表现之一，与尿布真正绑定的是"客群、场景、自用需求"，而不是某一款商品。这就是因果推断要解决的问题：剥离"谁、何时、为何来买"这类混杂因素，回答"如果不这样做，结果会怎样"。</w:t>
      </w:r>
    </w:p>
    <w:p w14:paraId="1665C77D">
      <w:r>
        <w:rPr>
          <w:rFonts w:hint="eastAsia"/>
        </w:rPr>
        <w:t>第三层是可检验的判断。既然真因是年轻父亲的晚间自用需求，那把啤酒换成香烟、口香糖、剃须刀，是否同样有效？这必须验证，不能凭经验拍板。</w:t>
      </w:r>
    </w:p>
    <w:p w14:paraId="021623BE">
      <w:r>
        <w:rPr>
          <w:rFonts w:hint="eastAsia"/>
        </w:rPr>
        <w:t>第四层是平台里的五步实现。第一步"获取"，接入交易流水、购物篮、时段、门店与会员标签等数据，关键在于数据要带上时间、场景、人群这些支撑因果分析的维度。第二步"解读"，看清哪些商品常被一起购买、集中在什么时段、哪类门店——它只提出好问题，不能直接下结论。第三步"建模"，先比较"尿布拉动啤酒"与"场景同时拉动两者"这类竞争性假设，再控制混杂因素估算净效应，即相同时段、相同客群下究竟带来多少真实增量，而不把本来就会发生的购买算成策略的功劳，最后细分客群与门店，找出哪类人、哪个时段最敏感。第四步"确定"，先在仿真环境做历史回放和"换成香烟会怎样"的推演，再选部分门店做小范围真实对照试验，让方案上线前就有可复核的证据。第五步"执行"，按门店、按时段分层下发并全程留痕。</w:t>
      </w:r>
    </w:p>
    <w:p w14:paraId="2D1672E5">
      <w:r>
        <w:rPr>
          <w:rFonts w:hint="eastAsia"/>
        </w:rPr>
        <w:t>第五层是反馈闭环与治理。上线后持续监测边际增量：如果香烟组增量明显低于啤酒组，说明真因可能不是某一类商品，而是"便利性与即时满足"，模型据此修正，下一轮策略随之调整。这样沉淀下来的不是"啤酒加尿布"这条规则，而是一项可复用的决策资产——"年轻父亲晚间采购场景"，可跨品类、跨门店复用，这就是"决策资产化"。</w:t>
      </w:r>
    </w:p>
    <w:p w14:paraId="0FFF67CF">
      <w:r>
        <w:rPr>
          <w:rFonts w:hint="eastAsia"/>
        </w:rPr>
        <w:t>与传统工具的区别就此清楚：报表工具告诉你"这两样经常一起被购买"，机器学习平台告诉你"这位顾客大概会不会买尿布"，而决策智能平台回答的是"该不该调、对谁调、真实增量多少、怎么验证"——差别在于它把"数据、判断、行动、复盘"连成了闭环。技术成熟度方面，Gartner 2025 年将其定位为"转型型技术"，预计 2 至 5 年内进入主流应用，技术就绪度 7 级。</w:t>
      </w:r>
    </w:p>
    <w:p w14:paraId="725E56B5">
      <w:pPr>
        <w:keepNext/>
        <w:keepLines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/>
          <w:sz w:val="32"/>
        </w:rPr>
        <w:t>四、应用场景与价值实证</w:t>
      </w:r>
    </w:p>
    <w:p w14:paraId="5892FE0F">
      <w:r>
        <w:rPr>
          <w:rFonts w:hint="eastAsia"/>
        </w:rPr>
        <w:t>应用场景集中在风险管理、营销决策、运营优化与合规审计四类，分别对应信贷审批与反欺诈反洗钱、客户分层与动态定价、智能排班与催收分配、监管报送与算法核查。落地建议先做合规敏感度低、见效快的运营类场景，再推进营销定价，最后进入信贷审批等高敏感场景。</w:t>
      </w:r>
    </w:p>
    <w:p w14:paraId="6B816266">
      <w:pPr>
        <w:rPr>
          <w:rFonts w:hint="eastAsia"/>
        </w:rPr>
      </w:pPr>
      <w:r>
        <w:rPr>
          <w:rFonts w:hint="eastAsia"/>
        </w:rPr>
        <w:t>价值实证方面，汇丰银行英国分行与 FICO 合作优化 40 个消费信贷决策场景，月均消费提升 15%、活跃率提升 2 个百分点、钱包份额提升 6 个百分点，且风险水平保持稳定；渣打银行与 Quantexa 合作，通过网络分析识别隐蔽关联关系，为一线风控提供更准、更快的反金融犯罪决策依据。两者均为境外同业，客群与监管环境存在差异，可作为方向验证，不宜直接作为本行效益预测。</w:t>
      </w:r>
    </w:p>
    <w:p w14:paraId="643142A6">
      <w:pPr>
        <w:rPr>
          <w:rFonts w:hint="eastAsia" w:asciiTheme="minorHAnsi" w:hAnsiTheme="minorHAnsi" w:eastAsiaTheme="minorEastAsia" w:cstheme="minorBidi"/>
          <w:lang w:val="en-US" w:eastAsia="zh-CN"/>
        </w:rPr>
      </w:pPr>
      <w:r>
        <w:rPr>
          <w:rFonts w:hint="eastAsia" w:asciiTheme="minorHAnsi" w:hAnsiTheme="minorHAnsi" w:eastAsiaTheme="minorEastAsia" w:cstheme="minorBidi"/>
          <w:b/>
          <w:bCs/>
          <w:lang w:val="en-US" w:eastAsia="zh-CN"/>
        </w:rPr>
        <w:t>与我行主要相关的系统：</w:t>
      </w:r>
    </w:p>
    <w:p w14:paraId="3B6D3090">
      <w:pPr>
        <w:rPr>
          <w:rFonts w:hint="default" w:asciiTheme="minorHAnsi" w:hAnsiTheme="minorHAnsi" w:eastAsiaTheme="minorEastAsia" w:cstheme="minorBidi"/>
          <w:b/>
          <w:bCs/>
          <w:lang w:val="en-US" w:eastAsia="zh-CN"/>
        </w:rPr>
      </w:pPr>
      <w:r>
        <w:rPr>
          <w:rFonts w:hint="eastAsia" w:asciiTheme="minorHAnsi" w:hAnsiTheme="minorHAnsi" w:eastAsiaTheme="minorEastAsia" w:cstheme="minorBidi"/>
          <w:b/>
          <w:bCs/>
          <w:lang w:val="en-US" w:eastAsia="zh-CN"/>
        </w:rPr>
        <w:t>1、基础数据相关系统（一站式数据服务平台、数据仓库、大数据平台、数据资产管理系统等系统）</w:t>
      </w:r>
    </w:p>
    <w:p w14:paraId="350F6A57">
      <w:pPr>
        <w:rPr>
          <w:rFonts w:hint="default" w:asciiTheme="minorHAnsi" w:hAnsiTheme="minorHAnsi" w:eastAsiaTheme="minorEastAsia" w:cstheme="minorBidi"/>
          <w:lang w:val="en-US" w:eastAsia="zh-CN"/>
        </w:rPr>
      </w:pPr>
      <w:r>
        <w:rPr>
          <w:rFonts w:hint="eastAsia" w:asciiTheme="minorHAnsi" w:hAnsiTheme="minorHAnsi" w:eastAsiaTheme="minorEastAsia" w:cstheme="minorBidi"/>
          <w:lang w:val="en-US" w:eastAsia="zh-CN"/>
        </w:rPr>
        <w:t>我行虽然在数据中台方面已有一定的基础建设，还需要不断加强数据治理，完善提升现有数据质量及数据时效，提供更精准的决策数据以使得决策支持更准确和及时。</w:t>
      </w:r>
    </w:p>
    <w:p w14:paraId="6292CCEA">
      <w:pPr>
        <w:rPr>
          <w:rFonts w:hint="eastAsia" w:asciiTheme="minorHAnsi" w:hAnsiTheme="minorHAnsi" w:eastAsiaTheme="minorEastAsia" w:cstheme="minorBidi"/>
          <w:b/>
          <w:bCs/>
          <w:lang w:val="en-US" w:eastAsia="zh-CN"/>
        </w:rPr>
      </w:pPr>
      <w:r>
        <w:rPr>
          <w:rFonts w:hint="eastAsia" w:asciiTheme="minorHAnsi" w:hAnsiTheme="minorHAnsi" w:eastAsiaTheme="minorEastAsia" w:cstheme="minorBidi"/>
          <w:b/>
          <w:bCs/>
          <w:lang w:val="en-US" w:eastAsia="zh-CN"/>
        </w:rPr>
        <w:t>2、风险评级模型智能决策管理系统</w:t>
      </w:r>
    </w:p>
    <w:p w14:paraId="211C127A">
      <w:pPr>
        <w:rPr>
          <w:rFonts w:hint="default" w:asciiTheme="minorHAnsi" w:hAnsiTheme="minorHAnsi" w:eastAsiaTheme="minorEastAsia" w:cstheme="minorBidi"/>
          <w:lang w:val="en-US" w:eastAsia="zh-CN"/>
        </w:rPr>
      </w:pPr>
      <w:r>
        <w:rPr>
          <w:rFonts w:hint="eastAsia" w:asciiTheme="minorHAnsi" w:hAnsiTheme="minorHAnsi" w:eastAsiaTheme="minorEastAsia" w:cstheme="minorBidi"/>
          <w:lang w:val="en-US" w:eastAsia="zh-CN"/>
        </w:rPr>
        <w:t>目前以汇总管理风险相关各类模型为主，并可结合AI辅助数据分析，但还缺少what-if推演及决策执行等后续能力，尚未形成一整套决策智能体系。</w:t>
      </w:r>
    </w:p>
    <w:p w14:paraId="0BF4BB2E">
      <w:pPr>
        <w:rPr>
          <w:rFonts w:hint="default" w:asciiTheme="minorHAnsi" w:hAnsiTheme="minorHAnsi" w:eastAsiaTheme="minorEastAsia" w:cstheme="minorBidi"/>
          <w:b/>
          <w:bCs/>
          <w:lang w:val="en-US" w:eastAsia="zh-CN"/>
        </w:rPr>
      </w:pPr>
      <w:r>
        <w:rPr>
          <w:rFonts w:hint="eastAsia" w:asciiTheme="minorHAnsi" w:hAnsiTheme="minorHAnsi" w:eastAsiaTheme="minorEastAsia" w:cstheme="minorBidi"/>
          <w:b/>
          <w:bCs/>
          <w:lang w:val="en-US" w:eastAsia="zh-CN"/>
        </w:rPr>
        <w:t>3、外汇运营合规管理信息系统</w:t>
      </w:r>
    </w:p>
    <w:p w14:paraId="06B1A3B4">
      <w:pPr>
        <w:rPr>
          <w:rFonts w:hint="eastAsia" w:asciiTheme="minorHAnsi" w:hAnsiTheme="minorHAnsi" w:eastAsiaTheme="minorEastAsia" w:cstheme="minorBidi"/>
          <w:lang w:val="en-US" w:eastAsia="zh-CN"/>
        </w:rPr>
      </w:pPr>
      <w:r>
        <w:rPr>
          <w:rFonts w:hint="eastAsia" w:asciiTheme="minorHAnsi" w:hAnsiTheme="minorHAnsi" w:eastAsiaTheme="minorEastAsia" w:cstheme="minorBidi"/>
          <w:lang w:val="en-US" w:eastAsia="zh-CN"/>
        </w:rPr>
        <w:t>外汇运营合规管理系统的建设通过数字化、科技化实现外汇业务资源的整合，改变了以往对柜员手工登记簿形式管理的依赖，降低了外汇运营人力的投入。系统含有决策支持板块，以客户信息及政策信息汇总展示，辅助柜员办理业务为主。</w:t>
      </w:r>
    </w:p>
    <w:p w14:paraId="3886F057">
      <w:pPr>
        <w:rPr>
          <w:rFonts w:hint="default" w:asciiTheme="minorHAnsi" w:hAnsiTheme="minorHAnsi" w:eastAsiaTheme="minorEastAsia" w:cstheme="minorBidi"/>
          <w:lang w:val="en-US" w:eastAsia="zh-CN"/>
        </w:rPr>
      </w:pPr>
      <w:r>
        <w:rPr>
          <w:rFonts w:hint="eastAsia" w:asciiTheme="minorHAnsi" w:hAnsiTheme="minorHAnsi" w:eastAsiaTheme="minorEastAsia" w:cstheme="minorBidi"/>
          <w:lang w:val="en-US" w:eastAsia="zh-CN"/>
        </w:rPr>
        <w:t>当然还有更多相关系统可以进一步细化梳理，通过接入DIP平台进一步优化决策提升效率。</w:t>
      </w:r>
    </w:p>
    <w:p w14:paraId="65C8BBF2">
      <w:pPr>
        <w:keepNext/>
        <w:keepLines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/>
          <w:sz w:val="32"/>
        </w:rPr>
        <w:t>五、风险与挑战</w:t>
      </w:r>
    </w:p>
    <w:p w14:paraId="1BF78147">
      <w:r>
        <w:rPr>
          <w:rFonts w:hint="eastAsia"/>
        </w:rPr>
        <w:t>合规有三项硬约束：个人金融信息本地化与最小必要、自动化决策的知情权与拒绝权、模型可解释且无歧视；归纳为两条底线：境内个人金融数据不得违规出境，自动化决策必须可解释、可审计、可拒绝。</w:t>
      </w:r>
    </w:p>
    <w:p w14:paraId="4FF30916">
      <w:r>
        <w:rPr>
          <w:rFonts w:hint="eastAsia"/>
        </w:rPr>
        <w:t>风险方面共五类：模型可解释性不足与人才短缺概率较高，需投产前配置能力；数据出境与安全攻击面扩大影响较高，需在架构层前置隔离；供应商锁定需以开放标准和迁移能力对冲。按短板原则，引入可行度评定为 3 分——反映的不是技术不可用，而是需跨越架构改造、合规评估、人才建设三道门槛。</w:t>
      </w:r>
    </w:p>
    <w:p w14:paraId="30AD4D6C">
      <w:pPr>
        <w:keepNext/>
        <w:keepLines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/>
          <w:sz w:val="32"/>
        </w:rPr>
        <w:t>六、市场格局与竞争生态</w:t>
      </w:r>
    </w:p>
    <w:p w14:paraId="2893860F">
      <w:r>
        <w:rPr>
          <w:rFonts w:hint="eastAsia"/>
        </w:rPr>
        <w:t>据 SNS Insider 数据，2025 年全球决策智能市场规模约 170 亿美元，预计 2035 年达 889.8 亿美元，复合增长率 18.0%；银行、金融、保险约占 24% 份额，是最大单一行业客户。2026 年 1 月 Gartner 发布首版魔力象限，收录 17 家厂商，SAS、FICO 位列领导者，印证该品类已从概念走向商业化。生态方面，开源组件与厂商专有引擎并存，信创适配仍在推进，生态开放度评定为 3 分，建议以"开放组件＋保留迁移能力"降低锁定风险。</w:t>
      </w:r>
    </w:p>
    <w:p w14:paraId="7CFA199A">
      <w:pPr>
        <w:keepNext/>
        <w:keepLines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/>
          <w:sz w:val="32"/>
        </w:rPr>
        <w:t>七、战略定位与匹配度</w:t>
      </w:r>
    </w:p>
    <w:p w14:paraId="015E0241">
      <w:r>
        <w:rPr>
          <w:rFonts w:hint="eastAsia"/>
        </w:rPr>
        <w:t>从战略看，我行数智化转型 2024 年起步、2025 年提升、2026 年全面深化，明确人工智能"全员、全息、全链条"深度渗透，并将科技金融列为战略第一赛道，DIP 的端到端决策闭环、风险与收益联合优化等能力与之高度同向。从基础看，2025 年科技投入 76.12 亿元，累计建设超 440 个 AI 应用场景，已建立"1+6"模型风险管理组织与三道防线，"天眼"等监测体系可与决策闭环衔接。差距在于：决策能力呈点状分布，尚缺情景推演与执行环节；战略未点名 DIP 品类，预算路径不明确；复合型人才不足。综合评定战略匹配度 4 分，属于方向契合下的能力升级。</w:t>
      </w:r>
    </w:p>
    <w:p w14:paraId="1157DAD1">
      <w:pPr>
        <w:keepNext/>
        <w:keepLines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/>
          <w:sz w:val="32"/>
        </w:rPr>
        <w:t>八、综合评估结论</w:t>
      </w:r>
    </w:p>
    <w:p w14:paraId="1693D79D">
      <w:r>
        <w:rPr>
          <w:rFonts w:hint="eastAsia"/>
        </w:rPr>
        <w:t>六维汇总与开场结论一致：价值 5 分、战略匹配 4 分、技术成熟 4 分、紧迫度 3 分、引入可行度 3 分、生态开放度 3 分。该组合未触发否决线与预警线，与"系统论证层"的判据完全吻合——既不宜迟疑不引入，也不宜仓促全行推广。</w:t>
      </w:r>
      <w:bookmarkStart w:id="0" w:name="_GoBack"/>
      <w:bookmarkEnd w:id="0"/>
    </w:p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Noto Sans CJK SC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documentProtection w:enforcement="0"/>
  <w:defaultTabStop w:val="420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000000"/>
    <w:rsid w:val="6043660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1346</Words>
  <Characters>1354</Characters>
  <TotalTime>2</TotalTime>
  <ScaleCrop>false</ScaleCrop>
  <LinksUpToDate>false</LinksUpToDate>
  <CharactersWithSpaces>1367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2026-09-18T11:29:00Z</dcterms:created>
  <dc:creator>admin</dc:creator>
  <cp:lastModifiedBy>jay</cp:lastModifiedBy>
  <dcterms:modified xsi:type="dcterms:W3CDTF">2026-09-18T04:42:22Z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eyJoZGlkIjoiZTg5YWFhYmRhNGY5OGNiZDExYzQxNmUzMTllNDQ0Y2UiLCJ1c2VySWQiOiIxNjA4MDgyMzQ5In0=</vt:lpwstr>
  </property>
  <property fmtid="{D5CDD505-2E9C-101B-9397-08002B2CF9AE}" pid="3" name="KSOProductBuildVer">
    <vt:lpwstr>2052-12.1.0.28505</vt:lpwstr>
  </property>
  <property fmtid="{D5CDD505-2E9C-101B-9397-08002B2CF9AE}" pid="4" name="ICV">
    <vt:lpwstr>67FC184D63904EE092993E2A128F094E_12</vt:lpwstr>
  </property>
</Properties>
</file>