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SimHei" w:hAnsi="SimHei" w:eastAsia="SimHei" w:cs="SimHei"/>
          <w:b/>
          <w:sz w:val="32"/>
        </w:rPr>
        <w:t>前沿技术专题研究报告</w:t>
      </w:r>
    </w:p>
    <w:p>
      <w:pPr>
        <w:jc w:val="center"/>
      </w:pPr>
      <w:r>
        <w:rPr>
          <w:rFonts w:ascii="SimHei" w:hAnsi="SimHei" w:eastAsia="SimHei" w:cs="SimHei"/>
          <w:b/>
          <w:sz w:val="28"/>
        </w:rPr>
        <w:t>决策智能平台（Decision Intelligence Platform, DIP）</w:t>
      </w:r>
    </w:p>
    <w:p>
      <w:pPr>
        <w:spacing w:after="300"/>
        <w:jc w:val="center"/>
      </w:pPr>
      <w:r>
        <w:rPr>
          <w:rFonts w:ascii="SimSun" w:hAnsi="SimSun" w:eastAsia="SimSun" w:cs="SimSun"/>
          <w:b w:val="0"/>
          <w:sz w:val="21"/>
        </w:rPr>
        <w:t>储备库层级：论证层（系统论证）｜编制：科技规划处｜日期：2026年8月17日（v3.1（同业案例修订：替换为可公开核实的实名案例））</w:t>
      </w:r>
    </w:p>
    <w:p>
      <w:pPr>
        <w:pStyle w:val="Heading1"/>
        <w:spacing w:before="280" w:after="160"/>
      </w:pPr>
      <w:r>
        <w:rPr>
          <w:rFonts w:ascii="SimHei" w:hAnsi="SimHei" w:eastAsia="SimHei" w:cs="SimHei"/>
          <w:b/>
          <w:color w:val="000000"/>
          <w:sz w:val="28"/>
        </w:rPr>
        <w:t>一、执行摘要</w:t>
      </w:r>
    </w:p>
    <w:p>
      <w:pPr>
        <w:spacing w:after="120" w:line="276" w:lineRule="auto"/>
        <w:ind w:firstLine="480"/>
      </w:pPr>
      <w:r>
        <w:rPr>
          <w:rFonts w:ascii="SimSun" w:hAnsi="SimSun" w:eastAsia="SimSun" w:cs="SimSun"/>
          <w:b w:val="0"/>
          <w:sz w:val="24"/>
        </w:rPr>
        <w:t>决策智能平台（DIP）已从新兴概念进入企业级平台化阶段：Gartner于2026年1月26日发布首版《决策智能平台魔力象限》（文档编号G00827619），标志该赛道从小众试点转向战略级使能技术[1][7]；Gartner同期发布的战略规划假设显示，到2030年，经明确建模的决策可信度将比无序决策高出五倍、决策速度提升80%[7]。银行业是DIP最贴合的原生市场——授信、风控反欺诈、催收、营销定价等核心业务本质即决策，魔力象限领导者中与银行相关性最强的FICO、SAS均已在信贷与风控场景深耕数十年[2][4][7]。2026年8月4日，Gartner分析师就DIP的一场专题技术交流进一步验证了银行业的落地路径：应遵循"业务系统内置局部决策模块→抽取独立DIP平台"的两阶段演进策略，优先切入产品动态定价、额度配置等高ROI的业务执行层场景，并以"大模型前端交互＋规则引擎/运筹求解器核心校验＋熔断兜底"的混合架构规避大模型幻觉与黑盒风险[8][9]。本报告在原有魔力象限方法论研究基础上，按项目十一章深度结构标准补充技术原理、架构分层、监管映射、风险量化与同业实践内容。研判结论维持"论证层／系统论证"定档，四维评级（技术成熟度中／与我行契合度高／潜在业务价值高／引入风险与门槛中）不变；核心处置建议是以9个月为期启动决策资产盘点与双场景POC。</w:t>
      </w:r>
    </w:p>
    <w:p>
      <w:pPr>
        <w:pStyle w:val="Heading1"/>
        <w:spacing w:before="280" w:after="160"/>
      </w:pPr>
      <w:r>
        <w:rPr>
          <w:rFonts w:ascii="SimHei" w:hAnsi="SimHei" w:eastAsia="SimHei" w:cs="SimHei"/>
          <w:b/>
          <w:color w:val="000000"/>
          <w:sz w:val="28"/>
        </w:rPr>
        <w:t>二、立项说明与研究方法</w:t>
      </w:r>
    </w:p>
    <w:p>
      <w:pPr>
        <w:spacing w:after="120" w:line="276" w:lineRule="auto"/>
        <w:ind w:firstLine="480"/>
      </w:pPr>
      <w:r>
        <w:rPr>
          <w:rFonts w:ascii="SimSun" w:hAnsi="SimSun" w:eastAsia="SimSun" w:cs="SimSun"/>
          <w:b w:val="0"/>
          <w:sz w:val="24"/>
        </w:rPr>
        <w:t>决策智能平台（DIP）是融合显式决策建模、AI增强与分析能力，以支持、增强或自动化决策的平台类别：把"决策"本身作为可设计、可复用、可追溯、可优化的一等对象管理，并以全过程留痕支撑复盘与合规。银行的核心业务本质上就是决策业务——授信审批、风控反欺诈、催收策略、营销与定价皆是，DIP因此是与本行业务本质契合度最高的新增条目之一。本条目为Gartner分析师2026年推荐新增（033号）。</w:t>
      </w:r>
    </w:p>
    <w:p>
      <w:pPr>
        <w:spacing w:after="120" w:line="276" w:lineRule="auto"/>
        <w:ind w:firstLine="480"/>
      </w:pPr>
      <w:r>
        <w:rPr>
          <w:rFonts w:ascii="SimSun" w:hAnsi="SimSun" w:eastAsia="SimSun" w:cs="SimSun"/>
          <w:b w:val="0"/>
          <w:sz w:val="24"/>
        </w:rPr>
        <w:t>研究方法与信息采集节奏：首轮信息采集截至2026年7月8日，完成条目初判；2026年7月15日结合Gartner《决策智能平台魔力象限》原文完成方法论专章深化（v2.0），随后于2026年7月15日同步完成图注措辞的格式修订（v2.1）。本轮（2026年8月17日）按项目十一章深度结构标准（FA001第四节第13条）系统补充技术原理、架构分层、监管映射、风险量化与同业案例内容，并纳入2026年8月Gartner分析师决策智能平台专题技术交流纪要及配套技术分析报告（行内知识库留存，非公开信源），进一步验证银行业落地路径的现实性。</w:t>
      </w:r>
    </w:p>
    <w:p>
      <w:pPr>
        <w:pStyle w:val="Heading1"/>
        <w:spacing w:before="280" w:after="160"/>
      </w:pPr>
      <w:r>
        <w:rPr>
          <w:rFonts w:ascii="SimHei" w:hAnsi="SimHei" w:eastAsia="SimHei" w:cs="SimHei"/>
          <w:b/>
          <w:color w:val="000000"/>
          <w:sz w:val="28"/>
        </w:rPr>
        <w:t>三、技术背景与基本原理</w:t>
      </w:r>
    </w:p>
    <w:p>
      <w:pPr>
        <w:pStyle w:val="Heading2"/>
        <w:spacing w:before="220" w:after="120"/>
      </w:pPr>
      <w:r>
        <w:rPr>
          <w:rFonts w:ascii="SimHei" w:hAnsi="SimHei" w:eastAsia="SimHei" w:cs="SimHei"/>
          <w:b/>
          <w:color w:val="000000"/>
          <w:sz w:val="25"/>
        </w:rPr>
        <w:t>3.1 问题背景</w:t>
      </w:r>
    </w:p>
    <w:p>
      <w:pPr>
        <w:spacing w:after="120" w:line="276" w:lineRule="auto"/>
        <w:ind w:firstLine="480"/>
      </w:pPr>
      <w:r>
        <w:rPr>
          <w:rFonts w:ascii="SimSun" w:hAnsi="SimSun" w:eastAsia="SimSun" w:cs="SimSun"/>
          <w:b w:val="0"/>
          <w:sz w:val="24"/>
        </w:rPr>
        <w:t>传统的商业智能（BI）与数据分析平台止步于描述性、诊断性乃至预测性分析——回答"发生了什么""为什么发生""将发生什么"，但在生成报表或模型预测结果之后，最终的决策制定与系统操作仍严重依赖人工，分析系统与决策执行系统之间存在"物理隔离"[9][10]。这一断层在银行的具体业务场景中表现为：风控或业务人员需要把模型输出的评分、预测结果人工转译为具体的准入、拦截或催收动作——转译环节既拉长决策周期（一项新策略从"评审通过"到"上线生效"往往需要人工排期与系统配置，短则数周、长则数月），也造成决策口径不统一（不同业务人员面对同一份预测结果可能给出不同的处置决定），且转译过程本身通常不留痕，一旦出现策略事故，难以追溯"当时依据什么判断"。DIP要解决的正是这一"分析—决策—行动"之间的断层，通过历史数据、预测模型与业务规则的有机融合，直接给出系统推荐的最优行动方案，并赋予系统自动或半自动执行决策的能力[9][10]。</w:t>
      </w:r>
    </w:p>
    <w:p>
      <w:pPr>
        <w:pStyle w:val="Heading2"/>
        <w:spacing w:before="220" w:after="120"/>
      </w:pPr>
      <w:r>
        <w:rPr>
          <w:rFonts w:ascii="SimHei" w:hAnsi="SimHei" w:eastAsia="SimHei" w:cs="SimHei"/>
          <w:b/>
          <w:color w:val="000000"/>
          <w:sz w:val="25"/>
        </w:rPr>
        <w:t>3.2 核心定义与概念界定</w:t>
      </w:r>
    </w:p>
    <w:p>
      <w:pPr>
        <w:spacing w:after="120" w:line="276" w:lineRule="auto"/>
        <w:ind w:firstLine="480"/>
      </w:pPr>
      <w:r>
        <w:rPr>
          <w:rFonts w:ascii="SimSun" w:hAnsi="SimSun" w:eastAsia="SimSun" w:cs="SimSun"/>
          <w:b w:val="0"/>
          <w:sz w:val="24"/>
        </w:rPr>
        <w:t>Gartner对DIP的评估口径是：交付以决策为中心的架构，将显式决策建模、AI驱动的增强与自动化、规模化治理相结合[1][2]。从数据分析技术演进的角度看，业界通常将其划分为四个层次：描述性分析回答"发生了什么"，诊断性分析回答"为什么会发生"，预测性分析回答"将发生什么"，指示性/规范性分析回答"应该做什么"——DIP正是"指示性分析"的直接落脚点[9][10]。据行业普遍认识，决策智能（DI）概念最早在2020至2021年间被提出，并与数据分析技术的演进同步发展（此为背景知识，非本轮核实原始出处）[9]。</w:t>
      </w:r>
    </w:p>
    <w:p>
      <w:pPr>
        <w:spacing w:after="120" w:line="276" w:lineRule="auto"/>
        <w:ind w:firstLine="480"/>
      </w:pPr>
      <w:r>
        <w:rPr>
          <w:rFonts w:ascii="SimSun" w:hAnsi="SimSun" w:eastAsia="SimSun" w:cs="SimSun"/>
          <w:b w:val="0"/>
          <w:sz w:val="24"/>
        </w:rPr>
        <w:t>范式变化有三：从分散的分析报表，到以决策为中心、可建模可复用的决策资产；从人工经验决策，到AI增强与自动化的决策闭环；从事后归因，到决策全过程留痕与持续优化。与传统规则引擎/决策引擎的区别在于"决策资产化"：规则引擎执行决策逻辑，DIP还管理决策的设计（决策建模语言）、仿真（上线前反事实推演）、监控（决策效果追踪）与治理（版本、审批、偏见检测），构成决策的全生命周期[2][5]。</w:t>
      </w:r>
    </w:p>
    <w:p>
      <w:pPr>
        <w:pStyle w:val="Heading2"/>
        <w:spacing w:before="220" w:after="120"/>
      </w:pPr>
      <w:r>
        <w:rPr>
          <w:rFonts w:ascii="SimHei" w:hAnsi="SimHei" w:eastAsia="SimHei" w:cs="SimHei"/>
          <w:b/>
          <w:color w:val="000000"/>
          <w:sz w:val="25"/>
        </w:rPr>
        <w:t>3.3 技术原理与关键机制</w:t>
      </w:r>
    </w:p>
    <w:p>
      <w:pPr>
        <w:spacing w:after="120" w:line="276" w:lineRule="auto"/>
        <w:ind w:firstLine="480"/>
      </w:pPr>
      <w:r>
        <w:rPr>
          <w:rFonts w:ascii="SimSun" w:hAnsi="SimSun" w:eastAsia="SimSun" w:cs="SimSun"/>
          <w:b w:val="0"/>
          <w:sz w:val="24"/>
        </w:rPr>
        <w:t>DIP并非依赖单一算法，而是强调"复合性AI"（Composite AI）的运用，通常融合机器学习与深度学习模型、传统规则判断（Rule Engine）与约束条件求解器、运筹学优化算法（Operations Research）、以及大语言模型（LLM）与生成式AI技术[9][10]。其核心工作流可归纳为五个步骤，形成闭环：</w:t>
      </w:r>
    </w:p>
    <w:p>
      <w:pPr>
        <w:spacing w:after="100" w:line="276" w:lineRule="auto"/>
        <w:ind w:left="240"/>
      </w:pPr>
      <w:r>
        <w:rPr>
          <w:rFonts w:ascii="SimSun" w:hAnsi="SimSun" w:eastAsia="SimSun" w:cs="SimSun"/>
          <w:b w:val="0"/>
          <w:sz w:val="24"/>
        </w:rPr>
        <w:t>－ Capture（获取）：通过数据收集、共享、提取、转换与集成技术，获取当下业务场景的情境数据，常辅以AI增强的数据管理能力[8][9]。</w:t>
      </w:r>
    </w:p>
    <w:p>
      <w:pPr>
        <w:spacing w:after="100" w:line="276" w:lineRule="auto"/>
        <w:ind w:left="240"/>
      </w:pPr>
      <w:r>
        <w:rPr>
          <w:rFonts w:ascii="SimSun" w:hAnsi="SimSun" w:eastAsia="SimSun" w:cs="SimSun"/>
          <w:b w:val="0"/>
          <w:sz w:val="24"/>
        </w:rPr>
        <w:t>－ Interpret（解读）：通过数据可视化、BI看板与机器学习的分类/回归模型，解构和剖析当前的异常或现状[8][9]。</w:t>
      </w:r>
    </w:p>
    <w:p>
      <w:pPr>
        <w:spacing w:after="100" w:line="276" w:lineRule="auto"/>
        <w:ind w:left="240"/>
      </w:pPr>
      <w:r>
        <w:rPr>
          <w:rFonts w:ascii="SimSun" w:hAnsi="SimSun" w:eastAsia="SimSun" w:cs="SimSun"/>
          <w:b w:val="0"/>
          <w:sz w:val="24"/>
        </w:rPr>
        <w:t>－ Model（建模）：全流程最核心的环节，针对特定业务决策建立数字化模型，识别不确定性条件下的多条可行行动路径，分析因果关系与条件依赖，进行情境规划（Scenario Planning），主要依赖仿真/数字孪生、预测性分析，并配合符号AI、运筹优化算法与求解器[8][9]。</w:t>
      </w:r>
    </w:p>
    <w:p>
      <w:pPr>
        <w:spacing w:after="100" w:line="276" w:lineRule="auto"/>
        <w:ind w:left="240"/>
      </w:pPr>
      <w:r>
        <w:rPr>
          <w:rFonts w:ascii="SimSun" w:hAnsi="SimSun" w:eastAsia="SimSun" w:cs="SimSun"/>
          <w:b w:val="0"/>
          <w:sz w:val="24"/>
        </w:rPr>
        <w:t>－ Resolve（确定）：将Model阶段生成的通用策略放回具体的实时情景中，平衡动态条件约束进行个性化微调或"What-if"假设分析，计算出系统可接受的最优行动方案[8][9]。</w:t>
      </w:r>
    </w:p>
    <w:p>
      <w:pPr>
        <w:spacing w:after="100" w:line="276" w:lineRule="auto"/>
        <w:ind w:left="240"/>
      </w:pPr>
      <w:r>
        <w:rPr>
          <w:rFonts w:ascii="SimSun" w:hAnsi="SimSun" w:eastAsia="SimSun" w:cs="SimSun"/>
          <w:b w:val="0"/>
          <w:sz w:val="24"/>
        </w:rPr>
        <w:t>－ Execute（执行）：执行具体的决策行动，系统可直接向其他业务系统下发调用指令、自动执行，或针对高风险决策发出审批警报等待人机协同，并将决策结果存回数据库，形成闭环学习[8][9]。</w:t>
      </w:r>
    </w:p>
    <w:p>
      <w:pPr>
        <w:spacing w:after="120" w:line="276" w:lineRule="auto"/>
        <w:ind w:firstLine="480"/>
      </w:pPr>
      <w:r>
        <w:rPr>
          <w:rFonts w:ascii="SimSun" w:hAnsi="SimSun" w:eastAsia="SimSun" w:cs="SimSun"/>
          <w:b w:val="0"/>
          <w:sz w:val="24"/>
        </w:rPr>
        <w:t>大语言模型的兴起强化了系统接受"非确定性"的能力，但金融业高度合规、要求精确性，必须通过混合技术架构规避大模型先天的"黑盒"与"幻觉"风险[8][9]：大模型定位为"前端/交互层"，负责理解用户自然语言意图、生成决策结果的解释理由、并根据历史上下文生成初始粗略计划；决策规则引擎、符号AI或运筹学约束求解器作为"核心校验层"，对大模型生成的初始计划进行严格的量化指标与边界验证，未通过校验的方案不得进入生产执行；在需要高速自动执行的场景（如实时反欺诈），若方案被规则层过滤，系统立即切入由传统硬编码或规则引擎沉淀出的"熔断方案"（Fail-safe Plan）兜底，避免流程停顿；此外还可引入独立于大模型的"校验智能体"（Validation Agent），以模型套模型的方式对复杂决策计划进行二层审核[8][9]。下图为银行决策系统的三层混合决策智能框架示意。</w:t>
      </w:r>
    </w:p>
    <w:p>
      <w:pPr>
        <w:jc w:val="center"/>
      </w:pPr>
      <w:r>
        <w:drawing>
          <wp:inline xmlns:a="http://schemas.openxmlformats.org/drawingml/2006/main" xmlns:pic="http://schemas.openxmlformats.org/drawingml/2006/picture">
            <wp:extent cx="5577840" cy="3113213"/>
            <wp:docPr id="1" name="Picture 1"/>
            <wp:cNvGraphicFramePr>
              <a:graphicFrameLocks noChangeAspect="1"/>
            </wp:cNvGraphicFramePr>
            <a:graphic>
              <a:graphicData uri="http://schemas.openxmlformats.org/drawingml/2006/picture">
                <pic:pic>
                  <pic:nvPicPr>
                    <pic:cNvPr id="0" name="hybrid-decision-intelligence-architecture.jpg"/>
                    <pic:cNvPicPr/>
                  </pic:nvPicPr>
                  <pic:blipFill>
                    <a:blip r:embed="rId9"/>
                    <a:stretch>
                      <a:fillRect/>
                    </a:stretch>
                  </pic:blipFill>
                  <pic:spPr>
                    <a:xfrm>
                      <a:off x="0" y="0"/>
                      <a:ext cx="5577840" cy="3113213"/>
                    </a:xfrm>
                    <a:prstGeom prst="rect"/>
                  </pic:spPr>
                </pic:pic>
              </a:graphicData>
            </a:graphic>
          </wp:inline>
        </w:drawing>
      </w:r>
    </w:p>
    <w:p>
      <w:pPr>
        <w:spacing w:after="200"/>
        <w:jc w:val="center"/>
      </w:pPr>
      <w:r>
        <w:rPr>
          <w:rFonts w:ascii="SimSun" w:hAnsi="SimSun" w:eastAsia="SimSun" w:cs="SimSun"/>
          <w:b w:val="0"/>
          <w:color w:val="595959"/>
          <w:sz w:val="19"/>
        </w:rPr>
        <w:t>图1  银行决策系统三层混合决策智能（DIP）框架示意图（自制，据Gartner分析师2026年8月4日现场交流内容整理[8][9]）</w:t>
      </w:r>
    </w:p>
    <w:p>
      <w:pPr>
        <w:pStyle w:val="Heading2"/>
        <w:spacing w:before="220" w:after="120"/>
      </w:pPr>
      <w:r>
        <w:rPr>
          <w:rFonts w:ascii="SimHei" w:hAnsi="SimHei" w:eastAsia="SimHei" w:cs="SimHei"/>
          <w:b/>
          <w:color w:val="000000"/>
          <w:sz w:val="25"/>
        </w:rPr>
        <w:t>3.4 与既有范式的本质区别</w:t>
      </w:r>
    </w:p>
    <w:tbl>
      <w:tblPr>
        <w:tblW w:type="auto" w:w="0"/>
        <w:jc w:val="center"/>
        <w:tblLayout w:type="fixed"/>
        <w:tblLook w:firstColumn="1" w:firstRow="1" w:lastColumn="0" w:lastRow="0" w:noHBand="0" w:noVBand="1" w:val="04A0"/>
      </w:tblPr>
      <w:tblGrid>
        <w:gridCol w:w="3009"/>
        <w:gridCol w:w="3009"/>
        <w:gridCol w:w="3009"/>
      </w:tblGrid>
      <w:tr>
        <w:tc>
          <w:tcPr>
            <w:tcW w:type="dxa" w:w="1836"/>
            <w:tcMar>
              <w:top w:w="60" w:type="dxa"/>
              <w:bottom w:w="60" w:type="dxa"/>
              <w:left w:w="100" w:type="dxa"/>
              <w:right w:w="100" w:type="dxa"/>
            </w:tcMar>
            <w:shd w:val="clear" w:color="auto" w:fill="DCE6F1"/>
            <w:tcBorders>
              <w:top w:val="single" w:sz="2" w:color="999999"/>
              <w:left w:val="single" w:sz="2" w:color="999999"/>
              <w:bottom w:val="single" w:sz="2" w:color="999999"/>
              <w:right w:val="single" w:sz="2" w:color="999999"/>
            </w:tcBorders>
          </w:tcPr>
          <w:p>
            <w:pPr>
              <w:spacing w:after="40"/>
              <w:jc w:val="center"/>
            </w:pPr>
            <w:r/>
            <w:r>
              <w:rPr>
                <w:rFonts w:ascii="SimSun" w:hAnsi="SimSun" w:eastAsia="SimSun" w:cs="SimSun"/>
                <w:b/>
                <w:sz w:val="21"/>
              </w:rPr>
              <w:t>对比维度</w:t>
            </w:r>
          </w:p>
        </w:tc>
        <w:tc>
          <w:tcPr>
            <w:tcW w:type="dxa" w:w="3306"/>
            <w:tcMar>
              <w:top w:w="60" w:type="dxa"/>
              <w:bottom w:w="60" w:type="dxa"/>
              <w:left w:w="100" w:type="dxa"/>
              <w:right w:w="100" w:type="dxa"/>
            </w:tcMar>
            <w:shd w:val="clear" w:color="auto" w:fill="DCE6F1"/>
            <w:tcBorders>
              <w:top w:val="single" w:sz="2" w:color="999999"/>
              <w:left w:val="single" w:sz="2" w:color="999999"/>
              <w:bottom w:val="single" w:sz="2" w:color="999999"/>
              <w:right w:val="single" w:sz="2" w:color="999999"/>
            </w:tcBorders>
          </w:tcPr>
          <w:p>
            <w:pPr>
              <w:spacing w:after="40"/>
              <w:jc w:val="center"/>
            </w:pPr>
            <w:r/>
            <w:r>
              <w:rPr>
                <w:rFonts w:ascii="SimSun" w:hAnsi="SimSun" w:eastAsia="SimSun" w:cs="SimSun"/>
                <w:b/>
                <w:sz w:val="21"/>
              </w:rPr>
              <w:t>传统BI/规则引擎</w:t>
            </w:r>
          </w:p>
        </w:tc>
        <w:tc>
          <w:tcPr>
            <w:tcW w:type="dxa" w:w="3857"/>
            <w:tcMar>
              <w:top w:w="60" w:type="dxa"/>
              <w:bottom w:w="60" w:type="dxa"/>
              <w:left w:w="100" w:type="dxa"/>
              <w:right w:w="100" w:type="dxa"/>
            </w:tcMar>
            <w:shd w:val="clear" w:color="auto" w:fill="DCE6F1"/>
            <w:tcBorders>
              <w:top w:val="single" w:sz="2" w:color="999999"/>
              <w:left w:val="single" w:sz="2" w:color="999999"/>
              <w:bottom w:val="single" w:sz="2" w:color="999999"/>
              <w:right w:val="single" w:sz="2" w:color="999999"/>
            </w:tcBorders>
          </w:tcPr>
          <w:p>
            <w:pPr>
              <w:spacing w:after="40"/>
              <w:jc w:val="center"/>
            </w:pPr>
            <w:r/>
            <w:r>
              <w:rPr>
                <w:rFonts w:ascii="SimSun" w:hAnsi="SimSun" w:eastAsia="SimSun" w:cs="SimSun"/>
                <w:b/>
                <w:sz w:val="21"/>
              </w:rPr>
              <w:t>DIP决策智能平台</w:t>
            </w:r>
          </w:p>
        </w:tc>
      </w:tr>
      <w:tr>
        <w:tc>
          <w:tcPr>
            <w:tcW w:type="dxa" w:w="1836"/>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19"/>
              </w:rPr>
              <w:t>决策产出</w:t>
            </w:r>
          </w:p>
        </w:tc>
        <w:tc>
          <w:tcPr>
            <w:tcW w:type="dxa" w:w="3306"/>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19"/>
              </w:rPr>
              <w:t>报表、看板、模型预测分数，需人工转译为行动</w:t>
            </w:r>
          </w:p>
        </w:tc>
        <w:tc>
          <w:tcPr>
            <w:tcW w:type="dxa" w:w="3857"/>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19"/>
              </w:rPr>
              <w:t>直接输出可执行的行动方案，支持自动/半自动执行</w:t>
            </w:r>
          </w:p>
        </w:tc>
      </w:tr>
      <w:tr>
        <w:tc>
          <w:tcPr>
            <w:tcW w:type="dxa" w:w="1836"/>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19"/>
              </w:rPr>
              <w:t>执行方式</w:t>
            </w:r>
          </w:p>
        </w:tc>
        <w:tc>
          <w:tcPr>
            <w:tcW w:type="dxa" w:w="3306"/>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19"/>
              </w:rPr>
              <w:t>分析与执行系统分离，人工是唯一的转译与执行环节</w:t>
            </w:r>
          </w:p>
        </w:tc>
        <w:tc>
          <w:tcPr>
            <w:tcW w:type="dxa" w:w="3857"/>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19"/>
              </w:rPr>
              <w:t>分析—决策—行动闭环，系统可直接调用业务接口执行</w:t>
            </w:r>
          </w:p>
        </w:tc>
      </w:tr>
      <w:tr>
        <w:tc>
          <w:tcPr>
            <w:tcW w:type="dxa" w:w="1836"/>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19"/>
              </w:rPr>
              <w:t>决策留痕</w:t>
            </w:r>
          </w:p>
        </w:tc>
        <w:tc>
          <w:tcPr>
            <w:tcW w:type="dxa" w:w="3306"/>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19"/>
              </w:rPr>
              <w:t>通常不系统留痕，事后难以追溯判断依据</w:t>
            </w:r>
          </w:p>
        </w:tc>
        <w:tc>
          <w:tcPr>
            <w:tcW w:type="dxa" w:w="3857"/>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19"/>
              </w:rPr>
              <w:t>全过程留痕，支撑可解释、可审计与合规复盘</w:t>
            </w:r>
          </w:p>
        </w:tc>
      </w:tr>
      <w:tr>
        <w:tc>
          <w:tcPr>
            <w:tcW w:type="dxa" w:w="1836"/>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19"/>
              </w:rPr>
              <w:t>迭代方式</w:t>
            </w:r>
          </w:p>
        </w:tc>
        <w:tc>
          <w:tcPr>
            <w:tcW w:type="dxa" w:w="3306"/>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19"/>
              </w:rPr>
              <w:t>策略变更需人工评审+上线观察，周期长、风险不可控</w:t>
            </w:r>
          </w:p>
        </w:tc>
        <w:tc>
          <w:tcPr>
            <w:tcW w:type="dxa" w:w="3857"/>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19"/>
              </w:rPr>
              <w:t>上线前以历史数据回放与压力情景仿真验证，先验证后上线</w:t>
            </w:r>
          </w:p>
        </w:tc>
      </w:tr>
      <w:tr>
        <w:tc>
          <w:tcPr>
            <w:tcW w:type="dxa" w:w="1836"/>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19"/>
              </w:rPr>
              <w:t>AI融合程度</w:t>
            </w:r>
          </w:p>
        </w:tc>
        <w:tc>
          <w:tcPr>
            <w:tcW w:type="dxa" w:w="3306"/>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19"/>
              </w:rPr>
              <w:t>规则引擎为主，机器学习多为独立预测模块</w:t>
            </w:r>
          </w:p>
        </w:tc>
        <w:tc>
          <w:tcPr>
            <w:tcW w:type="dxa" w:w="3857"/>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19"/>
              </w:rPr>
              <w:t>规则+机器学习+运筹优化+大模型复合融合（Composite AI）</w:t>
            </w:r>
          </w:p>
        </w:tc>
      </w:tr>
      <w:tr>
        <w:tc>
          <w:tcPr>
            <w:tcW w:type="dxa" w:w="1836"/>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19"/>
              </w:rPr>
              <w:t>幻觉/黑盒管控</w:t>
            </w:r>
          </w:p>
        </w:tc>
        <w:tc>
          <w:tcPr>
            <w:tcW w:type="dxa" w:w="3306"/>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19"/>
              </w:rPr>
              <w:t>不涉及大模型，无此类风险</w:t>
            </w:r>
          </w:p>
        </w:tc>
        <w:tc>
          <w:tcPr>
            <w:tcW w:type="dxa" w:w="3857"/>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19"/>
              </w:rPr>
              <w:t>大模型仅作前端交互，核心决策由规则/求解器校验+熔断机制兜底</w:t>
            </w:r>
          </w:p>
        </w:tc>
      </w:tr>
    </w:tbl>
    <w:p>
      <w:pPr>
        <w:spacing w:after="80"/>
      </w:pPr>
    </w:p>
    <w:p>
      <w:pPr>
        <w:pStyle w:val="Heading2"/>
        <w:spacing w:before="220" w:after="120"/>
      </w:pPr>
      <w:r>
        <w:rPr>
          <w:rFonts w:ascii="SimHei" w:hAnsi="SimHei" w:eastAsia="SimHei" w:cs="SimHei"/>
          <w:b/>
          <w:color w:val="000000"/>
          <w:sz w:val="25"/>
        </w:rPr>
        <w:t>3.5 技术演进脉络</w:t>
      </w:r>
    </w:p>
    <w:p>
      <w:pPr>
        <w:spacing w:after="100" w:line="276" w:lineRule="auto"/>
        <w:ind w:left="240"/>
      </w:pPr>
      <w:r>
        <w:rPr>
          <w:rFonts w:ascii="SimSun" w:hAnsi="SimSun" w:eastAsia="SimSun" w:cs="SimSun"/>
          <w:b w:val="0"/>
          <w:sz w:val="24"/>
        </w:rPr>
        <w:t>－ 2020—2021年：决策智能（DI）概念被提出，与数据分析技术从描述性向指示性演进同步发展（背景知识，非本轮核实原始出处）[9]。</w:t>
      </w:r>
    </w:p>
    <w:p>
      <w:pPr>
        <w:spacing w:after="100" w:line="276" w:lineRule="auto"/>
        <w:ind w:left="240"/>
      </w:pPr>
      <w:r>
        <w:rPr>
          <w:rFonts w:ascii="SimSun" w:hAnsi="SimSun" w:eastAsia="SimSun" w:cs="SimSun"/>
          <w:b w:val="0"/>
          <w:sz w:val="24"/>
        </w:rPr>
        <w:t>－ 2020年代前期：ToC/ToB领域已存在大量决策智能实践但未统一命名，如手机导航的动态路线评估、电商直播"千人千面"个性化推荐、制造业设备预测性维护、航空机票动态定价与延误险推荐等[9]。</w:t>
      </w:r>
    </w:p>
    <w:p>
      <w:pPr>
        <w:spacing w:after="100" w:line="276" w:lineRule="auto"/>
        <w:ind w:left="240"/>
      </w:pPr>
      <w:r>
        <w:rPr>
          <w:rFonts w:ascii="SimSun" w:hAnsi="SimSun" w:eastAsia="SimSun" w:cs="SimSun"/>
          <w:b w:val="0"/>
          <w:sz w:val="24"/>
        </w:rPr>
        <w:t>－ 2026年1月26日：Gartner发布首版《决策智能平台魔力象限》（文档编号G00827619），标志该市场从小众采用进入晚期新兴阶段[1][7]。</w:t>
      </w:r>
    </w:p>
    <w:p>
      <w:pPr>
        <w:spacing w:after="100" w:line="276" w:lineRule="auto"/>
        <w:ind w:left="240"/>
      </w:pPr>
      <w:r>
        <w:rPr>
          <w:rFonts w:ascii="SimSun" w:hAnsi="SimSun" w:eastAsia="SimSun" w:cs="SimSun"/>
          <w:b w:val="0"/>
          <w:sz w:val="24"/>
        </w:rPr>
        <w:t>－ 2026年8月4日：Gartner分析师就DIP的架构选型、落地场景优先级与幻觉治理方案开展专题技术交流并形成研判共识[8]。</w:t>
      </w:r>
    </w:p>
    <w:p>
      <w:pPr>
        <w:pStyle w:val="Heading2"/>
        <w:spacing w:before="220" w:after="120"/>
      </w:pPr>
      <w:r>
        <w:rPr>
          <w:rFonts w:ascii="SimHei" w:hAnsi="SimHei" w:eastAsia="SimHei" w:cs="SimHei"/>
          <w:b/>
          <w:color w:val="000000"/>
          <w:sz w:val="25"/>
        </w:rPr>
        <w:t>3.6 当前技术局限与未解问题</w:t>
      </w:r>
    </w:p>
    <w:p>
      <w:pPr>
        <w:spacing w:after="100" w:line="276" w:lineRule="auto"/>
        <w:ind w:left="240"/>
      </w:pPr>
      <w:r>
        <w:rPr>
          <w:rFonts w:ascii="SimSun" w:hAnsi="SimSun" w:eastAsia="SimSun" w:cs="SimSun"/>
          <w:b w:val="0"/>
          <w:sz w:val="24"/>
        </w:rPr>
        <w:t>－ 大模型输出的"黑盒"与幻觉风险需要额外的规则校验与熔断机制兜底，混合架构的设计与维护成本显著高于单一技术路线[8][9]。</w:t>
      </w:r>
    </w:p>
    <w:p>
      <w:pPr>
        <w:spacing w:after="100" w:line="276" w:lineRule="auto"/>
        <w:ind w:left="240"/>
      </w:pPr>
      <w:r>
        <w:rPr>
          <w:rFonts w:ascii="SimSun" w:hAnsi="SimSun" w:eastAsia="SimSun" w:cs="SimSun"/>
          <w:b w:val="0"/>
          <w:sz w:val="24"/>
        </w:rPr>
        <w:t>－ 决策资产显性化（把业务专家经验转译为可执行的决策模型）本身是高强度的定制开发与流程梳理工作，并非标准化软件可一次性解决——厂商评估显示，软件产品采购成本仅占DIP项目总预算的30%至50%，业务咨询、实施服务与决策显性化占到50%至70%[9]。</w:t>
      </w:r>
    </w:p>
    <w:p>
      <w:pPr>
        <w:spacing w:after="100" w:line="276" w:lineRule="auto"/>
        <w:ind w:left="240"/>
      </w:pPr>
      <w:r>
        <w:rPr>
          <w:rFonts w:ascii="SimSun" w:hAnsi="SimSun" w:eastAsia="SimSun" w:cs="SimSun"/>
          <w:b w:val="0"/>
          <w:sz w:val="24"/>
        </w:rPr>
        <w:t>－ 各业务系统逐步引入智能体（Agent）后，多系统间的交叉决策调用需求会快速增长，网状互调将造成系统间调用效率低下、架构失控，目前尚无成熟的统一调度范式，需以独立DIP平台承接[8][9]。</w:t>
      </w:r>
    </w:p>
    <w:p>
      <w:pPr>
        <w:spacing w:after="100" w:line="276" w:lineRule="auto"/>
        <w:ind w:left="240"/>
      </w:pPr>
      <w:r>
        <w:rPr>
          <w:rFonts w:ascii="SimSun" w:hAnsi="SimSun" w:eastAsia="SimSun" w:cs="SimSun"/>
          <w:b w:val="0"/>
          <w:sz w:val="24"/>
        </w:rPr>
        <w:t>－ 决策建模语言（如DMN类标准）与国内主流技术栈、厂商生态的兼容适配尚不成熟，规范化程度低于国际市场。</w:t>
      </w:r>
    </w:p>
    <w:p>
      <w:pPr>
        <w:pStyle w:val="Heading1"/>
        <w:spacing w:before="280" w:after="160"/>
      </w:pPr>
      <w:r>
        <w:rPr>
          <w:rFonts w:ascii="SimHei" w:hAnsi="SimHei" w:eastAsia="SimHei" w:cs="SimHei"/>
          <w:b/>
          <w:color w:val="000000"/>
          <w:sz w:val="28"/>
        </w:rPr>
        <w:t>四、技术架构与生态定位</w:t>
      </w:r>
    </w:p>
    <w:p>
      <w:pPr>
        <w:pStyle w:val="Heading2"/>
        <w:spacing w:before="220" w:after="120"/>
      </w:pPr>
      <w:r>
        <w:rPr>
          <w:rFonts w:ascii="SimHei" w:hAnsi="SimHei" w:eastAsia="SimHei" w:cs="SimHei"/>
          <w:b/>
          <w:color w:val="000000"/>
          <w:sz w:val="25"/>
        </w:rPr>
        <w:t>4.1 生态位/产业链图谱</w:t>
      </w:r>
    </w:p>
    <w:p>
      <w:pPr>
        <w:spacing w:after="120" w:line="276" w:lineRule="auto"/>
        <w:ind w:firstLine="480"/>
      </w:pPr>
      <w:r>
        <w:rPr>
          <w:rFonts w:ascii="SimSun" w:hAnsi="SimSun" w:eastAsia="SimSun" w:cs="SimSun"/>
          <w:b w:val="0"/>
          <w:sz w:val="24"/>
        </w:rPr>
        <w:t>DIP在储备库图谱中处于产业链中游核心位置：上游依托数据中台/特征平台与算力资源（关联010算力网络）获取决策所需数据；下游服务于授信、风控反欺诈、营销定价、催收等核心业务决策场景；平台自身与016向量数据库/检索增强生成（支撑非结构化情境理解）、021因果AI（增强反事实推演与可解释性）等前沿能力协同；上层消费方为001智能体与031业务编排自动化（BOAT）——智能体的高风险动作应调用DIP的受治理决策服务而非自行判断，这是智能体合规架构的关键设计[7]。</w:t>
      </w:r>
    </w:p>
    <w:p>
      <w:pPr>
        <w:jc w:val="center"/>
      </w:pPr>
      <w:r>
        <w:drawing>
          <wp:inline xmlns:a="http://schemas.openxmlformats.org/drawingml/2006/main" xmlns:pic="http://schemas.openxmlformats.org/drawingml/2006/picture">
            <wp:extent cx="5577840" cy="3502848"/>
            <wp:docPr id="2" name="Picture 2"/>
            <wp:cNvGraphicFramePr>
              <a:graphicFrameLocks noChangeAspect="1"/>
            </wp:cNvGraphicFramePr>
            <a:graphic>
              <a:graphicData uri="http://schemas.openxmlformats.org/drawingml/2006/picture">
                <pic:pic>
                  <pic:nvPicPr>
                    <pic:cNvPr id="0" name="fig1_ecosystem.png"/>
                    <pic:cNvPicPr/>
                  </pic:nvPicPr>
                  <pic:blipFill>
                    <a:blip r:embed="rId10"/>
                    <a:stretch>
                      <a:fillRect/>
                    </a:stretch>
                  </pic:blipFill>
                  <pic:spPr>
                    <a:xfrm>
                      <a:off x="0" y="0"/>
                      <a:ext cx="5577840" cy="3502848"/>
                    </a:xfrm>
                    <a:prstGeom prst="rect"/>
                  </pic:spPr>
                </pic:pic>
              </a:graphicData>
            </a:graphic>
          </wp:inline>
        </w:drawing>
      </w:r>
    </w:p>
    <w:p>
      <w:pPr>
        <w:spacing w:after="200"/>
        <w:jc w:val="center"/>
      </w:pPr>
      <w:r>
        <w:rPr>
          <w:rFonts w:ascii="SimSun" w:hAnsi="SimSun" w:eastAsia="SimSun" w:cs="SimSun"/>
          <w:b w:val="0"/>
          <w:color w:val="595959"/>
          <w:sz w:val="19"/>
        </w:rPr>
        <w:t>图2  决策智能平台（DIP）产业链生态位图谱（自制）</w:t>
      </w:r>
    </w:p>
    <w:p>
      <w:pPr>
        <w:pStyle w:val="Heading2"/>
        <w:spacing w:before="220" w:after="120"/>
      </w:pPr>
      <w:r>
        <w:rPr>
          <w:rFonts w:ascii="SimHei" w:hAnsi="SimHei" w:eastAsia="SimHei" w:cs="SimHei"/>
          <w:b/>
          <w:color w:val="000000"/>
          <w:sz w:val="25"/>
        </w:rPr>
        <w:t>4.2 能力构成/技术架构分层</w:t>
      </w:r>
    </w:p>
    <w:p>
      <w:pPr>
        <w:spacing w:after="120" w:line="276" w:lineRule="auto"/>
        <w:ind w:firstLine="480"/>
      </w:pPr>
      <w:r>
        <w:rPr>
          <w:rFonts w:ascii="SimSun" w:hAnsi="SimSun" w:eastAsia="SimSun" w:cs="SimSun"/>
          <w:b w:val="0"/>
          <w:sz w:val="24"/>
        </w:rPr>
        <w:t>DIP可拆为五层能力，与3.3节的五步工作流互为"内部机制"与"整体组织"两个视角：决策建模层，以DMN类标准显式表达决策逻辑与依赖，对应Capture/Interpret阶段的情境结构化；智能层，规则+机器学习+优化算法的混合决策，前沿方向是与因果推断结合——反事实推演回答"如果调整准入线会怎样"，与021因果AI直接衔接，对应Model阶段的核心建模；仿真层，新策略上线前以历史数据回放与压力情景验证，是决策变更风险管控的关键，对应Model/Resolve阶段的What-if分析；执行层，实时决策服务，与业务系统及031 BOAT流程编排集成，支持分级自动化，对应Execute阶段；治理层，决策留痕、效果监控、偏见与漂移检测、审批流，贯穿全部五个步骤。对监管行业而言，治理层是DIP区别于自建决策引擎的核心增量[2][5]。</w:t>
      </w:r>
    </w:p>
    <w:p>
      <w:pPr>
        <w:jc w:val="center"/>
      </w:pPr>
      <w:r>
        <w:drawing>
          <wp:inline xmlns:a="http://schemas.openxmlformats.org/drawingml/2006/main" xmlns:pic="http://schemas.openxmlformats.org/drawingml/2006/picture">
            <wp:extent cx="5577840" cy="3859070"/>
            <wp:docPr id="3" name="Picture 3"/>
            <wp:cNvGraphicFramePr>
              <a:graphicFrameLocks noChangeAspect="1"/>
            </wp:cNvGraphicFramePr>
            <a:graphic>
              <a:graphicData uri="http://schemas.openxmlformats.org/drawingml/2006/picture">
                <pic:pic>
                  <pic:nvPicPr>
                    <pic:cNvPr id="0" name="fig2_capability.png"/>
                    <pic:cNvPicPr/>
                  </pic:nvPicPr>
                  <pic:blipFill>
                    <a:blip r:embed="rId11"/>
                    <a:stretch>
                      <a:fillRect/>
                    </a:stretch>
                  </pic:blipFill>
                  <pic:spPr>
                    <a:xfrm>
                      <a:off x="0" y="0"/>
                      <a:ext cx="5577840" cy="3859070"/>
                    </a:xfrm>
                    <a:prstGeom prst="rect"/>
                  </pic:spPr>
                </pic:pic>
              </a:graphicData>
            </a:graphic>
          </wp:inline>
        </w:drawing>
      </w:r>
    </w:p>
    <w:p>
      <w:pPr>
        <w:spacing w:after="200"/>
        <w:jc w:val="center"/>
      </w:pPr>
      <w:r>
        <w:rPr>
          <w:rFonts w:ascii="SimSun" w:hAnsi="SimSun" w:eastAsia="SimSun" w:cs="SimSun"/>
          <w:b w:val="0"/>
          <w:color w:val="595959"/>
          <w:sz w:val="19"/>
        </w:rPr>
        <w:t>图3  决策智能平台能力架构分层图（自制）</w:t>
      </w:r>
    </w:p>
    <w:p>
      <w:pPr>
        <w:pStyle w:val="Heading2"/>
        <w:spacing w:before="220" w:after="120"/>
      </w:pPr>
      <w:r>
        <w:rPr>
          <w:rFonts w:ascii="SimHei" w:hAnsi="SimHei" w:eastAsia="SimHei" w:cs="SimHei"/>
          <w:b/>
          <w:color w:val="000000"/>
          <w:sz w:val="25"/>
        </w:rPr>
        <w:t>4.3 与相邻/易混淆技术的边界</w:t>
      </w:r>
    </w:p>
    <w:tbl>
      <w:tblPr>
        <w:tblW w:type="auto" w:w="0"/>
        <w:jc w:val="center"/>
        <w:tblLayout w:type="fixed"/>
        <w:tblLook w:firstColumn="1" w:firstRow="1" w:lastColumn="0" w:lastRow="0" w:noHBand="0" w:noVBand="1" w:val="04A0"/>
      </w:tblPr>
      <w:tblGrid>
        <w:gridCol w:w="3009"/>
        <w:gridCol w:w="3009"/>
        <w:gridCol w:w="3009"/>
      </w:tblGrid>
      <w:tr>
        <w:tc>
          <w:tcPr>
            <w:tcW w:type="dxa" w:w="1903"/>
            <w:tcMar>
              <w:top w:w="60" w:type="dxa"/>
              <w:bottom w:w="60" w:type="dxa"/>
              <w:left w:w="100" w:type="dxa"/>
              <w:right w:w="100" w:type="dxa"/>
            </w:tcMar>
            <w:shd w:val="clear" w:color="auto" w:fill="DCE6F1"/>
            <w:tcBorders>
              <w:top w:val="single" w:sz="2" w:color="999999"/>
              <w:left w:val="single" w:sz="2" w:color="999999"/>
              <w:bottom w:val="single" w:sz="2" w:color="999999"/>
              <w:right w:val="single" w:sz="2" w:color="999999"/>
            </w:tcBorders>
          </w:tcPr>
          <w:p>
            <w:pPr>
              <w:spacing w:after="40"/>
              <w:jc w:val="center"/>
            </w:pPr>
            <w:r/>
            <w:r>
              <w:rPr>
                <w:rFonts w:ascii="SimSun" w:hAnsi="SimSun" w:eastAsia="SimSun" w:cs="SimSun"/>
                <w:b/>
                <w:sz w:val="21"/>
              </w:rPr>
              <w:t>关联技术</w:t>
            </w:r>
          </w:p>
        </w:tc>
        <w:tc>
          <w:tcPr>
            <w:tcW w:type="dxa" w:w="3461"/>
            <w:tcMar>
              <w:top w:w="60" w:type="dxa"/>
              <w:bottom w:w="60" w:type="dxa"/>
              <w:left w:w="100" w:type="dxa"/>
              <w:right w:w="100" w:type="dxa"/>
            </w:tcMar>
            <w:shd w:val="clear" w:color="auto" w:fill="DCE6F1"/>
            <w:tcBorders>
              <w:top w:val="single" w:sz="2" w:color="999999"/>
              <w:left w:val="single" w:sz="2" w:color="999999"/>
              <w:bottom w:val="single" w:sz="2" w:color="999999"/>
              <w:right w:val="single" w:sz="2" w:color="999999"/>
            </w:tcBorders>
          </w:tcPr>
          <w:p>
            <w:pPr>
              <w:spacing w:after="40"/>
              <w:jc w:val="center"/>
            </w:pPr>
            <w:r/>
            <w:r>
              <w:rPr>
                <w:rFonts w:ascii="SimSun" w:hAnsi="SimSun" w:eastAsia="SimSun" w:cs="SimSun"/>
                <w:b/>
                <w:sz w:val="21"/>
              </w:rPr>
              <w:t>关联点</w:t>
            </w:r>
          </w:p>
        </w:tc>
        <w:tc>
          <w:tcPr>
            <w:tcW w:type="dxa" w:w="3634"/>
            <w:tcMar>
              <w:top w:w="60" w:type="dxa"/>
              <w:bottom w:w="60" w:type="dxa"/>
              <w:left w:w="100" w:type="dxa"/>
              <w:right w:w="100" w:type="dxa"/>
            </w:tcMar>
            <w:shd w:val="clear" w:color="auto" w:fill="DCE6F1"/>
            <w:tcBorders>
              <w:top w:val="single" w:sz="2" w:color="999999"/>
              <w:left w:val="single" w:sz="2" w:color="999999"/>
              <w:bottom w:val="single" w:sz="2" w:color="999999"/>
              <w:right w:val="single" w:sz="2" w:color="999999"/>
            </w:tcBorders>
          </w:tcPr>
          <w:p>
            <w:pPr>
              <w:spacing w:after="40"/>
              <w:jc w:val="center"/>
            </w:pPr>
            <w:r/>
            <w:r>
              <w:rPr>
                <w:rFonts w:ascii="SimSun" w:hAnsi="SimSun" w:eastAsia="SimSun" w:cs="SimSun"/>
                <w:b/>
                <w:sz w:val="21"/>
              </w:rPr>
              <w:t>边界区分</w:t>
            </w:r>
          </w:p>
        </w:tc>
      </w:tr>
      <w:tr>
        <w:tc>
          <w:tcPr>
            <w:tcW w:type="dxa" w:w="1903"/>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19"/>
              </w:rPr>
              <w:t>001 自主型AI智能体</w:t>
            </w:r>
          </w:p>
        </w:tc>
        <w:tc>
          <w:tcPr>
            <w:tcW w:type="dxa" w:w="3461"/>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19"/>
              </w:rPr>
              <w:t>DIP为智能体的高风险动作提供受治理的决策服务</w:t>
            </w:r>
          </w:p>
        </w:tc>
        <w:tc>
          <w:tcPr>
            <w:tcW w:type="dxa" w:w="3634"/>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19"/>
              </w:rPr>
              <w:t>智能体负责意图理解与多步任务编排；DIP负责决策的建模、仿真、留痕与治理，智能体调用DIP而非自行拍板</w:t>
            </w:r>
          </w:p>
        </w:tc>
      </w:tr>
      <w:tr>
        <w:tc>
          <w:tcPr>
            <w:tcW w:type="dxa" w:w="1903"/>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19"/>
              </w:rPr>
              <w:t>021 因果AI</w:t>
            </w:r>
          </w:p>
        </w:tc>
        <w:tc>
          <w:tcPr>
            <w:tcW w:type="dxa" w:w="3461"/>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19"/>
              </w:rPr>
              <w:t>因果推断增强DIP智能层的反事实推演与可解释性</w:t>
            </w:r>
          </w:p>
        </w:tc>
        <w:tc>
          <w:tcPr>
            <w:tcW w:type="dxa" w:w="3634"/>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19"/>
              </w:rPr>
              <w:t>因果AI是方法论/算法能力；DIP是承载该能力并转化为可执行决策的平台层</w:t>
            </w:r>
          </w:p>
        </w:tc>
      </w:tr>
      <w:tr>
        <w:tc>
          <w:tcPr>
            <w:tcW w:type="dxa" w:w="1903"/>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19"/>
              </w:rPr>
              <w:t>031 业务编排与自动化(BOAT)</w:t>
            </w:r>
          </w:p>
        </w:tc>
        <w:tc>
          <w:tcPr>
            <w:tcW w:type="dxa" w:w="3461"/>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19"/>
              </w:rPr>
              <w:t>构成"决策—执行"分工：DIP出决策、BOAT编排动作</w:t>
            </w:r>
          </w:p>
        </w:tc>
        <w:tc>
          <w:tcPr>
            <w:tcW w:type="dxa" w:w="3634"/>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19"/>
              </w:rPr>
              <w:t>DIP聚焦"应该做什么"的决策计算；BOAT聚焦决策落地后的多系统流程编排与执行</w:t>
            </w:r>
          </w:p>
        </w:tc>
      </w:tr>
      <w:tr>
        <w:tc>
          <w:tcPr>
            <w:tcW w:type="dxa" w:w="1903"/>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19"/>
              </w:rPr>
              <w:t>016 向量数据库与RAG</w:t>
            </w:r>
          </w:p>
        </w:tc>
        <w:tc>
          <w:tcPr>
            <w:tcW w:type="dxa" w:w="3461"/>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19"/>
              </w:rPr>
              <w:t>为DIP的Interpret/Capture阶段提供非结构化情境理解</w:t>
            </w:r>
          </w:p>
        </w:tc>
        <w:tc>
          <w:tcPr>
            <w:tcW w:type="dxa" w:w="3634"/>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19"/>
              </w:rPr>
              <w:t>RAG解决"检索合适的上下文信息"；DIP解决"基于信息与规则给出最优行动方案"</w:t>
            </w:r>
          </w:p>
        </w:tc>
      </w:tr>
      <w:tr>
        <w:tc>
          <w:tcPr>
            <w:tcW w:type="dxa" w:w="1903"/>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19"/>
              </w:rPr>
              <w:t>011 平台工程/IDP</w:t>
            </w:r>
          </w:p>
        </w:tc>
        <w:tc>
          <w:tcPr>
            <w:tcW w:type="dxa" w:w="3461"/>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19"/>
              </w:rPr>
              <w:t>决策服务的部署、监控可复用平台工程的DevOps能力</w:t>
            </w:r>
          </w:p>
        </w:tc>
        <w:tc>
          <w:tcPr>
            <w:tcW w:type="dxa" w:w="3634"/>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19"/>
              </w:rPr>
              <w:t>IDP面向研发交付效率；DIP面向业务决策本身的建模与治理，两者关注对象不同</w:t>
            </w:r>
          </w:p>
        </w:tc>
      </w:tr>
    </w:tbl>
    <w:p>
      <w:pPr>
        <w:spacing w:after="80"/>
      </w:pPr>
    </w:p>
    <w:p>
      <w:pPr>
        <w:pStyle w:val="Heading1"/>
        <w:spacing w:before="280" w:after="160"/>
      </w:pPr>
      <w:r>
        <w:rPr>
          <w:rFonts w:ascii="SimHei" w:hAnsi="SimHei" w:eastAsia="SimHei" w:cs="SimHei"/>
          <w:b/>
          <w:color w:val="000000"/>
          <w:sz w:val="28"/>
        </w:rPr>
        <w:t>五、产业成熟度与市场研判</w:t>
      </w:r>
    </w:p>
    <w:p>
      <w:pPr>
        <w:pStyle w:val="Heading2"/>
        <w:spacing w:before="220" w:after="120"/>
      </w:pPr>
      <w:r>
        <w:rPr>
          <w:rFonts w:ascii="SimHei" w:hAnsi="SimHei" w:eastAsia="SimHei" w:cs="SimHei"/>
          <w:b/>
          <w:color w:val="000000"/>
          <w:sz w:val="25"/>
        </w:rPr>
        <w:t>5.1 类别确立：首版魔力象限</w:t>
      </w:r>
    </w:p>
    <w:p>
      <w:pPr>
        <w:spacing w:after="120" w:line="276" w:lineRule="auto"/>
        <w:ind w:firstLine="480"/>
      </w:pPr>
      <w:r>
        <w:rPr>
          <w:rFonts w:ascii="SimSun" w:hAnsi="SimSun" w:eastAsia="SimSun" w:cs="SimSun"/>
          <w:b w:val="0"/>
          <w:sz w:val="24"/>
        </w:rPr>
        <w:t>2026年1月，Gartner发布首版决策智能平台魔力象限，标志该市场从小众采用进入晚期新兴阶段、成为各行业的战略使能技术[1]。领导者象限中银行业相关性最强的是FICO与SAS：FICO深耕银行与信贷风险，提供实时决策与仿真能力，其基础模型支持受监管环境的领域生成式AI与AI自动化[2][3]；SAS提供反欺诈、反洗钱、信贷决策等高价值决策的行业化内容与预置模型，Viya平台在可解释、审计、合规与模型治理上能力突出[4][5]。其他领导者包括IBM、ACTICO、Quantexa与Aera[6]。对本行的信号：银行核心决策场景的成熟供给已经存在，且领导者恰是行内可能已有存量关系的厂商（评分卡、反欺诈系统），整合路径现实。</w:t>
      </w:r>
    </w:p>
    <w:p>
      <w:pPr>
        <w:pStyle w:val="Heading2"/>
        <w:spacing w:before="220" w:after="120"/>
      </w:pPr>
      <w:r>
        <w:rPr>
          <w:rFonts w:ascii="SimHei" w:hAnsi="SimHei" w:eastAsia="SimHei" w:cs="SimHei"/>
          <w:b/>
          <w:color w:val="000000"/>
          <w:sz w:val="25"/>
        </w:rPr>
        <w:t>5.2 魔力象限方法论、市场规模与图谱</w:t>
      </w:r>
    </w:p>
    <w:p>
      <w:pPr>
        <w:spacing w:after="120" w:line="276" w:lineRule="auto"/>
        <w:ind w:firstLine="480"/>
      </w:pPr>
      <w:r>
        <w:rPr>
          <w:rFonts w:ascii="SimSun" w:hAnsi="SimSun" w:eastAsia="SimSun" w:cs="SimSun"/>
          <w:b w:val="0"/>
          <w:sz w:val="24"/>
        </w:rPr>
        <w:t>本次魔力象限由Gartner分析师团队于2026年1月26日发布（文档编号G00827619），评估方法沿用Gartner标准的两维打分体系：横轴"前瞻完整性"（Completeness of Vision）衡量厂商对市场走向的理解与产品/商业模式演进能力，纵轴"执行能力"（Ability to Execute）衡量厂商当下的交付与商业化实力[7]。执行能力维度下设产品或服务、总体可行性、营销执行、市场反应/记录（以上四项为"高"权重）、销售执行/定价、客户体验（"中"权重）六项子标准，运营一项因是市场首版评估而暂未评级；前瞻完整性维度下设产品策略、创新、市场洞察（"高"权重）、垂直行业/产业战略（"中"权重）、营销策略、销售策略（"中"权重）、商业模式、地理战略（"低"权重）八项子标准[7]。</w:t>
      </w:r>
    </w:p>
    <w:p>
      <w:pPr>
        <w:spacing w:after="120" w:line="276" w:lineRule="auto"/>
        <w:ind w:firstLine="480"/>
      </w:pPr>
      <w:r>
        <w:rPr>
          <w:rFonts w:ascii="SimSun" w:hAnsi="SimSun" w:eastAsia="SimSun" w:cs="SimSun"/>
          <w:b w:val="0"/>
          <w:sz w:val="24"/>
        </w:rPr>
        <w:t>准入门槛方面，参评产品须在2025年9月1日前正式商用（非邀测/限量Beta），且2024年全年生产客户须覆盖银行和投资服务、通信媒体服务、教育、政府、医疗保健、保险、制造业、石油天然气、电力公用事业、零售、运输、批发贸易等行业中至少3个；同时按Gartner"客户兴趣指数"（CII，综合2024年1月至2025年7月客户咨询量、参与度与舆情的加权指标）排名须进入前21位[7]。Gartner同期发布的战略规划假设显示：到2027年，25%依赖大语言模型的无序决策将因人类偏见、批判性思维不足及对AI的盲目崇拜而造成经济或声誉损失；到2027年，50%的商业决策将通过AI代理实现增强或自动化；到2028年，25%的首席数据与分析官愿景声明将以"决策为中心"取代"数据驱动"的提法；到2030年，经明确建模的决策可信度将比无序决策高出五倍、决策速度提升80%[7]。这组预测勾勒出的市场信号：决策智能正从少数厂商的细分能力，转向企业级决策治理的主流诉求。</w:t>
      </w:r>
    </w:p>
    <w:p>
      <w:pPr>
        <w:spacing w:after="120" w:line="276" w:lineRule="auto"/>
        <w:ind w:firstLine="480"/>
      </w:pPr>
      <w:r>
        <w:rPr>
          <w:rFonts w:ascii="SimSun" w:hAnsi="SimSun" w:eastAsia="SimSun" w:cs="SimSun"/>
          <w:b w:val="0"/>
          <w:sz w:val="24"/>
        </w:rPr>
        <w:t>本次评估共纳入17家厂商，象限分布为：领导者6家（FICO、SAS、Aera Technology、IBM、ACTICO、Quantexa）、挑战者2家（Decisions、Pegasystems）、远见者2家（Sapiens、Faculty）、细分领域参与者7家（o9 Solutions、Oracle、InRule Technology、FlexRule、Rulex、RelationalAI、CRIF）[7]。另有Corridor Platforms、Cloverpop、Frontline Systems、微软（Fabric/Copilot Studio路线）、OpenRules、Palantir Foundry、Rainbird、SMARTS等8家厂商作为"荣誉提名"，因未达客户兴趣或跨行业准入门槛未能入选本次评估，但均为潜在关注对象[7]。领导者须同时具备强执行力与清晰的决策中心化愿景，覆盖建模、编排、监控、治理全生命周期能力并集成生成式与智能体AI；挑战者执行力强但创新或差异化滞后；远见者对市场方向理解深刻、常引领智能体AI与生成式AI驱动建模等创新，但企业级规模或成熟度不足；细分领域参与者聚焦特定行业、地区或决策类型，提供专业化或轻量级能力[7]。</w:t>
      </w:r>
    </w:p>
    <w:p>
      <w:pPr>
        <w:pStyle w:val="Heading2"/>
        <w:spacing w:before="220" w:after="120"/>
      </w:pPr>
      <w:r>
        <w:rPr>
          <w:rFonts w:ascii="SimHei" w:hAnsi="SimHei" w:eastAsia="SimHei" w:cs="SimHei"/>
          <w:b/>
          <w:color w:val="000000"/>
          <w:sz w:val="25"/>
        </w:rPr>
        <w:t>5.3 厂商能力与优劣势图谱</w:t>
      </w:r>
    </w:p>
    <w:tbl>
      <w:tblPr>
        <w:tblW w:type="auto" w:w="0"/>
        <w:jc w:val="center"/>
        <w:tblLayout w:type="fixed"/>
        <w:tblLook w:firstColumn="1" w:firstRow="1" w:lastColumn="0" w:lastRow="0" w:noHBand="0" w:noVBand="1" w:val="04A0"/>
      </w:tblPr>
      <w:tblGrid>
        <w:gridCol w:w="1805"/>
        <w:gridCol w:w="1805"/>
        <w:gridCol w:w="1805"/>
        <w:gridCol w:w="1805"/>
        <w:gridCol w:w="1805"/>
      </w:tblGrid>
      <w:tr>
        <w:tc>
          <w:tcPr>
            <w:tcW w:type="dxa" w:w="873"/>
            <w:tcMar>
              <w:top w:w="60" w:type="dxa"/>
              <w:bottom w:w="60" w:type="dxa"/>
              <w:left w:w="100" w:type="dxa"/>
              <w:right w:w="100" w:type="dxa"/>
            </w:tcMar>
            <w:shd w:val="clear" w:color="auto" w:fill="DCE6F1"/>
            <w:tcBorders>
              <w:top w:val="single" w:sz="2" w:color="999999"/>
              <w:left w:val="single" w:sz="2" w:color="999999"/>
              <w:bottom w:val="single" w:sz="2" w:color="999999"/>
              <w:right w:val="single" w:sz="2" w:color="999999"/>
            </w:tcBorders>
          </w:tcPr>
          <w:p>
            <w:pPr>
              <w:spacing w:after="40"/>
              <w:jc w:val="center"/>
            </w:pPr>
            <w:r/>
            <w:r>
              <w:rPr>
                <w:rFonts w:ascii="SimSun" w:hAnsi="SimSun" w:eastAsia="SimSun" w:cs="SimSun"/>
                <w:b/>
                <w:sz w:val="21"/>
              </w:rPr>
              <w:t>厂商</w:t>
            </w:r>
          </w:p>
        </w:tc>
        <w:tc>
          <w:tcPr>
            <w:tcW w:type="dxa" w:w="873"/>
            <w:tcMar>
              <w:top w:w="60" w:type="dxa"/>
              <w:bottom w:w="60" w:type="dxa"/>
              <w:left w:w="100" w:type="dxa"/>
              <w:right w:w="100" w:type="dxa"/>
            </w:tcMar>
            <w:shd w:val="clear" w:color="auto" w:fill="DCE6F1"/>
            <w:tcBorders>
              <w:top w:val="single" w:sz="2" w:color="999999"/>
              <w:left w:val="single" w:sz="2" w:color="999999"/>
              <w:bottom w:val="single" w:sz="2" w:color="999999"/>
              <w:right w:val="single" w:sz="2" w:color="999999"/>
            </w:tcBorders>
          </w:tcPr>
          <w:p>
            <w:pPr>
              <w:spacing w:after="40"/>
              <w:jc w:val="center"/>
            </w:pPr>
            <w:r/>
            <w:r>
              <w:rPr>
                <w:rFonts w:ascii="SimSun" w:hAnsi="SimSun" w:eastAsia="SimSun" w:cs="SimSun"/>
                <w:b/>
                <w:sz w:val="21"/>
              </w:rPr>
              <w:t>象限分类</w:t>
            </w:r>
          </w:p>
        </w:tc>
        <w:tc>
          <w:tcPr>
            <w:tcW w:type="dxa" w:w="1611"/>
            <w:tcMar>
              <w:top w:w="60" w:type="dxa"/>
              <w:bottom w:w="60" w:type="dxa"/>
              <w:left w:w="100" w:type="dxa"/>
              <w:right w:w="100" w:type="dxa"/>
            </w:tcMar>
            <w:shd w:val="clear" w:color="auto" w:fill="DCE6F1"/>
            <w:tcBorders>
              <w:top w:val="single" w:sz="2" w:color="999999"/>
              <w:left w:val="single" w:sz="2" w:color="999999"/>
              <w:bottom w:val="single" w:sz="2" w:color="999999"/>
              <w:right w:val="single" w:sz="2" w:color="999999"/>
            </w:tcBorders>
          </w:tcPr>
          <w:p>
            <w:pPr>
              <w:spacing w:after="40"/>
              <w:jc w:val="center"/>
            </w:pPr>
            <w:r/>
            <w:r>
              <w:rPr>
                <w:rFonts w:ascii="SimSun" w:hAnsi="SimSun" w:eastAsia="SimSun" w:cs="SimSun"/>
                <w:b/>
                <w:sz w:val="21"/>
              </w:rPr>
              <w:t>总部／成立年份</w:t>
            </w:r>
          </w:p>
        </w:tc>
        <w:tc>
          <w:tcPr>
            <w:tcW w:type="dxa" w:w="2820"/>
            <w:tcMar>
              <w:top w:w="60" w:type="dxa"/>
              <w:bottom w:w="60" w:type="dxa"/>
              <w:left w:w="100" w:type="dxa"/>
              <w:right w:w="100" w:type="dxa"/>
            </w:tcMar>
            <w:shd w:val="clear" w:color="auto" w:fill="DCE6F1"/>
            <w:tcBorders>
              <w:top w:val="single" w:sz="2" w:color="999999"/>
              <w:left w:val="single" w:sz="2" w:color="999999"/>
              <w:bottom w:val="single" w:sz="2" w:color="999999"/>
              <w:right w:val="single" w:sz="2" w:color="999999"/>
            </w:tcBorders>
          </w:tcPr>
          <w:p>
            <w:pPr>
              <w:spacing w:after="40"/>
              <w:jc w:val="center"/>
            </w:pPr>
            <w:r/>
            <w:r>
              <w:rPr>
                <w:rFonts w:ascii="SimSun" w:hAnsi="SimSun" w:eastAsia="SimSun" w:cs="SimSun"/>
                <w:b/>
                <w:sz w:val="21"/>
              </w:rPr>
              <w:t>主要优势</w:t>
            </w:r>
          </w:p>
        </w:tc>
        <w:tc>
          <w:tcPr>
            <w:tcW w:type="dxa" w:w="2820"/>
            <w:tcMar>
              <w:top w:w="60" w:type="dxa"/>
              <w:bottom w:w="60" w:type="dxa"/>
              <w:left w:w="100" w:type="dxa"/>
              <w:right w:w="100" w:type="dxa"/>
            </w:tcMar>
            <w:shd w:val="clear" w:color="auto" w:fill="DCE6F1"/>
            <w:tcBorders>
              <w:top w:val="single" w:sz="2" w:color="999999"/>
              <w:left w:val="single" w:sz="2" w:color="999999"/>
              <w:bottom w:val="single" w:sz="2" w:color="999999"/>
              <w:right w:val="single" w:sz="2" w:color="999999"/>
            </w:tcBorders>
          </w:tcPr>
          <w:p>
            <w:pPr>
              <w:spacing w:after="40"/>
              <w:jc w:val="center"/>
            </w:pPr>
            <w:r/>
            <w:r>
              <w:rPr>
                <w:rFonts w:ascii="SimSun" w:hAnsi="SimSun" w:eastAsia="SimSun" w:cs="SimSun"/>
                <w:b/>
                <w:sz w:val="21"/>
              </w:rPr>
              <w:t>主要关注事项</w:t>
            </w:r>
          </w:p>
        </w:tc>
      </w:tr>
      <w:tr>
        <w:tc>
          <w:tcPr>
            <w:tcW w:type="dxa" w:w="873"/>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19"/>
              </w:rPr>
              <w:t>FICO</w:t>
            </w:r>
          </w:p>
        </w:tc>
        <w:tc>
          <w:tcPr>
            <w:tcW w:type="dxa" w:w="873"/>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19"/>
              </w:rPr>
              <w:t>领导者</w:t>
            </w:r>
          </w:p>
        </w:tc>
        <w:tc>
          <w:tcPr>
            <w:tcW w:type="dxa" w:w="1611"/>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19"/>
              </w:rPr>
              <w:t>美国蒙大拿州博兹曼／1956年</w:t>
            </w:r>
          </w:p>
        </w:tc>
        <w:tc>
          <w:tcPr>
            <w:tcW w:type="dxa" w:w="282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19"/>
              </w:rPr>
              <w:t>持续盈利、研发投入大、客户留存率高；实时决策与仿真、可解释AI专利技术领先</w:t>
            </w:r>
          </w:p>
        </w:tc>
        <w:tc>
          <w:tcPr>
            <w:tcW w:type="dxa" w:w="282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19"/>
              </w:rPr>
              <w:t>基于使用量定价复杂，需仔细核算成本；竞争视角集中于相邻技术而非DIP本身；业务高度集中于银行与信用风险领域</w:t>
            </w:r>
          </w:p>
        </w:tc>
      </w:tr>
      <w:tr>
        <w:tc>
          <w:tcPr>
            <w:tcW w:type="dxa" w:w="873"/>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19"/>
              </w:rPr>
              <w:t>SAS</w:t>
            </w:r>
          </w:p>
        </w:tc>
        <w:tc>
          <w:tcPr>
            <w:tcW w:type="dxa" w:w="873"/>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19"/>
              </w:rPr>
              <w:t>领导者</w:t>
            </w:r>
          </w:p>
        </w:tc>
        <w:tc>
          <w:tcPr>
            <w:tcW w:type="dxa" w:w="1611"/>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19"/>
              </w:rPr>
              <w:t>美国北卡罗来纳州卡里市／1976年</w:t>
            </w:r>
          </w:p>
        </w:tc>
        <w:tc>
          <w:tcPr>
            <w:tcW w:type="dxa" w:w="282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19"/>
              </w:rPr>
              <w:t>财务实力强、全球生态成熟；金融/医疗/制造垂直行业经验丰富，反欺诈反洗钱预置模型完善</w:t>
            </w:r>
          </w:p>
        </w:tc>
        <w:tc>
          <w:tcPr>
            <w:tcW w:type="dxa" w:w="282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19"/>
              </w:rPr>
              <w:t>定价与合同谈判灵活性不及同行；决策智能在其分析大战略中定位偏适度，路线图归属有待明确</w:t>
            </w:r>
          </w:p>
        </w:tc>
      </w:tr>
      <w:tr>
        <w:tc>
          <w:tcPr>
            <w:tcW w:type="dxa" w:w="873"/>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19"/>
              </w:rPr>
              <w:t>Aera Technology</w:t>
            </w:r>
          </w:p>
        </w:tc>
        <w:tc>
          <w:tcPr>
            <w:tcW w:type="dxa" w:w="873"/>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19"/>
              </w:rPr>
              <w:t>领导者</w:t>
            </w:r>
          </w:p>
        </w:tc>
        <w:tc>
          <w:tcPr>
            <w:tcW w:type="dxa" w:w="1611"/>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19"/>
              </w:rPr>
              <w:t>美国加利福尼亚州山景城／2017年</w:t>
            </w:r>
          </w:p>
        </w:tc>
        <w:tc>
          <w:tcPr>
            <w:tcW w:type="dxa" w:w="282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19"/>
              </w:rPr>
              <w:t>定价灵活、PoC试用降低采购风险；路线图前瞻，聚焦供应链与运营决策自动化</w:t>
            </w:r>
          </w:p>
        </w:tc>
        <w:tc>
          <w:tcPr>
            <w:tcW w:type="dxa" w:w="282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19"/>
              </w:rPr>
              <w:t>尚未盈利，长期财务稳定性待观察；客户集中于制造/自然资源/油气行业，跨行业增长空间有限</w:t>
            </w:r>
          </w:p>
        </w:tc>
      </w:tr>
      <w:tr>
        <w:tc>
          <w:tcPr>
            <w:tcW w:type="dxa" w:w="873"/>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19"/>
              </w:rPr>
              <w:t>IBM</w:t>
            </w:r>
          </w:p>
        </w:tc>
        <w:tc>
          <w:tcPr>
            <w:tcW w:type="dxa" w:w="873"/>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19"/>
              </w:rPr>
              <w:t>领导者</w:t>
            </w:r>
          </w:p>
        </w:tc>
        <w:tc>
          <w:tcPr>
            <w:tcW w:type="dxa" w:w="1611"/>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19"/>
              </w:rPr>
              <w:t>美国纽约州阿蒙克／1911年</w:t>
            </w:r>
          </w:p>
        </w:tc>
        <w:tc>
          <w:tcPr>
            <w:tcW w:type="dxa" w:w="282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19"/>
              </w:rPr>
              <w:t>敏捷交付、自然语言驱动决策自动化与智能体集成能力强；全球系统集成商生态完善</w:t>
            </w:r>
          </w:p>
        </w:tc>
        <w:tc>
          <w:tcPr>
            <w:tcW w:type="dxa" w:w="282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19"/>
              </w:rPr>
              <w:t>定价与销售互动对复杂采购团队较难；决策智能在其业务优先级中份量有限；近期增强偏平台通用化，垂直深度不足</w:t>
            </w:r>
          </w:p>
        </w:tc>
      </w:tr>
      <w:tr>
        <w:tc>
          <w:tcPr>
            <w:tcW w:type="dxa" w:w="873"/>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19"/>
              </w:rPr>
              <w:t>ACTICO</w:t>
            </w:r>
          </w:p>
        </w:tc>
        <w:tc>
          <w:tcPr>
            <w:tcW w:type="dxa" w:w="873"/>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19"/>
              </w:rPr>
              <w:t>领导者</w:t>
            </w:r>
          </w:p>
        </w:tc>
        <w:tc>
          <w:tcPr>
            <w:tcW w:type="dxa" w:w="1611"/>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19"/>
              </w:rPr>
              <w:t>德国腓特烈港／2015年（2025年3月被Keensight Capital收购）</w:t>
            </w:r>
          </w:p>
        </w:tc>
        <w:tc>
          <w:tcPr>
            <w:tcW w:type="dxa" w:w="282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19"/>
              </w:rPr>
              <w:t>路线图交付能力强、客户信心高；聚焦银行/投资服务/保险大型机构，欧洲中东非洲地区深耕</w:t>
            </w:r>
          </w:p>
        </w:tc>
        <w:tc>
          <w:tcPr>
            <w:tcW w:type="dxa" w:w="282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19"/>
              </w:rPr>
              <w:t>客户体验与交付满意度评价分化，投资回报证据不足；营销投入低，品牌知名度与长期市场定位存在不确定性</w:t>
            </w:r>
          </w:p>
        </w:tc>
      </w:tr>
      <w:tr>
        <w:tc>
          <w:tcPr>
            <w:tcW w:type="dxa" w:w="873"/>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19"/>
              </w:rPr>
              <w:t>Quantexa</w:t>
            </w:r>
          </w:p>
        </w:tc>
        <w:tc>
          <w:tcPr>
            <w:tcW w:type="dxa" w:w="873"/>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19"/>
              </w:rPr>
              <w:t>领导者</w:t>
            </w:r>
          </w:p>
        </w:tc>
        <w:tc>
          <w:tcPr>
            <w:tcW w:type="dxa" w:w="1611"/>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19"/>
              </w:rPr>
              <w:t>英国伦敦／2016年</w:t>
            </w:r>
          </w:p>
        </w:tc>
        <w:tc>
          <w:tcPr>
            <w:tcW w:type="dxa" w:w="282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19"/>
              </w:rPr>
              <w:t>定价方案灵活、新客户获取能力强；垂直行业路线图清晰，受监管行业价值实现快</w:t>
            </w:r>
          </w:p>
        </w:tc>
        <w:tc>
          <w:tcPr>
            <w:tcW w:type="dxa" w:w="282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19"/>
              </w:rPr>
              <w:t>客户满意度参差、决策自动化与仿真功能存在短板；营销信息差异化不足，分析师互动度中等</w:t>
            </w:r>
          </w:p>
        </w:tc>
      </w:tr>
      <w:tr>
        <w:tc>
          <w:tcPr>
            <w:tcW w:type="dxa" w:w="873"/>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19"/>
              </w:rPr>
              <w:t>Decisions</w:t>
            </w:r>
          </w:p>
        </w:tc>
        <w:tc>
          <w:tcPr>
            <w:tcW w:type="dxa" w:w="873"/>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19"/>
              </w:rPr>
              <w:t>挑战者</w:t>
            </w:r>
          </w:p>
        </w:tc>
        <w:tc>
          <w:tcPr>
            <w:tcW w:type="dxa" w:w="1611"/>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19"/>
              </w:rPr>
              <w:t>美国弗吉尼亚州弗吉尼亚海滩／2010年（2025年11月与ProcessMaker合并）</w:t>
            </w:r>
          </w:p>
        </w:tc>
        <w:tc>
          <w:tcPr>
            <w:tcW w:type="dxa" w:w="282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19"/>
              </w:rPr>
              <w:t>财务稳健、研发投入大；核心业务与DIP市场高度契合，渠道网络广</w:t>
            </w:r>
          </w:p>
        </w:tc>
        <w:tc>
          <w:tcPr>
            <w:tcW w:type="dxa" w:w="282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19"/>
              </w:rPr>
              <w:t>客户面员工任职较短、案例投资回报证据不足；市场洞察与竞争优势不够清晰，路线图偏低代码渐进式改进</w:t>
            </w:r>
          </w:p>
        </w:tc>
      </w:tr>
      <w:tr>
        <w:tc>
          <w:tcPr>
            <w:tcW w:type="dxa" w:w="873"/>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19"/>
              </w:rPr>
              <w:t>Pegasystems</w:t>
            </w:r>
          </w:p>
        </w:tc>
        <w:tc>
          <w:tcPr>
            <w:tcW w:type="dxa" w:w="873"/>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19"/>
              </w:rPr>
              <w:t>挑战者</w:t>
            </w:r>
          </w:p>
        </w:tc>
        <w:tc>
          <w:tcPr>
            <w:tcW w:type="dxa" w:w="1611"/>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19"/>
              </w:rPr>
              <w:t>美国马萨诸塞州沃尔瑟姆／1983年</w:t>
            </w:r>
          </w:p>
        </w:tc>
        <w:tc>
          <w:tcPr>
            <w:tcW w:type="dxa" w:w="282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19"/>
              </w:rPr>
              <w:t>市场营销执行强、品牌认知度高；垂直行业路线图清晰，智能体AI与实时智能功能持续迭代</w:t>
            </w:r>
          </w:p>
        </w:tc>
        <w:tc>
          <w:tcPr>
            <w:tcW w:type="dxa" w:w="282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19"/>
              </w:rPr>
              <w:t>对客户需求响应速度不稳定，过度依赖CRM/CX场景；决策生命周期功能投入不足，商业模式与DIP运营模式存在轻微错配</w:t>
            </w:r>
          </w:p>
        </w:tc>
      </w:tr>
      <w:tr>
        <w:tc>
          <w:tcPr>
            <w:tcW w:type="dxa" w:w="873"/>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19"/>
              </w:rPr>
              <w:t>Sapiens</w:t>
            </w:r>
          </w:p>
        </w:tc>
        <w:tc>
          <w:tcPr>
            <w:tcW w:type="dxa" w:w="873"/>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19"/>
              </w:rPr>
              <w:t>远见者</w:t>
            </w:r>
          </w:p>
        </w:tc>
        <w:tc>
          <w:tcPr>
            <w:tcW w:type="dxa" w:w="1611"/>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19"/>
              </w:rPr>
              <w:t>英国伦敦／1982年（2025年12月被Advent收购）</w:t>
            </w:r>
          </w:p>
        </w:tc>
        <w:tc>
          <w:tcPr>
            <w:tcW w:type="dxa" w:w="282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19"/>
              </w:rPr>
              <w:t>敏捷响应能力强，生成式AI驱动的决策建模与可视化领先；垂直行业（抵押贷款、保险）路线图清晰</w:t>
            </w:r>
          </w:p>
        </w:tc>
        <w:tc>
          <w:tcPr>
            <w:tcW w:type="dxa" w:w="282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19"/>
              </w:rPr>
              <w:t>决策平台营收与增长率相对较低，研发投入有限；销售模式偏选择性直销，渠道与合作伙伴网络较窄</w:t>
            </w:r>
          </w:p>
        </w:tc>
      </w:tr>
      <w:tr>
        <w:tc>
          <w:tcPr>
            <w:tcW w:type="dxa" w:w="873"/>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19"/>
              </w:rPr>
              <w:t>Faculty</w:t>
            </w:r>
          </w:p>
        </w:tc>
        <w:tc>
          <w:tcPr>
            <w:tcW w:type="dxa" w:w="873"/>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19"/>
              </w:rPr>
              <w:t>远见者</w:t>
            </w:r>
          </w:p>
        </w:tc>
        <w:tc>
          <w:tcPr>
            <w:tcW w:type="dxa" w:w="1611"/>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19"/>
              </w:rPr>
              <w:t>英国伦敦／2014年（2026年1月埃森哲宣布收购计划）</w:t>
            </w:r>
          </w:p>
        </w:tc>
        <w:tc>
          <w:tcPr>
            <w:tcW w:type="dxa" w:w="282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19"/>
              </w:rPr>
              <w:t>售前支持灵活、定价模式可预测；计算孪生技术领先，人机协作与情景规划洞察深刻</w:t>
            </w:r>
          </w:p>
        </w:tc>
        <w:tc>
          <w:tcPr>
            <w:tcW w:type="dxa" w:w="282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19"/>
              </w:rPr>
              <w:t>Critical Capabilities评估中平台深度不足，缺实时流处理/多模态数据/知识图谱等能力；区域战略集中于EMEA，其他地区支持存疑</w:t>
            </w:r>
          </w:p>
        </w:tc>
      </w:tr>
      <w:tr>
        <w:tc>
          <w:tcPr>
            <w:tcW w:type="dxa" w:w="873"/>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19"/>
              </w:rPr>
              <w:t>o9 Solutions</w:t>
            </w:r>
          </w:p>
        </w:tc>
        <w:tc>
          <w:tcPr>
            <w:tcW w:type="dxa" w:w="873"/>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19"/>
              </w:rPr>
              <w:t>细分领域参与者</w:t>
            </w:r>
          </w:p>
        </w:tc>
        <w:tc>
          <w:tcPr>
            <w:tcW w:type="dxa" w:w="1611"/>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19"/>
              </w:rPr>
              <w:t>美国德克萨斯州达拉斯／2009年</w:t>
            </w:r>
          </w:p>
        </w:tc>
        <w:tc>
          <w:tcPr>
            <w:tcW w:type="dxa" w:w="282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19"/>
              </w:rPr>
              <w:t>客户体验与SLA可靠性强，供应链决策价值可衡量；全球区域合作伙伴生态完善</w:t>
            </w:r>
          </w:p>
        </w:tc>
        <w:tc>
          <w:tcPr>
            <w:tcW w:type="dxa" w:w="282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19"/>
              </w:rPr>
              <w:t>平台在决策分析、执行与协作方面存在改进空间；商业模式演进披露有限，供应链以外新客户拓展较慢</w:t>
            </w:r>
          </w:p>
        </w:tc>
      </w:tr>
      <w:tr>
        <w:tc>
          <w:tcPr>
            <w:tcW w:type="dxa" w:w="873"/>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19"/>
              </w:rPr>
              <w:t>Oracle</w:t>
            </w:r>
          </w:p>
        </w:tc>
        <w:tc>
          <w:tcPr>
            <w:tcW w:type="dxa" w:w="873"/>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19"/>
              </w:rPr>
              <w:t>细分领域参与者</w:t>
            </w:r>
          </w:p>
        </w:tc>
        <w:tc>
          <w:tcPr>
            <w:tcW w:type="dxa" w:w="1611"/>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19"/>
              </w:rPr>
              <w:t>美国加利福尼亚州红木海岸／1977年</w:t>
            </w:r>
          </w:p>
        </w:tc>
        <w:tc>
          <w:tcPr>
            <w:tcW w:type="dxa" w:w="282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19"/>
              </w:rPr>
              <w:t>财务稳健、研发投入持续；依托OCI云基础设施与全球服务商合作，市场声量高</w:t>
            </w:r>
          </w:p>
        </w:tc>
        <w:tc>
          <w:tcPr>
            <w:tcW w:type="dxa" w:w="282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19"/>
              </w:rPr>
              <w:t>DIP在其整体业务中占比很小，投资承诺不够清晰；创新举措分散，未专门针对决策智能能力设计</w:t>
            </w:r>
          </w:p>
        </w:tc>
      </w:tr>
      <w:tr>
        <w:tc>
          <w:tcPr>
            <w:tcW w:type="dxa" w:w="873"/>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19"/>
              </w:rPr>
              <w:t>InRule Technology</w:t>
            </w:r>
          </w:p>
        </w:tc>
        <w:tc>
          <w:tcPr>
            <w:tcW w:type="dxa" w:w="873"/>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19"/>
              </w:rPr>
              <w:t>细分领域参与者</w:t>
            </w:r>
          </w:p>
        </w:tc>
        <w:tc>
          <w:tcPr>
            <w:tcW w:type="dxa" w:w="1611"/>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19"/>
              </w:rPr>
              <w:t>美国伊利诺伊州芝加哥／2002年</w:t>
            </w:r>
          </w:p>
        </w:tc>
        <w:tc>
          <w:tcPr>
            <w:tcW w:type="dxa" w:w="282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19"/>
              </w:rPr>
              <w:t>定价透明、SaaS与本地部署灵活，PoC与培训降低实施风险；聚焦监管行业与CIO主导采购</w:t>
            </w:r>
          </w:p>
        </w:tc>
        <w:tc>
          <w:tcPr>
            <w:tcW w:type="dxa" w:w="282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19"/>
              </w:rPr>
              <w:t>客户需求响应机制有限，路线图承诺兑现不稳定；商业模式过度依赖单一市场，私有化股权结构或影响战略重心</w:t>
            </w:r>
          </w:p>
        </w:tc>
      </w:tr>
      <w:tr>
        <w:tc>
          <w:tcPr>
            <w:tcW w:type="dxa" w:w="873"/>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19"/>
              </w:rPr>
              <w:t>FlexRule</w:t>
            </w:r>
          </w:p>
        </w:tc>
        <w:tc>
          <w:tcPr>
            <w:tcW w:type="dxa" w:w="873"/>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19"/>
              </w:rPr>
              <w:t>细分领域参与者</w:t>
            </w:r>
          </w:p>
        </w:tc>
        <w:tc>
          <w:tcPr>
            <w:tcW w:type="dxa" w:w="1611"/>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19"/>
              </w:rPr>
              <w:t>澳大利亚墨尔本／2016年</w:t>
            </w:r>
          </w:p>
        </w:tc>
        <w:tc>
          <w:tcPr>
            <w:tcW w:type="dxa" w:w="282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19"/>
              </w:rPr>
              <w:t>敏捷交付、开放平台专利技术支持DMN Level 3；以决策为中心助力BI向DI转型</w:t>
            </w:r>
          </w:p>
        </w:tc>
        <w:tc>
          <w:tcPr>
            <w:tcW w:type="dxa" w:w="282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19"/>
              </w:rPr>
              <w:t>公司规模小、研发人员少，长期投资能力存疑；垂直行业路线图推进缓慢，客户满意度证据不足</w:t>
            </w:r>
          </w:p>
        </w:tc>
      </w:tr>
      <w:tr>
        <w:tc>
          <w:tcPr>
            <w:tcW w:type="dxa" w:w="873"/>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19"/>
              </w:rPr>
              <w:t>Rulex</w:t>
            </w:r>
          </w:p>
        </w:tc>
        <w:tc>
          <w:tcPr>
            <w:tcW w:type="dxa" w:w="873"/>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19"/>
              </w:rPr>
              <w:t>细分领域参与者</w:t>
            </w:r>
          </w:p>
        </w:tc>
        <w:tc>
          <w:tcPr>
            <w:tcW w:type="dxa" w:w="1611"/>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19"/>
              </w:rPr>
              <w:t>意大利热那亚／2007年</w:t>
            </w:r>
          </w:p>
        </w:tc>
        <w:tc>
          <w:tcPr>
            <w:tcW w:type="dxa" w:w="282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19"/>
              </w:rPr>
              <w:t>PoC与试用支持完善、性价比清晰；行业定制化路线图与合作伙伴生态支持交付</w:t>
            </w:r>
          </w:p>
        </w:tc>
        <w:tc>
          <w:tcPr>
            <w:tcW w:type="dxa" w:w="282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19"/>
              </w:rPr>
              <w:t>品牌知名度有限、数字化营销渠道薄弱；近期创新集中于功能微调而非突破性进展</w:t>
            </w:r>
          </w:p>
        </w:tc>
      </w:tr>
      <w:tr>
        <w:tc>
          <w:tcPr>
            <w:tcW w:type="dxa" w:w="873"/>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19"/>
              </w:rPr>
              <w:t>RelationalAI</w:t>
            </w:r>
          </w:p>
        </w:tc>
        <w:tc>
          <w:tcPr>
            <w:tcW w:type="dxa" w:w="873"/>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19"/>
              </w:rPr>
              <w:t>细分领域参与者</w:t>
            </w:r>
          </w:p>
        </w:tc>
        <w:tc>
          <w:tcPr>
            <w:tcW w:type="dxa" w:w="1611"/>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19"/>
              </w:rPr>
              <w:t>美国加利福尼亚州伯克利／2017年</w:t>
            </w:r>
          </w:p>
        </w:tc>
        <w:tc>
          <w:tcPr>
            <w:tcW w:type="dxa" w:w="282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19"/>
              </w:rPr>
              <w:t>关系知识图谱与神经符号推理技术创新突出；与Snowflake战略合作、资金充足</w:t>
            </w:r>
          </w:p>
        </w:tc>
        <w:tc>
          <w:tcPr>
            <w:tcW w:type="dxa" w:w="282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19"/>
              </w:rPr>
              <w:t>平台缺乏决策建模、协作、治理监控等基础功能，纯代码模式适用范围有限；无明确垂直行业投资迹象</w:t>
            </w:r>
          </w:p>
        </w:tc>
      </w:tr>
      <w:tr>
        <w:tc>
          <w:tcPr>
            <w:tcW w:type="dxa" w:w="873"/>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19"/>
              </w:rPr>
              <w:t>CRIF</w:t>
            </w:r>
          </w:p>
        </w:tc>
        <w:tc>
          <w:tcPr>
            <w:tcW w:type="dxa" w:w="873"/>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19"/>
              </w:rPr>
              <w:t>细分领域参与者</w:t>
            </w:r>
          </w:p>
        </w:tc>
        <w:tc>
          <w:tcPr>
            <w:tcW w:type="dxa" w:w="1611"/>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19"/>
              </w:rPr>
              <w:t>意大利博洛尼亚／1988年</w:t>
            </w:r>
          </w:p>
        </w:tc>
        <w:tc>
          <w:tcPr>
            <w:tcW w:type="dxa" w:w="282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19"/>
              </w:rPr>
              <w:t>路线图交付及时、审计跟踪与实时变量存储等功能完善；欧洲中东非洲地区企业客户群庞大</w:t>
            </w:r>
          </w:p>
        </w:tc>
        <w:tc>
          <w:tcPr>
            <w:tcW w:type="dxa" w:w="282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19"/>
              </w:rPr>
              <w:t>品牌与产品曝光度低，搜索与分析师参与度不足；研发投入不足，图模型/知识模型/多模态等先进能力薄弱</w:t>
            </w:r>
          </w:p>
        </w:tc>
      </w:tr>
    </w:tbl>
    <w:p>
      <w:pPr>
        <w:spacing w:after="80"/>
      </w:pPr>
    </w:p>
    <w:p>
      <w:pPr>
        <w:jc w:val="center"/>
      </w:pPr>
      <w:r>
        <w:drawing>
          <wp:inline xmlns:a="http://schemas.openxmlformats.org/drawingml/2006/main" xmlns:pic="http://schemas.openxmlformats.org/drawingml/2006/picture">
            <wp:extent cx="5486400" cy="5692140"/>
            <wp:docPr id="4" name="Picture 4"/>
            <wp:cNvGraphicFramePr>
              <a:graphicFrameLocks noChangeAspect="1"/>
            </wp:cNvGraphicFramePr>
            <a:graphic>
              <a:graphicData uri="http://schemas.openxmlformats.org/drawingml/2006/picture">
                <pic:pic>
                  <pic:nvPicPr>
                    <pic:cNvPr id="0" name="gartner_dip_mq_20260126.png"/>
                    <pic:cNvPicPr/>
                  </pic:nvPicPr>
                  <pic:blipFill>
                    <a:blip r:embed="rId12"/>
                    <a:stretch>
                      <a:fillRect/>
                    </a:stretch>
                  </pic:blipFill>
                  <pic:spPr>
                    <a:xfrm>
                      <a:off x="0" y="0"/>
                      <a:ext cx="5486400" cy="5692140"/>
                    </a:xfrm>
                    <a:prstGeom prst="rect"/>
                  </pic:spPr>
                </pic:pic>
              </a:graphicData>
            </a:graphic>
          </wp:inline>
        </w:drawing>
      </w:r>
    </w:p>
    <w:p>
      <w:pPr>
        <w:spacing w:after="200"/>
        <w:jc w:val="center"/>
      </w:pPr>
      <w:r>
        <w:rPr>
          <w:rFonts w:ascii="SimSun" w:hAnsi="SimSun" w:eastAsia="SimSun" w:cs="SimSun"/>
          <w:b w:val="0"/>
          <w:color w:val="595959"/>
          <w:sz w:val="19"/>
        </w:rPr>
        <w:t>图4  Gartner决策智能平台魔力象限（原图，2026年1月26日，文档编号G00827619）</w:t>
      </w:r>
    </w:p>
    <w:p>
      <w:pPr>
        <w:pStyle w:val="Heading2"/>
        <w:spacing w:before="220" w:after="120"/>
      </w:pPr>
      <w:r>
        <w:rPr>
          <w:rFonts w:ascii="SimHei" w:hAnsi="SimHei" w:eastAsia="SimHei" w:cs="SimHei"/>
          <w:b/>
          <w:color w:val="000000"/>
          <w:sz w:val="25"/>
        </w:rPr>
        <w:t>5.4 银行业相关性解读</w:t>
      </w:r>
    </w:p>
    <w:p>
      <w:pPr>
        <w:spacing w:after="120" w:line="276" w:lineRule="auto"/>
        <w:ind w:firstLine="480"/>
      </w:pPr>
      <w:r>
        <w:rPr>
          <w:rFonts w:ascii="SimSun" w:hAnsi="SimSun" w:eastAsia="SimSun" w:cs="SimSun"/>
          <w:b w:val="0"/>
          <w:sz w:val="24"/>
        </w:rPr>
        <w:t>本次入选的17家厂商中，仅ACTICO、Aera Technology、Quantexa、RelationalAI、Rulex、CRIF、FlexRule、Faculty、Sapiens总部位于欧洲，其余为北美厂商，尚无国内厂商上榜[7]。银行相关性最强的FICO、SAS均为深耕信贷评分与风控决策数十年的老牌厂商，其"领导者"定位提示DIP并非全新赛道，而是决策管理套件、业务规则引擎向智能化、平台化演进的自然延伸——这与本报告3.2节"范式变化"的判断一致。国内银行当前的规则引擎、评分卡平台、反欺诈系统可视为DIP的本土雏形，差距主要在于治理层的全生命周期留痕、决策资产的跨场景复用，以及与因果推断（关联021）、智能体（关联001/034）等前沿能力的融合深度，而非底层技术门槛[7]。象限格局同时提示两点论证前提：其一，本次评估以银行等三个及以上行业的付费客户与客户兴趣指数为准入门槛，象限位置反映的是全球市场地位而非本行场景实测效果；其二，多家领导者厂商（如FICO、IBM）明确将2026年路线图指向智能体化决策与自然语言驱动建模，本行选型评估应重点核验这些在售功能的成熟度与生产可用性，而非仅参考路线图规划[7]。</w:t>
      </w:r>
    </w:p>
    <w:p>
      <w:pPr>
        <w:pStyle w:val="Heading2"/>
        <w:spacing w:before="220" w:after="120"/>
      </w:pPr>
      <w:r>
        <w:rPr>
          <w:rFonts w:ascii="SimHei" w:hAnsi="SimHei" w:eastAsia="SimHei" w:cs="SimHei"/>
          <w:b/>
          <w:color w:val="000000"/>
          <w:sz w:val="25"/>
        </w:rPr>
        <w:t>5.5 理性口径与研判前提</w:t>
      </w:r>
    </w:p>
    <w:p>
      <w:pPr>
        <w:spacing w:after="120" w:line="276" w:lineRule="auto"/>
        <w:ind w:firstLine="480"/>
      </w:pPr>
      <w:r>
        <w:rPr>
          <w:rFonts w:ascii="SimSun" w:hAnsi="SimSun" w:eastAsia="SimSun" w:cs="SimSun"/>
          <w:b w:val="0"/>
          <w:sz w:val="24"/>
        </w:rPr>
        <w:t>两点前提写入论证：其一，DIP与行内存量决策资产（规则引擎、评分模型平台、反欺诈系统）高度重叠，论证的首要命题是"整合还是替换"，多数情形下DIP应定位为存量决策资产的统一治理与建模层而非推倒重建；其二，决策自动化的边界受监管约束——授信等高风险决策的自动化程度须与可解释性、人工复核要求匹配（欧盟AI法案将信用评分列为高风险的口径同样适用，见ZT001第四章），DIP的价值恰在于以留痕与仿真使自动化决策"可辩护"。2026年8月的Gartner分析师专题交流进一步验证：决策自动化不应"一刀切"，业务执行层（规则边界清晰、决策高频）适合决策自动化/半自动化，高管管理层（复杂文化因素、多重不确定性）应定位为"决策支持/决策增强"而非自动化[8]。</w:t>
      </w:r>
    </w:p>
    <w:p>
      <w:pPr>
        <w:pStyle w:val="Heading1"/>
        <w:spacing w:before="280" w:after="160"/>
      </w:pPr>
      <w:r>
        <w:rPr>
          <w:rFonts w:ascii="SimHei" w:hAnsi="SimHei" w:eastAsia="SimHei" w:cs="SimHei"/>
          <w:b/>
          <w:color w:val="000000"/>
          <w:sz w:val="28"/>
        </w:rPr>
        <w:t>六、监管与合规映射</w:t>
      </w:r>
    </w:p>
    <w:p>
      <w:pPr>
        <w:spacing w:after="120" w:line="276" w:lineRule="auto"/>
        <w:ind w:firstLine="480"/>
      </w:pPr>
      <w:r>
        <w:rPr>
          <w:rFonts w:ascii="SimSun" w:hAnsi="SimSun" w:eastAsia="SimSun" w:cs="SimSun"/>
          <w:b w:val="0"/>
          <w:sz w:val="24"/>
        </w:rPr>
        <w:t>DIP与监管要求的契合度是其在银行落地的核心论据，具体对应关系如下：</w:t>
      </w:r>
    </w:p>
    <w:tbl>
      <w:tblPr>
        <w:tblW w:type="auto" w:w="0"/>
        <w:jc w:val="center"/>
        <w:tblLayout w:type="fixed"/>
        <w:tblLook w:firstColumn="1" w:firstRow="1" w:lastColumn="0" w:lastRow="0" w:noHBand="0" w:noVBand="1" w:val="04A0"/>
      </w:tblPr>
      <w:tblGrid>
        <w:gridCol w:w="3009"/>
        <w:gridCol w:w="3009"/>
        <w:gridCol w:w="3009"/>
      </w:tblGrid>
      <w:tr>
        <w:tc>
          <w:tcPr>
            <w:tcW w:type="dxa" w:w="3150"/>
            <w:tcMar>
              <w:top w:w="60" w:type="dxa"/>
              <w:bottom w:w="60" w:type="dxa"/>
              <w:left w:w="100" w:type="dxa"/>
              <w:right w:w="100" w:type="dxa"/>
            </w:tcMar>
            <w:shd w:val="clear" w:color="auto" w:fill="DCE6F1"/>
            <w:tcBorders>
              <w:top w:val="single" w:sz="2" w:color="999999"/>
              <w:left w:val="single" w:sz="2" w:color="999999"/>
              <w:bottom w:val="single" w:sz="2" w:color="999999"/>
              <w:right w:val="single" w:sz="2" w:color="999999"/>
            </w:tcBorders>
          </w:tcPr>
          <w:p>
            <w:pPr>
              <w:spacing w:after="40"/>
              <w:jc w:val="center"/>
            </w:pPr>
            <w:r/>
            <w:r>
              <w:rPr>
                <w:rFonts w:ascii="SimSun" w:hAnsi="SimSun" w:eastAsia="SimSun" w:cs="SimSun"/>
                <w:b/>
                <w:sz w:val="21"/>
              </w:rPr>
              <w:t>监管依据</w:t>
            </w:r>
          </w:p>
        </w:tc>
        <w:tc>
          <w:tcPr>
            <w:tcW w:type="dxa" w:w="2700"/>
            <w:tcMar>
              <w:top w:w="60" w:type="dxa"/>
              <w:bottom w:w="60" w:type="dxa"/>
              <w:left w:w="100" w:type="dxa"/>
              <w:right w:w="100" w:type="dxa"/>
            </w:tcMar>
            <w:shd w:val="clear" w:color="auto" w:fill="DCE6F1"/>
            <w:tcBorders>
              <w:top w:val="single" w:sz="2" w:color="999999"/>
              <w:left w:val="single" w:sz="2" w:color="999999"/>
              <w:bottom w:val="single" w:sz="2" w:color="999999"/>
              <w:right w:val="single" w:sz="2" w:color="999999"/>
            </w:tcBorders>
          </w:tcPr>
          <w:p>
            <w:pPr>
              <w:spacing w:after="40"/>
              <w:jc w:val="center"/>
            </w:pPr>
            <w:r/>
            <w:r>
              <w:rPr>
                <w:rFonts w:ascii="SimSun" w:hAnsi="SimSun" w:eastAsia="SimSun" w:cs="SimSun"/>
                <w:b/>
                <w:sz w:val="21"/>
              </w:rPr>
              <w:t>DIP对应能力</w:t>
            </w:r>
          </w:p>
        </w:tc>
        <w:tc>
          <w:tcPr>
            <w:tcW w:type="dxa" w:w="3150"/>
            <w:tcMar>
              <w:top w:w="60" w:type="dxa"/>
              <w:bottom w:w="60" w:type="dxa"/>
              <w:left w:w="100" w:type="dxa"/>
              <w:right w:w="100" w:type="dxa"/>
            </w:tcMar>
            <w:shd w:val="clear" w:color="auto" w:fill="DCE6F1"/>
            <w:tcBorders>
              <w:top w:val="single" w:sz="2" w:color="999999"/>
              <w:left w:val="single" w:sz="2" w:color="999999"/>
              <w:bottom w:val="single" w:sz="2" w:color="999999"/>
              <w:right w:val="single" w:sz="2" w:color="999999"/>
            </w:tcBorders>
          </w:tcPr>
          <w:p>
            <w:pPr>
              <w:spacing w:after="40"/>
              <w:jc w:val="center"/>
            </w:pPr>
            <w:r/>
            <w:r>
              <w:rPr>
                <w:rFonts w:ascii="SimSun" w:hAnsi="SimSun" w:eastAsia="SimSun" w:cs="SimSun"/>
                <w:b/>
                <w:sz w:val="21"/>
              </w:rPr>
              <w:t>现状与差距</w:t>
            </w:r>
          </w:p>
        </w:tc>
      </w:tr>
      <w:tr>
        <w:tc>
          <w:tcPr>
            <w:tcW w:type="dxa" w:w="315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19"/>
              </w:rPr>
              <w:t>算法金融应用信息披露与可解释要求（人民银行行业标准）</w:t>
            </w:r>
          </w:p>
        </w:tc>
        <w:tc>
          <w:tcPr>
            <w:tcW w:type="dxa" w:w="270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19"/>
              </w:rPr>
              <w:t>决策建模层的显式逻辑表达＋治理层的决策留痕</w:t>
            </w:r>
          </w:p>
        </w:tc>
        <w:tc>
          <w:tcPr>
            <w:tcW w:type="dxa" w:w="315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19"/>
              </w:rPr>
              <w:t>存量规则引擎多为隐式硬编码逻辑，显式建模与版本化程度不足</w:t>
            </w:r>
          </w:p>
        </w:tc>
      </w:tr>
      <w:tr>
        <w:tc>
          <w:tcPr>
            <w:tcW w:type="dxa" w:w="315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19"/>
              </w:rPr>
              <w:t>模型风险管理要求（验证与持续监控）</w:t>
            </w:r>
          </w:p>
        </w:tc>
        <w:tc>
          <w:tcPr>
            <w:tcW w:type="dxa" w:w="270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19"/>
              </w:rPr>
              <w:t>仿真层的上线前回放验证＋治理层的效果监控</w:t>
            </w:r>
          </w:p>
        </w:tc>
        <w:tc>
          <w:tcPr>
            <w:tcW w:type="dxa" w:w="315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19"/>
              </w:rPr>
              <w:t>策略变更普遍缺乏系统化仿真环节，多依赖上线后观察</w:t>
            </w:r>
          </w:p>
        </w:tc>
      </w:tr>
      <w:tr>
        <w:tc>
          <w:tcPr>
            <w:tcW w:type="dxa" w:w="315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19"/>
              </w:rPr>
              <w:t>消费者权益保护（定价与授信公平性）</w:t>
            </w:r>
          </w:p>
        </w:tc>
        <w:tc>
          <w:tcPr>
            <w:tcW w:type="dxa" w:w="270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19"/>
              </w:rPr>
              <w:t>治理层的偏见检测与漂移监控</w:t>
            </w:r>
          </w:p>
        </w:tc>
        <w:tc>
          <w:tcPr>
            <w:tcW w:type="dxa" w:w="315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19"/>
              </w:rPr>
              <w:t>偏见检测能力目前多为人工抽检，系统化、常态化监控机制待建</w:t>
            </w:r>
          </w:p>
        </w:tc>
      </w:tr>
      <w:tr>
        <w:tc>
          <w:tcPr>
            <w:tcW w:type="dxa" w:w="315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19"/>
              </w:rPr>
              <w:t>高风险决策的自动化边界（参照欧盟AI法案信用评分高风险认定口径，见ZT001第四章）</w:t>
            </w:r>
          </w:p>
        </w:tc>
        <w:tc>
          <w:tcPr>
            <w:tcW w:type="dxa" w:w="270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19"/>
              </w:rPr>
              <w:t>分级自动化能力＋仿真证据支撑的回退机制</w:t>
            </w:r>
          </w:p>
        </w:tc>
        <w:tc>
          <w:tcPr>
            <w:tcW w:type="dxa" w:w="315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19"/>
              </w:rPr>
              <w:t>决策自动化程度的分级授权制度目前尚未与技术能力显式映射</w:t>
            </w:r>
          </w:p>
        </w:tc>
      </w:tr>
    </w:tbl>
    <w:p>
      <w:pPr>
        <w:spacing w:after="80"/>
      </w:pPr>
    </w:p>
    <w:p>
      <w:pPr>
        <w:spacing w:after="120" w:line="276" w:lineRule="auto"/>
        <w:ind w:firstLine="480"/>
      </w:pPr>
      <w:r>
        <w:rPr>
          <w:rFonts w:ascii="SimSun" w:hAnsi="SimSun" w:eastAsia="SimSun" w:cs="SimSun"/>
          <w:b w:val="0"/>
          <w:sz w:val="24"/>
        </w:rPr>
        <w:t>反向约束是：决策自动化的每一步扩权（从人工决策到建议、到自动+人工抽检、到全自动）都应有仿真证据与回退机制支撑，DIP的分级自动化能力应显式映射到行内决策权限体系。Gartner分析师交流亦确认，高管层战略决策（如重大投资、流动性管理）应坚持"决策支持/决策增强"定位，最终裁决权留在人，避免平台承担难以承受的战略决策风险[8]。</w:t>
      </w:r>
    </w:p>
    <w:p>
      <w:pPr>
        <w:pStyle w:val="Heading1"/>
        <w:spacing w:before="280" w:after="160"/>
      </w:pPr>
      <w:r>
        <w:rPr>
          <w:rFonts w:ascii="SimHei" w:hAnsi="SimHei" w:eastAsia="SimHei" w:cs="SimHei"/>
          <w:b/>
          <w:color w:val="000000"/>
          <w:sz w:val="28"/>
        </w:rPr>
        <w:t>七、同业实践与案例研究</w:t>
      </w:r>
    </w:p>
    <w:p>
      <w:pPr>
        <w:pStyle w:val="Heading2"/>
        <w:spacing w:before="220" w:after="120"/>
      </w:pPr>
      <w:r>
        <w:rPr>
          <w:rFonts w:ascii="SimHei" w:hAnsi="SimHei" w:eastAsia="SimHei" w:cs="SimHei"/>
          <w:b/>
          <w:color w:val="000000"/>
          <w:sz w:val="25"/>
        </w:rPr>
        <w:t>案例1：英国全国建屋互助会（Nationwide Building Society）——FICO Platform信贷决策云化实施</w:t>
      </w:r>
    </w:p>
    <w:p>
      <w:pPr>
        <w:spacing w:after="120" w:line="276" w:lineRule="auto"/>
        <w:ind w:firstLine="480"/>
      </w:pPr>
      <w:r>
        <w:rPr>
          <w:rFonts w:ascii="SimSun" w:hAnsi="SimSun" w:eastAsia="SimSun" w:cs="SimSun"/>
          <w:b w:val="0"/>
          <w:sz w:val="24"/>
        </w:rPr>
        <w:t>机构背景：Nationwide Building Society是英国最大的建屋互助会、第三大抵押贷款提供机构，业务覆盖抵押贷款、信用卡、个人贷款与活期账户等多条产品线[10]。</w:t>
      </w:r>
    </w:p>
    <w:p>
      <w:pPr>
        <w:spacing w:after="120" w:line="276" w:lineRule="auto"/>
        <w:ind w:firstLine="480"/>
      </w:pPr>
      <w:r>
        <w:rPr>
          <w:rFonts w:ascii="SimSun" w:hAnsi="SimSun" w:eastAsia="SimSun" w:cs="SimSun"/>
          <w:b w:val="0"/>
          <w:sz w:val="24"/>
        </w:rPr>
        <w:t>具体做法：为解决抵押贷款、贷款、信用卡各业务线决策系统分散导致的操作风险隐患，Nationwide采用云端FICO Platform，将原本分散于多个遗留系统的信贷决策逻辑统一迁移至同一决策平台。项目历时7个月完成首批迁移、12个月内完成五条产品线的全部迁移，每月处理约150万笔信贷决策[10]。</w:t>
      </w:r>
    </w:p>
    <w:p>
      <w:pPr>
        <w:spacing w:after="120" w:line="276" w:lineRule="auto"/>
        <w:ind w:firstLine="480"/>
      </w:pPr>
      <w:r>
        <w:rPr>
          <w:rFonts w:ascii="SimSun" w:hAnsi="SimSun" w:eastAsia="SimSun" w:cs="SimSun"/>
          <w:b w:val="0"/>
          <w:sz w:val="24"/>
        </w:rPr>
        <w:t>量化效果：决策组件的更新耗时缩短50%，新策略的上线实施速度提升30%；迁移后其净推荐值（NPS）在英国市场排名第三，在高街金融服务机构中排名第一。项目负责人表示"过去需要数周才能完成的变更，现在数天即可实施，客户也感受到了更快、更个性化的服务"[10]。该项目荣获2025年度FICO决策奖（云部署类）[10]。</w:t>
      </w:r>
    </w:p>
    <w:p>
      <w:pPr>
        <w:spacing w:after="120" w:line="276" w:lineRule="auto"/>
        <w:ind w:firstLine="480"/>
      </w:pPr>
      <w:r>
        <w:rPr>
          <w:rFonts w:ascii="SimSun" w:hAnsi="SimSun" w:eastAsia="SimSun" w:cs="SimSun"/>
          <w:b w:val="0"/>
          <w:sz w:val="24"/>
        </w:rPr>
        <w:t>可借鉴之处：其"分散决策逻辑→统一决策平台"的迁移路径验证了本报告3.2节"决策资产化"的价值主张——决策组件更新与策略上线速度的量化提升（50%/30%）为本报告9.3节效益测算提供了可参照的实证区间；其7个月完成首批迁移、12个月完成全部产品线迁移的节奏，也为9.1节实施路线图的周期设定提供了同业参考。</w:t>
      </w:r>
    </w:p>
    <w:p>
      <w:pPr>
        <w:spacing w:after="200"/>
        <w:jc w:val="center"/>
      </w:pPr>
      <w:r>
        <w:rPr>
          <w:rFonts w:ascii="SimSun" w:hAnsi="SimSun" w:eastAsia="SimSun" w:cs="SimSun"/>
          <w:b w:val="0"/>
          <w:color w:val="595959"/>
          <w:sz w:val="19"/>
        </w:rPr>
        <w:t>信源与核实状态：FICO官方新闻稿（2026年3月11日发布，公开可查），已核实[10]。</w:t>
      </w:r>
    </w:p>
    <w:p>
      <w:pPr>
        <w:pStyle w:val="Heading2"/>
        <w:spacing w:before="220" w:after="120"/>
      </w:pPr>
      <w:r>
        <w:rPr>
          <w:rFonts w:ascii="SimHei" w:hAnsi="SimHei" w:eastAsia="SimHei" w:cs="SimHei"/>
          <w:b/>
          <w:color w:val="000000"/>
          <w:sz w:val="25"/>
        </w:rPr>
        <w:t>案例2：Quantexa——决策智能平台的第三方独立量化评估</w:t>
      </w:r>
    </w:p>
    <w:p>
      <w:pPr>
        <w:spacing w:after="120" w:line="276" w:lineRule="auto"/>
        <w:ind w:firstLine="480"/>
      </w:pPr>
      <w:r>
        <w:rPr>
          <w:rFonts w:ascii="SimSun" w:hAnsi="SimSun" w:eastAsia="SimSun" w:cs="SimSun"/>
          <w:b w:val="0"/>
          <w:sz w:val="24"/>
        </w:rPr>
        <w:t>Quantexa是本次Gartner魔力象限领导者之一，其决策智能平台聚焦实体关联分析与决策自动化[7]。第三方咨询机构Forrester Consulting于2024年受托对其决策智能平台开展了"总体经济影响"（Total Economic Impact）研究，访谈了包括银行业在内的六家客户机构的数据条线负责人[11]。</w:t>
      </w:r>
    </w:p>
    <w:p>
      <w:pPr>
        <w:spacing w:after="120" w:line="276" w:lineRule="auto"/>
        <w:ind w:firstLine="480"/>
      </w:pPr>
      <w:r>
        <w:rPr>
          <w:rFonts w:ascii="SimSun" w:hAnsi="SimSun" w:eastAsia="SimSun" w:cs="SimSun"/>
          <w:b w:val="0"/>
          <w:sz w:val="24"/>
        </w:rPr>
        <w:t>量化效果：研究测算的综合样本显示，三年期投资回报率达228%，投资回收期不足8个月，三年净现值收益约3480万美元；相较传统方式，分析模型求解速度提升60倍，准确度提升90%[11]。该研究未披露具体客户机构名称，属厂商委托第三方对多家客户的综合评估，而非单一机构的实名案例，特此注明。</w:t>
      </w:r>
    </w:p>
    <w:p>
      <w:pPr>
        <w:spacing w:after="120" w:line="276" w:lineRule="auto"/>
        <w:ind w:firstLine="480"/>
      </w:pPr>
      <w:r>
        <w:rPr>
          <w:rFonts w:ascii="SimSun" w:hAnsi="SimSun" w:eastAsia="SimSun" w:cs="SimSun"/>
          <w:b w:val="0"/>
          <w:sz w:val="24"/>
        </w:rPr>
        <w:t>可借鉴之处：其量化的投资回报区间与模型求解效率提升幅度，可作为本报告9.3节效益测算"乐观情形"的外部参照上限。</w:t>
      </w:r>
    </w:p>
    <w:p>
      <w:pPr>
        <w:spacing w:after="200"/>
        <w:jc w:val="center"/>
      </w:pPr>
      <w:r>
        <w:rPr>
          <w:rFonts w:ascii="SimSun" w:hAnsi="SimSun" w:eastAsia="SimSun" w:cs="SimSun"/>
          <w:b w:val="0"/>
          <w:color w:val="595959"/>
          <w:sz w:val="19"/>
        </w:rPr>
        <w:t>信源与核实状态：Forrester Consulting对Quantexa委托研究的公开新闻稿，已核实；样本为多客户综合评估，非单一实名案例[11]。</w:t>
      </w:r>
    </w:p>
    <w:p>
      <w:pPr>
        <w:pStyle w:val="Heading2"/>
        <w:spacing w:before="220" w:after="120"/>
      </w:pPr>
      <w:r>
        <w:rPr>
          <w:rFonts w:ascii="SimHei" w:hAnsi="SimHei" w:eastAsia="SimHei" w:cs="SimHei"/>
          <w:b/>
          <w:color w:val="000000"/>
          <w:sz w:val="25"/>
        </w:rPr>
        <w:t>案例小结</w:t>
      </w:r>
    </w:p>
    <w:p>
      <w:pPr>
        <w:spacing w:after="120" w:line="276" w:lineRule="auto"/>
        <w:ind w:firstLine="480"/>
      </w:pPr>
      <w:r>
        <w:rPr>
          <w:rFonts w:ascii="SimSun" w:hAnsi="SimSun" w:eastAsia="SimSun" w:cs="SimSun"/>
          <w:b w:val="0"/>
          <w:sz w:val="24"/>
        </w:rPr>
        <w:t>两个案例共性规律：一是均验证"决策资产化"（统一决策逻辑、跨产品线复用）本身能带来可量化的效率提升，Nationwide的决策组件更新提速50%、策略上线提速30%即是直接证据；二是量化投资回报与实施周期已有公开的同业/行业基准可参照（Nationwide的7—12个月迁移节奏、Quantexa客户群体228%的三年ROI），本行论证阶段的效益测算可与之对标校准；三是两个案例均来自魔力象限领导者厂商（FICO、Quantexa）的客户/研究实践，侧面印证了5.1节"银行核心决策场景成熟供给已经存在"的判断。国内目前尚未找到以"决策智能平台"名义公开披露的同业实名案例——国内头部银行的智能风控平台与统一建模平台建设可视为DIP的本土雏形，但规则引擎+模型服务+特征平台的组合中"决策资产化"程度不一，决策逻辑散落在各业务系统、口径不统一、变更靠人工评审仍是常见痛点，特此如实说明。</w:t>
      </w:r>
    </w:p>
    <w:p>
      <w:pPr>
        <w:pStyle w:val="Heading1"/>
        <w:spacing w:before="280" w:after="160"/>
      </w:pPr>
      <w:r>
        <w:rPr>
          <w:rFonts w:ascii="SimHei" w:hAnsi="SimHei" w:eastAsia="SimHei" w:cs="SimHei"/>
          <w:b/>
          <w:color w:val="000000"/>
          <w:sz w:val="28"/>
        </w:rPr>
        <w:t>八、影响分析</w:t>
      </w:r>
    </w:p>
    <w:p>
      <w:pPr>
        <w:pStyle w:val="Heading2"/>
        <w:spacing w:before="220" w:after="120"/>
      </w:pPr>
      <w:r>
        <w:rPr>
          <w:rFonts w:ascii="SimHei" w:hAnsi="SimHei" w:eastAsia="SimHei" w:cs="SimHei"/>
          <w:b/>
          <w:color w:val="000000"/>
          <w:sz w:val="25"/>
        </w:rPr>
        <w:t>8.1 机遇与价值</w:t>
      </w:r>
    </w:p>
    <w:p>
      <w:pPr>
        <w:spacing w:after="100" w:line="276" w:lineRule="auto"/>
        <w:ind w:left="240"/>
      </w:pPr>
      <w:r>
        <w:rPr>
          <w:rFonts w:ascii="SimSun" w:hAnsi="SimSun" w:eastAsia="SimSun" w:cs="SimSun"/>
          <w:b w:val="0"/>
          <w:sz w:val="24"/>
        </w:rPr>
        <w:t>－ 决策质量与迭代速度：策略仿真使决策变更从"上线观察"变为"先验证后上线"，直接降低策略事故；Gartner预测经明确建模的决策速度可提升80%[7]。</w:t>
      </w:r>
    </w:p>
    <w:p>
      <w:pPr>
        <w:spacing w:after="100" w:line="276" w:lineRule="auto"/>
        <w:ind w:left="240"/>
      </w:pPr>
      <w:r>
        <w:rPr>
          <w:rFonts w:ascii="SimSun" w:hAnsi="SimSun" w:eastAsia="SimSun" w:cs="SimSun"/>
          <w:b w:val="0"/>
          <w:sz w:val="24"/>
        </w:rPr>
        <w:t>－ 决策资产复用：特征、规则与模型组件跨场景复用，缩短新决策场景建设周期。</w:t>
      </w:r>
    </w:p>
    <w:p>
      <w:pPr>
        <w:spacing w:after="100" w:line="276" w:lineRule="auto"/>
        <w:ind w:left="240"/>
      </w:pPr>
      <w:r>
        <w:rPr>
          <w:rFonts w:ascii="SimSun" w:hAnsi="SimSun" w:eastAsia="SimSun" w:cs="SimSun"/>
          <w:b w:val="0"/>
          <w:sz w:val="24"/>
        </w:rPr>
        <w:t>－ 合规确定性：决策留痕与可解释能力直接承接监管要求，自动化决策"可辩护"[2][5]。</w:t>
      </w:r>
    </w:p>
    <w:p>
      <w:pPr>
        <w:spacing w:after="100" w:line="276" w:lineRule="auto"/>
        <w:ind w:left="240"/>
      </w:pPr>
      <w:r>
        <w:rPr>
          <w:rFonts w:ascii="SimSun" w:hAnsi="SimSun" w:eastAsia="SimSun" w:cs="SimSun"/>
          <w:b w:val="0"/>
          <w:sz w:val="24"/>
        </w:rPr>
        <w:t>－ 与AI战略协同：为001智能体的决策类动作提供受治理的决策服务，与021因果AI结合提升反事实推演能力，形成本行AI治理架构的关键一环。</w:t>
      </w:r>
    </w:p>
    <w:p>
      <w:pPr>
        <w:pStyle w:val="Heading2"/>
        <w:spacing w:before="220" w:after="120"/>
      </w:pPr>
      <w:r>
        <w:rPr>
          <w:rFonts w:ascii="SimHei" w:hAnsi="SimHei" w:eastAsia="SimHei" w:cs="SimHei"/>
          <w:b/>
          <w:color w:val="000000"/>
          <w:sz w:val="25"/>
        </w:rPr>
        <w:t>8.2 风险与挑战</w:t>
      </w:r>
    </w:p>
    <w:tbl>
      <w:tblPr>
        <w:tblW w:type="auto" w:w="0"/>
        <w:jc w:val="center"/>
        <w:tblLayout w:type="fixed"/>
        <w:tblLook w:firstColumn="1" w:firstRow="1" w:lastColumn="0" w:lastRow="0" w:noHBand="0" w:noVBand="1" w:val="04A0"/>
      </w:tblPr>
      <w:tblGrid>
        <w:gridCol w:w="1504"/>
        <w:gridCol w:w="1504"/>
        <w:gridCol w:w="1504"/>
        <w:gridCol w:w="1504"/>
        <w:gridCol w:w="1504"/>
        <w:gridCol w:w="1504"/>
      </w:tblGrid>
      <w:tr>
        <w:tc>
          <w:tcPr>
            <w:tcW w:type="dxa" w:w="1544"/>
            <w:tcMar>
              <w:top w:w="60" w:type="dxa"/>
              <w:bottom w:w="60" w:type="dxa"/>
              <w:left w:w="100" w:type="dxa"/>
              <w:right w:w="100" w:type="dxa"/>
            </w:tcMar>
            <w:shd w:val="clear" w:color="auto" w:fill="DCE6F1"/>
            <w:tcBorders>
              <w:top w:val="single" w:sz="2" w:color="999999"/>
              <w:left w:val="single" w:sz="2" w:color="999999"/>
              <w:bottom w:val="single" w:sz="2" w:color="999999"/>
              <w:right w:val="single" w:sz="2" w:color="999999"/>
            </w:tcBorders>
          </w:tcPr>
          <w:p>
            <w:pPr>
              <w:spacing w:after="40"/>
              <w:jc w:val="center"/>
            </w:pPr>
            <w:r/>
            <w:r>
              <w:rPr>
                <w:rFonts w:ascii="SimSun" w:hAnsi="SimSun" w:eastAsia="SimSun" w:cs="SimSun"/>
                <w:b/>
                <w:sz w:val="21"/>
              </w:rPr>
              <w:t>风险项</w:t>
            </w:r>
          </w:p>
        </w:tc>
        <w:tc>
          <w:tcPr>
            <w:tcW w:type="dxa" w:w="604"/>
            <w:tcMar>
              <w:top w:w="60" w:type="dxa"/>
              <w:bottom w:w="60" w:type="dxa"/>
              <w:left w:w="100" w:type="dxa"/>
              <w:right w:w="100" w:type="dxa"/>
            </w:tcMar>
            <w:shd w:val="clear" w:color="auto" w:fill="DCE6F1"/>
            <w:tcBorders>
              <w:top w:val="single" w:sz="2" w:color="999999"/>
              <w:left w:val="single" w:sz="2" w:color="999999"/>
              <w:bottom w:val="single" w:sz="2" w:color="999999"/>
              <w:right w:val="single" w:sz="2" w:color="999999"/>
            </w:tcBorders>
          </w:tcPr>
          <w:p>
            <w:pPr>
              <w:spacing w:after="40"/>
              <w:jc w:val="center"/>
            </w:pPr>
            <w:r/>
            <w:r>
              <w:rPr>
                <w:rFonts w:ascii="SimSun" w:hAnsi="SimSun" w:eastAsia="SimSun" w:cs="SimSun"/>
                <w:b/>
                <w:sz w:val="21"/>
              </w:rPr>
              <w:t>概率</w:t>
            </w:r>
          </w:p>
        </w:tc>
        <w:tc>
          <w:tcPr>
            <w:tcW w:type="dxa" w:w="671"/>
            <w:tcMar>
              <w:top w:w="60" w:type="dxa"/>
              <w:bottom w:w="60" w:type="dxa"/>
              <w:left w:w="100" w:type="dxa"/>
              <w:right w:w="100" w:type="dxa"/>
            </w:tcMar>
            <w:shd w:val="clear" w:color="auto" w:fill="DCE6F1"/>
            <w:tcBorders>
              <w:top w:val="single" w:sz="2" w:color="999999"/>
              <w:left w:val="single" w:sz="2" w:color="999999"/>
              <w:bottom w:val="single" w:sz="2" w:color="999999"/>
              <w:right w:val="single" w:sz="2" w:color="999999"/>
            </w:tcBorders>
          </w:tcPr>
          <w:p>
            <w:pPr>
              <w:spacing w:after="40"/>
              <w:jc w:val="center"/>
            </w:pPr>
            <w:r/>
            <w:r>
              <w:rPr>
                <w:rFonts w:ascii="SimSun" w:hAnsi="SimSun" w:eastAsia="SimSun" w:cs="SimSun"/>
                <w:b/>
                <w:sz w:val="21"/>
              </w:rPr>
              <w:t>影响</w:t>
            </w:r>
          </w:p>
        </w:tc>
        <w:tc>
          <w:tcPr>
            <w:tcW w:type="dxa" w:w="2149"/>
            <w:tcMar>
              <w:top w:w="60" w:type="dxa"/>
              <w:bottom w:w="60" w:type="dxa"/>
              <w:left w:w="100" w:type="dxa"/>
              <w:right w:w="100" w:type="dxa"/>
            </w:tcMar>
            <w:shd w:val="clear" w:color="auto" w:fill="DCE6F1"/>
            <w:tcBorders>
              <w:top w:val="single" w:sz="2" w:color="999999"/>
              <w:left w:val="single" w:sz="2" w:color="999999"/>
              <w:bottom w:val="single" w:sz="2" w:color="999999"/>
              <w:right w:val="single" w:sz="2" w:color="999999"/>
            </w:tcBorders>
          </w:tcPr>
          <w:p>
            <w:pPr>
              <w:spacing w:after="40"/>
              <w:jc w:val="center"/>
            </w:pPr>
            <w:r/>
            <w:r>
              <w:rPr>
                <w:rFonts w:ascii="SimSun" w:hAnsi="SimSun" w:eastAsia="SimSun" w:cs="SimSun"/>
                <w:b/>
                <w:sz w:val="21"/>
              </w:rPr>
              <w:t>触发场景</w:t>
            </w:r>
          </w:p>
        </w:tc>
        <w:tc>
          <w:tcPr>
            <w:tcW w:type="dxa" w:w="2417"/>
            <w:tcMar>
              <w:top w:w="60" w:type="dxa"/>
              <w:bottom w:w="60" w:type="dxa"/>
              <w:left w:w="100" w:type="dxa"/>
              <w:right w:w="100" w:type="dxa"/>
            </w:tcMar>
            <w:shd w:val="clear" w:color="auto" w:fill="DCE6F1"/>
            <w:tcBorders>
              <w:top w:val="single" w:sz="2" w:color="999999"/>
              <w:left w:val="single" w:sz="2" w:color="999999"/>
              <w:bottom w:val="single" w:sz="2" w:color="999999"/>
              <w:right w:val="single" w:sz="2" w:color="999999"/>
            </w:tcBorders>
          </w:tcPr>
          <w:p>
            <w:pPr>
              <w:spacing w:after="40"/>
              <w:jc w:val="center"/>
            </w:pPr>
            <w:r/>
            <w:r>
              <w:rPr>
                <w:rFonts w:ascii="SimSun" w:hAnsi="SimSun" w:eastAsia="SimSun" w:cs="SimSun"/>
                <w:b/>
                <w:sz w:val="21"/>
              </w:rPr>
              <w:t>应对措施</w:t>
            </w:r>
          </w:p>
        </w:tc>
        <w:tc>
          <w:tcPr>
            <w:tcW w:type="dxa" w:w="1611"/>
            <w:tcMar>
              <w:top w:w="60" w:type="dxa"/>
              <w:bottom w:w="60" w:type="dxa"/>
              <w:left w:w="100" w:type="dxa"/>
              <w:right w:w="100" w:type="dxa"/>
            </w:tcMar>
            <w:shd w:val="clear" w:color="auto" w:fill="DCE6F1"/>
            <w:tcBorders>
              <w:top w:val="single" w:sz="2" w:color="999999"/>
              <w:left w:val="single" w:sz="2" w:color="999999"/>
              <w:bottom w:val="single" w:sz="2" w:color="999999"/>
              <w:right w:val="single" w:sz="2" w:color="999999"/>
            </w:tcBorders>
          </w:tcPr>
          <w:p>
            <w:pPr>
              <w:spacing w:after="40"/>
              <w:jc w:val="center"/>
            </w:pPr>
            <w:r/>
            <w:r>
              <w:rPr>
                <w:rFonts w:ascii="SimSun" w:hAnsi="SimSun" w:eastAsia="SimSun" w:cs="SimSun"/>
                <w:b/>
                <w:sz w:val="21"/>
              </w:rPr>
              <w:t>责任环节</w:t>
            </w:r>
          </w:p>
        </w:tc>
      </w:tr>
      <w:tr>
        <w:tc>
          <w:tcPr>
            <w:tcW w:type="dxa" w:w="1544"/>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19"/>
              </w:rPr>
              <w:t>存量整合复杂度</w:t>
            </w:r>
          </w:p>
        </w:tc>
        <w:tc>
          <w:tcPr>
            <w:tcW w:type="dxa" w:w="604"/>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19"/>
              </w:rPr>
              <w:t>高</w:t>
            </w:r>
          </w:p>
        </w:tc>
        <w:tc>
          <w:tcPr>
            <w:tcW w:type="dxa" w:w="671"/>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19"/>
              </w:rPr>
              <w:t>中—高</w:t>
            </w:r>
          </w:p>
        </w:tc>
        <w:tc>
          <w:tcPr>
            <w:tcW w:type="dxa" w:w="2149"/>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19"/>
              </w:rPr>
              <w:t>与现有规则引擎/模型平台并行运行、口径冲突</w:t>
            </w:r>
          </w:p>
        </w:tc>
        <w:tc>
          <w:tcPr>
            <w:tcW w:type="dxa" w:w="2417"/>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19"/>
              </w:rPr>
              <w:t>治理层先行、执行层渐进，先建统一决策目录与留痕标准</w:t>
            </w:r>
          </w:p>
        </w:tc>
        <w:tc>
          <w:tcPr>
            <w:tcW w:type="dxa" w:w="1611"/>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19"/>
              </w:rPr>
              <w:t>科技规划处＋业务系统条线</w:t>
            </w:r>
          </w:p>
        </w:tc>
      </w:tr>
      <w:tr>
        <w:tc>
          <w:tcPr>
            <w:tcW w:type="dxa" w:w="1544"/>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19"/>
              </w:rPr>
              <w:t>组织能力缺口（决策工程）</w:t>
            </w:r>
          </w:p>
        </w:tc>
        <w:tc>
          <w:tcPr>
            <w:tcW w:type="dxa" w:w="604"/>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19"/>
              </w:rPr>
              <w:t>中—高</w:t>
            </w:r>
          </w:p>
        </w:tc>
        <w:tc>
          <w:tcPr>
            <w:tcW w:type="dxa" w:w="671"/>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19"/>
              </w:rPr>
              <w:t>中</w:t>
            </w:r>
          </w:p>
        </w:tc>
        <w:tc>
          <w:tcPr>
            <w:tcW w:type="dxa" w:w="2149"/>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19"/>
              </w:rPr>
              <w:t>决策建模、仿真设计等新技能纯采购无法替代</w:t>
            </w:r>
          </w:p>
        </w:tc>
        <w:tc>
          <w:tcPr>
            <w:tcW w:type="dxa" w:w="2417"/>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19"/>
              </w:rPr>
              <w:t>设立决策工程岗位／团队，随POC同步培养</w:t>
            </w:r>
          </w:p>
        </w:tc>
        <w:tc>
          <w:tcPr>
            <w:tcW w:type="dxa" w:w="1611"/>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19"/>
              </w:rPr>
              <w:t>科技规划处＋人力资源</w:t>
            </w:r>
          </w:p>
        </w:tc>
      </w:tr>
      <w:tr>
        <w:tc>
          <w:tcPr>
            <w:tcW w:type="dxa" w:w="1544"/>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19"/>
              </w:rPr>
              <w:t>供应商深度绑定</w:t>
            </w:r>
          </w:p>
        </w:tc>
        <w:tc>
          <w:tcPr>
            <w:tcW w:type="dxa" w:w="604"/>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19"/>
              </w:rPr>
              <w:t>中</w:t>
            </w:r>
          </w:p>
        </w:tc>
        <w:tc>
          <w:tcPr>
            <w:tcW w:type="dxa" w:w="671"/>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19"/>
              </w:rPr>
              <w:t>中</w:t>
            </w:r>
          </w:p>
        </w:tc>
        <w:tc>
          <w:tcPr>
            <w:tcW w:type="dxa" w:w="2149"/>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19"/>
              </w:rPr>
              <w:t>FICO/SAS类平台许可与国产化适配需权衡</w:t>
            </w:r>
          </w:p>
        </w:tc>
        <w:tc>
          <w:tcPr>
            <w:tcW w:type="dxa" w:w="2417"/>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19"/>
              </w:rPr>
              <w:t>POC阶段同步评测国产平台，评估治理层成熟度差距</w:t>
            </w:r>
          </w:p>
        </w:tc>
        <w:tc>
          <w:tcPr>
            <w:tcW w:type="dxa" w:w="1611"/>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19"/>
              </w:rPr>
              <w:t>采购与科技规划处</w:t>
            </w:r>
          </w:p>
        </w:tc>
      </w:tr>
      <w:tr>
        <w:tc>
          <w:tcPr>
            <w:tcW w:type="dxa" w:w="1544"/>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19"/>
              </w:rPr>
              <w:t>自动化边界失守</w:t>
            </w:r>
          </w:p>
        </w:tc>
        <w:tc>
          <w:tcPr>
            <w:tcW w:type="dxa" w:w="604"/>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19"/>
              </w:rPr>
              <w:t>低—中</w:t>
            </w:r>
          </w:p>
        </w:tc>
        <w:tc>
          <w:tcPr>
            <w:tcW w:type="dxa" w:w="671"/>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19"/>
              </w:rPr>
              <w:t>高</w:t>
            </w:r>
          </w:p>
        </w:tc>
        <w:tc>
          <w:tcPr>
            <w:tcW w:type="dxa" w:w="2149"/>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19"/>
              </w:rPr>
              <w:t>高管战略决策或高风险授信被过度自动化</w:t>
            </w:r>
          </w:p>
        </w:tc>
        <w:tc>
          <w:tcPr>
            <w:tcW w:type="dxa" w:w="2417"/>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19"/>
              </w:rPr>
              <w:t>分级自动化制度先于技术扩权，仿真证据+回退机制强制前置</w:t>
            </w:r>
          </w:p>
        </w:tc>
        <w:tc>
          <w:tcPr>
            <w:tcW w:type="dxa" w:w="1611"/>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19"/>
              </w:rPr>
              <w:t>风险合规部＋科技规划处</w:t>
            </w:r>
          </w:p>
        </w:tc>
      </w:tr>
      <w:tr>
        <w:tc>
          <w:tcPr>
            <w:tcW w:type="dxa" w:w="1544"/>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19"/>
              </w:rPr>
              <w:t>大模型幻觉与黑盒风险</w:t>
            </w:r>
          </w:p>
        </w:tc>
        <w:tc>
          <w:tcPr>
            <w:tcW w:type="dxa" w:w="604"/>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19"/>
              </w:rPr>
              <w:t>中</w:t>
            </w:r>
          </w:p>
        </w:tc>
        <w:tc>
          <w:tcPr>
            <w:tcW w:type="dxa" w:w="671"/>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19"/>
              </w:rPr>
              <w:t>高</w:t>
            </w:r>
          </w:p>
        </w:tc>
        <w:tc>
          <w:tcPr>
            <w:tcW w:type="dxa" w:w="2149"/>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19"/>
              </w:rPr>
              <w:t>大模型直接参与决策生成而未经规则层校验</w:t>
            </w:r>
          </w:p>
        </w:tc>
        <w:tc>
          <w:tcPr>
            <w:tcW w:type="dxa" w:w="2417"/>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19"/>
              </w:rPr>
              <w:t>强制"前端交互+规则/求解器核心校验+熔断兜底"混合架构</w:t>
            </w:r>
          </w:p>
        </w:tc>
        <w:tc>
          <w:tcPr>
            <w:tcW w:type="dxa" w:w="1611"/>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19"/>
              </w:rPr>
              <w:t>科技规划处＋模型治理岗</w:t>
            </w:r>
          </w:p>
        </w:tc>
      </w:tr>
      <w:tr>
        <w:tc>
          <w:tcPr>
            <w:tcW w:type="dxa" w:w="1544"/>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19"/>
              </w:rPr>
              <w:t>实施成本超预期</w:t>
            </w:r>
          </w:p>
        </w:tc>
        <w:tc>
          <w:tcPr>
            <w:tcW w:type="dxa" w:w="604"/>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19"/>
              </w:rPr>
              <w:t>中</w:t>
            </w:r>
          </w:p>
        </w:tc>
        <w:tc>
          <w:tcPr>
            <w:tcW w:type="dxa" w:w="671"/>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19"/>
              </w:rPr>
              <w:t>中</w:t>
            </w:r>
          </w:p>
        </w:tc>
        <w:tc>
          <w:tcPr>
            <w:tcW w:type="dxa" w:w="2149"/>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19"/>
              </w:rPr>
              <w:t>低估实施服务与决策显性化工作量（通常占预算50%—70%）</w:t>
            </w:r>
          </w:p>
        </w:tc>
        <w:tc>
          <w:tcPr>
            <w:tcW w:type="dxa" w:w="2417"/>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19"/>
              </w:rPr>
              <w:t>选型评估同时核算产品与实施服务成本，分阶段控制投入</w:t>
            </w:r>
          </w:p>
        </w:tc>
        <w:tc>
          <w:tcPr>
            <w:tcW w:type="dxa" w:w="1611"/>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19"/>
              </w:rPr>
              <w:t>科技规划处＋财务</w:t>
            </w:r>
          </w:p>
        </w:tc>
      </w:tr>
    </w:tbl>
    <w:p>
      <w:pPr>
        <w:spacing w:after="80"/>
      </w:pPr>
    </w:p>
    <w:p>
      <w:pPr>
        <w:pStyle w:val="Heading2"/>
        <w:spacing w:before="220" w:after="120"/>
      </w:pPr>
      <w:r>
        <w:rPr>
          <w:rFonts w:ascii="SimHei" w:hAnsi="SimHei" w:eastAsia="SimHei" w:cs="SimHei"/>
          <w:b/>
          <w:color w:val="000000"/>
          <w:sz w:val="25"/>
        </w:rPr>
        <w:t>8.3 综合评级复核</w:t>
      </w:r>
    </w:p>
    <w:tbl>
      <w:tblPr>
        <w:tblW w:type="auto" w:w="0"/>
        <w:jc w:val="center"/>
        <w:tblLayout w:type="fixed"/>
        <w:tblLook w:firstColumn="1" w:firstRow="1" w:lastColumn="0" w:lastRow="0" w:noHBand="0" w:noVBand="1" w:val="04A0"/>
      </w:tblPr>
      <w:tblGrid>
        <w:gridCol w:w="3009"/>
        <w:gridCol w:w="3009"/>
        <w:gridCol w:w="3009"/>
      </w:tblGrid>
      <w:tr>
        <w:tc>
          <w:tcPr>
            <w:tcW w:type="dxa" w:w="2340"/>
            <w:tcMar>
              <w:top w:w="60" w:type="dxa"/>
              <w:bottom w:w="60" w:type="dxa"/>
              <w:left w:w="100" w:type="dxa"/>
              <w:right w:w="100" w:type="dxa"/>
            </w:tcMar>
            <w:shd w:val="clear" w:color="auto" w:fill="DCE6F1"/>
            <w:tcBorders>
              <w:top w:val="single" w:sz="2" w:color="999999"/>
              <w:left w:val="single" w:sz="2" w:color="999999"/>
              <w:bottom w:val="single" w:sz="2" w:color="999999"/>
              <w:right w:val="single" w:sz="2" w:color="999999"/>
            </w:tcBorders>
          </w:tcPr>
          <w:p>
            <w:pPr>
              <w:spacing w:after="40"/>
              <w:jc w:val="center"/>
            </w:pPr>
            <w:r/>
            <w:r>
              <w:rPr>
                <w:rFonts w:ascii="SimSun" w:hAnsi="SimSun" w:eastAsia="SimSun" w:cs="SimSun"/>
                <w:b/>
                <w:sz w:val="21"/>
              </w:rPr>
              <w:t>评估维度</w:t>
            </w:r>
          </w:p>
        </w:tc>
        <w:tc>
          <w:tcPr>
            <w:tcW w:type="dxa" w:w="1260"/>
            <w:tcMar>
              <w:top w:w="60" w:type="dxa"/>
              <w:bottom w:w="60" w:type="dxa"/>
              <w:left w:w="100" w:type="dxa"/>
              <w:right w:w="100" w:type="dxa"/>
            </w:tcMar>
            <w:shd w:val="clear" w:color="auto" w:fill="DCE6F1"/>
            <w:tcBorders>
              <w:top w:val="single" w:sz="2" w:color="999999"/>
              <w:left w:val="single" w:sz="2" w:color="999999"/>
              <w:bottom w:val="single" w:sz="2" w:color="999999"/>
              <w:right w:val="single" w:sz="2" w:color="999999"/>
            </w:tcBorders>
          </w:tcPr>
          <w:p>
            <w:pPr>
              <w:spacing w:after="40"/>
              <w:jc w:val="center"/>
            </w:pPr>
            <w:r/>
            <w:r>
              <w:rPr>
                <w:rFonts w:ascii="SimSun" w:hAnsi="SimSun" w:eastAsia="SimSun" w:cs="SimSun"/>
                <w:b/>
                <w:sz w:val="21"/>
              </w:rPr>
              <w:t>评级</w:t>
            </w:r>
          </w:p>
        </w:tc>
        <w:tc>
          <w:tcPr>
            <w:tcW w:type="dxa" w:w="5400"/>
            <w:tcMar>
              <w:top w:w="60" w:type="dxa"/>
              <w:bottom w:w="60" w:type="dxa"/>
              <w:left w:w="100" w:type="dxa"/>
              <w:right w:w="100" w:type="dxa"/>
            </w:tcMar>
            <w:shd w:val="clear" w:color="auto" w:fill="DCE6F1"/>
            <w:tcBorders>
              <w:top w:val="single" w:sz="2" w:color="999999"/>
              <w:left w:val="single" w:sz="2" w:color="999999"/>
              <w:bottom w:val="single" w:sz="2" w:color="999999"/>
              <w:right w:val="single" w:sz="2" w:color="999999"/>
            </w:tcBorders>
          </w:tcPr>
          <w:p>
            <w:pPr>
              <w:spacing w:after="40"/>
              <w:jc w:val="center"/>
            </w:pPr>
            <w:r/>
            <w:r>
              <w:rPr>
                <w:rFonts w:ascii="SimSun" w:hAnsi="SimSun" w:eastAsia="SimSun" w:cs="SimSun"/>
                <w:b/>
                <w:sz w:val="21"/>
              </w:rPr>
              <w:t>复核依据（2026-08）</w:t>
            </w:r>
          </w:p>
        </w:tc>
      </w:tr>
      <w:tr>
        <w:tc>
          <w:tcPr>
            <w:tcW w:type="dxa" w:w="234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19"/>
              </w:rPr>
              <w:t>技术成熟度</w:t>
            </w:r>
          </w:p>
        </w:tc>
        <w:tc>
          <w:tcPr>
            <w:tcW w:type="dxa" w:w="126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19"/>
              </w:rPr>
              <w:t>中</w:t>
            </w:r>
          </w:p>
        </w:tc>
        <w:tc>
          <w:tcPr>
            <w:tcW w:type="dxa" w:w="540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19"/>
              </w:rPr>
              <w:t>首版魔力象限已发布（2026.01）、FICO/SAS等厂商成熟；2026-08 Gartner分析师专题交流验证银行业落地路径已形成行业共识</w:t>
            </w:r>
          </w:p>
        </w:tc>
      </w:tr>
      <w:tr>
        <w:tc>
          <w:tcPr>
            <w:tcW w:type="dxa" w:w="234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19"/>
              </w:rPr>
              <w:t>与本行契合度</w:t>
            </w:r>
          </w:p>
        </w:tc>
        <w:tc>
          <w:tcPr>
            <w:tcW w:type="dxa" w:w="126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19"/>
              </w:rPr>
              <w:t>高</w:t>
            </w:r>
          </w:p>
        </w:tc>
        <w:tc>
          <w:tcPr>
            <w:tcW w:type="dxa" w:w="540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19"/>
              </w:rPr>
              <w:t>授信/风控/营销定价本质即决策，契合度极高；存量决策资产可整合</w:t>
            </w:r>
          </w:p>
        </w:tc>
      </w:tr>
      <w:tr>
        <w:tc>
          <w:tcPr>
            <w:tcW w:type="dxa" w:w="234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19"/>
              </w:rPr>
              <w:t>潜在业务价值</w:t>
            </w:r>
          </w:p>
        </w:tc>
        <w:tc>
          <w:tcPr>
            <w:tcW w:type="dxa" w:w="126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19"/>
              </w:rPr>
              <w:t>高</w:t>
            </w:r>
          </w:p>
        </w:tc>
        <w:tc>
          <w:tcPr>
            <w:tcW w:type="dxa" w:w="540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19"/>
              </w:rPr>
              <w:t>决策自动化与增强直接创造业务价值，决策留痕支撑合规，价值高且可量化</w:t>
            </w:r>
          </w:p>
        </w:tc>
      </w:tr>
      <w:tr>
        <w:tc>
          <w:tcPr>
            <w:tcW w:type="dxa" w:w="234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19"/>
              </w:rPr>
              <w:t>引入风险与门槛</w:t>
            </w:r>
          </w:p>
        </w:tc>
        <w:tc>
          <w:tcPr>
            <w:tcW w:type="dxa" w:w="126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19"/>
              </w:rPr>
              <w:t>中</w:t>
            </w:r>
          </w:p>
        </w:tc>
        <w:tc>
          <w:tcPr>
            <w:tcW w:type="dxa" w:w="540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19"/>
              </w:rPr>
              <w:t>需与现有决策引擎整合、统一口径，并满足可解释与偏见治理；新增大模型幻觉/黑盒风险需以混合架构管控，风险总体可管理</w:t>
            </w:r>
          </w:p>
        </w:tc>
      </w:tr>
    </w:tbl>
    <w:p>
      <w:pPr>
        <w:spacing w:after="80"/>
      </w:pPr>
    </w:p>
    <w:p>
      <w:pPr>
        <w:spacing w:after="120" w:line="276" w:lineRule="auto"/>
        <w:ind w:firstLine="480"/>
      </w:pPr>
      <w:r>
        <w:rPr>
          <w:rFonts w:ascii="SimSun" w:hAnsi="SimSun" w:eastAsia="SimSun" w:cs="SimSun"/>
          <w:b w:val="0"/>
          <w:sz w:val="22"/>
        </w:rPr>
        <w:t>评级结论：契合度与价值高、市场成熟，映射"系统论证／论证层"，与现档一致，维持定档。</w:t>
      </w:r>
    </w:p>
    <w:p>
      <w:pPr>
        <w:pStyle w:val="Heading2"/>
        <w:spacing w:before="220" w:after="120"/>
      </w:pPr>
      <w:r>
        <w:rPr>
          <w:rFonts w:ascii="SimHei" w:hAnsi="SimHei" w:eastAsia="SimHei" w:cs="SimHei"/>
          <w:b/>
          <w:color w:val="000000"/>
          <w:sz w:val="25"/>
        </w:rPr>
        <w:t>8.4 研判小结</w:t>
      </w:r>
    </w:p>
    <w:p>
      <w:pPr>
        <w:spacing w:after="120" w:line="276" w:lineRule="auto"/>
        <w:ind w:firstLine="480"/>
      </w:pPr>
      <w:r>
        <w:rPr>
          <w:rFonts w:ascii="SimSun" w:hAnsi="SimSun" w:eastAsia="SimSun" w:cs="SimSun"/>
          <w:b w:val="0"/>
          <w:sz w:val="24"/>
        </w:rPr>
        <w:t>DIP是"业务本质契合型"条目：银行即决策，平台化治理决策是确定性方向；论证命题聚焦存量整合路径与决策工程能力建设。本轮补充的NationwideBuilding Society案例、Quantexa第三方量化评估与大模型幻觉治理机制进一步夯实了论证的现实性与可操作性。维持论证层定档。</w:t>
      </w:r>
    </w:p>
    <w:p>
      <w:pPr>
        <w:pStyle w:val="Heading1"/>
        <w:spacing w:before="280" w:after="160"/>
      </w:pPr>
      <w:r>
        <w:rPr>
          <w:rFonts w:ascii="SimHei" w:hAnsi="SimHei" w:eastAsia="SimHei" w:cs="SimHei"/>
          <w:b/>
          <w:color w:val="000000"/>
          <w:sz w:val="28"/>
        </w:rPr>
        <w:t>九、对策建议</w:t>
      </w:r>
    </w:p>
    <w:p>
      <w:pPr>
        <w:pStyle w:val="Heading2"/>
        <w:spacing w:before="220" w:after="120"/>
      </w:pPr>
      <w:r>
        <w:rPr>
          <w:rFonts w:ascii="SimHei" w:hAnsi="SimHei" w:eastAsia="SimHei" w:cs="SimHei"/>
          <w:b/>
          <w:color w:val="000000"/>
          <w:sz w:val="25"/>
        </w:rPr>
        <w:t>9.1 实施方案/路线图</w:t>
      </w:r>
    </w:p>
    <w:p>
      <w:pPr>
        <w:spacing w:after="120" w:line="276" w:lineRule="auto"/>
        <w:ind w:firstLine="480"/>
      </w:pPr>
      <w:r>
        <w:rPr>
          <w:rFonts w:ascii="SimSun" w:hAnsi="SimSun" w:eastAsia="SimSun" w:cs="SimSun"/>
          <w:b w:val="0"/>
          <w:sz w:val="24"/>
        </w:rPr>
        <w:t>建议以9个月为期：第一步（1—3个月）决策资产盘点——梳理授信、反欺诈、催收、定价四域的决策点清单（决策逻辑所在系统、变更频率、口径归属、留痕现状），识别口径冲突与复用机会，形成决策资产地图；第二步（4—7个月）双场景POC——实时反欺诈策略仿真（以历史案件回放验证仿真层价值）与信贷策略变更回测（新策略上线前的组合影响推演）两场景，FICO/SAS类国际平台与国产决策平台各选一家对比（指标：仿真保真度、决策留痕完整性、与行内特征平台的集成成本、国产化路线）；第三步（8—9个月）评审——形成"治理层先行"的整合路线（统一决策目录与留痕标准先建，执行层按场景渐进迁移）、决策分级自动化制度建议，提交定档复评。场景选择优先切入产品动态定价、额度配置等业务执行层高ROI场景，审慎对待高管战略决策的自动化，与Gartner分析师交流的场景排序建议一致[8]；分阶段、按产品线渐进迁移决策资产的节奏安排，也与Nationwide案例（七.案例1）7个月完成首批迁移、12个月完成全部产品线迁移的实施经验相符[10]。</w:t>
      </w:r>
    </w:p>
    <w:p>
      <w:pPr>
        <w:jc w:val="center"/>
      </w:pPr>
      <w:r>
        <w:drawing>
          <wp:inline xmlns:a="http://schemas.openxmlformats.org/drawingml/2006/main" xmlns:pic="http://schemas.openxmlformats.org/drawingml/2006/picture">
            <wp:extent cx="5577840" cy="3097547"/>
            <wp:docPr id="5" name="Picture 5"/>
            <wp:cNvGraphicFramePr>
              <a:graphicFrameLocks noChangeAspect="1"/>
            </wp:cNvGraphicFramePr>
            <a:graphic>
              <a:graphicData uri="http://schemas.openxmlformats.org/drawingml/2006/picture">
                <pic:pic>
                  <pic:nvPicPr>
                    <pic:cNvPr id="0" name="fig3_roadmap.png"/>
                    <pic:cNvPicPr/>
                  </pic:nvPicPr>
                  <pic:blipFill>
                    <a:blip r:embed="rId13"/>
                    <a:stretch>
                      <a:fillRect/>
                    </a:stretch>
                  </pic:blipFill>
                  <pic:spPr>
                    <a:xfrm>
                      <a:off x="0" y="0"/>
                      <a:ext cx="5577840" cy="3097547"/>
                    </a:xfrm>
                    <a:prstGeom prst="rect"/>
                  </pic:spPr>
                </pic:pic>
              </a:graphicData>
            </a:graphic>
          </wp:inline>
        </w:drawing>
      </w:r>
    </w:p>
    <w:p>
      <w:pPr>
        <w:spacing w:after="200"/>
        <w:jc w:val="center"/>
      </w:pPr>
      <w:r>
        <w:rPr>
          <w:rFonts w:ascii="SimSun" w:hAnsi="SimSun" w:eastAsia="SimSun" w:cs="SimSun"/>
          <w:b w:val="0"/>
          <w:color w:val="595959"/>
          <w:sz w:val="19"/>
        </w:rPr>
        <w:t>图5  决策智能平台论证实施路线图（自制，9个月）</w:t>
      </w:r>
    </w:p>
    <w:p>
      <w:pPr>
        <w:pStyle w:val="Heading2"/>
        <w:spacing w:before="220" w:after="120"/>
      </w:pPr>
      <w:r>
        <w:rPr>
          <w:rFonts w:ascii="SimHei" w:hAnsi="SimHei" w:eastAsia="SimHei" w:cs="SimHei"/>
          <w:b/>
          <w:color w:val="000000"/>
          <w:sz w:val="25"/>
        </w:rPr>
        <w:t>9.2 能力建设优先级</w:t>
      </w:r>
    </w:p>
    <w:p>
      <w:pPr>
        <w:spacing w:after="100" w:line="276" w:lineRule="auto"/>
        <w:ind w:left="240"/>
      </w:pPr>
      <w:r>
        <w:rPr>
          <w:rFonts w:ascii="SimSun" w:hAnsi="SimSun" w:eastAsia="SimSun" w:cs="SimSun"/>
          <w:b w:val="0"/>
          <w:sz w:val="24"/>
        </w:rPr>
        <w:t>－ 优先建设治理层（决策留痕、审批流），是DIP区别于自建决策引擎的核心增量，也是监管映射（六）的关键抓手。</w:t>
      </w:r>
    </w:p>
    <w:p>
      <w:pPr>
        <w:spacing w:after="100" w:line="276" w:lineRule="auto"/>
        <w:ind w:left="240"/>
      </w:pPr>
      <w:r>
        <w:rPr>
          <w:rFonts w:ascii="SimSun" w:hAnsi="SimSun" w:eastAsia="SimSun" w:cs="SimSun"/>
          <w:b w:val="0"/>
          <w:sz w:val="24"/>
        </w:rPr>
        <w:t>－ 同步组建决策工程团队（2—3人起步），承接决策建模、仿真设计与混合架构下的规则校验维护，避免"纯采购不解决组织能力缺口"。</w:t>
      </w:r>
    </w:p>
    <w:p>
      <w:pPr>
        <w:spacing w:after="100" w:line="276" w:lineRule="auto"/>
        <w:ind w:left="240"/>
      </w:pPr>
      <w:r>
        <w:rPr>
          <w:rFonts w:ascii="SimSun" w:hAnsi="SimSun" w:eastAsia="SimSun" w:cs="SimSun"/>
          <w:b w:val="0"/>
          <w:sz w:val="24"/>
        </w:rPr>
        <w:t>－ POC阶段即引入大模型幻觉治理的混合架构验证（前端交互+规则/求解器校验+熔断兜底），不作为后置补课项。</w:t>
      </w:r>
    </w:p>
    <w:p>
      <w:pPr>
        <w:pStyle w:val="Heading2"/>
        <w:spacing w:before="220" w:after="120"/>
      </w:pPr>
      <w:r>
        <w:rPr>
          <w:rFonts w:ascii="SimHei" w:hAnsi="SimHei" w:eastAsia="SimHei" w:cs="SimHei"/>
          <w:b/>
          <w:color w:val="000000"/>
          <w:sz w:val="25"/>
        </w:rPr>
        <w:t>9.3 效益测算参考区间</w:t>
      </w:r>
    </w:p>
    <w:p>
      <w:pPr>
        <w:spacing w:after="120" w:line="276" w:lineRule="auto"/>
        <w:ind w:firstLine="480"/>
      </w:pPr>
      <w:r>
        <w:rPr>
          <w:rFonts w:ascii="SimSun" w:hAnsi="SimSun" w:eastAsia="SimSun" w:cs="SimSun"/>
          <w:b w:val="0"/>
          <w:sz w:val="24"/>
        </w:rPr>
        <w:t>成本侧：平台许可、决策资产迁移开发、决策工程团队人力投入。收益侧分三层：直接层为策略事故规避（以历史策略回滚事件的损失与处置成本为基线，仿真拦截率折算）与策略迭代提速；间接层为新决策场景建设周期缩短（组件复用）与审计准备工时节约（留痕自动化）；战略层为智能体决策服务底座，不单独计财务回报。测算参考区间锚定两个已核实的外部基准：一是Nationwide Building Society实施FICO Platform后的实测效果（决策组件更新提速50%、策略上线提速30%）[10]；二是Forrester对Quantexa多客户群体的综合评估（三年ROI 228%、模型求解速度提升60倍）[11]，并参照Gartner对经明确建模决策的预测（可信度提升5倍、决策速度提升80%）[7]作为乐观情形上限。以下均为行业参考基准，非本行实测数据，正式测算须以POC阶段实测结果校准：</w:t>
      </w:r>
    </w:p>
    <w:tbl>
      <w:tblPr>
        <w:tblW w:type="auto" w:w="0"/>
        <w:jc w:val="center"/>
        <w:tblLayout w:type="fixed"/>
        <w:tblLook w:firstColumn="1" w:firstRow="1" w:lastColumn="0" w:lastRow="0" w:noHBand="0" w:noVBand="1" w:val="04A0"/>
      </w:tblPr>
      <w:tblGrid>
        <w:gridCol w:w="1805"/>
        <w:gridCol w:w="1805"/>
        <w:gridCol w:w="1805"/>
        <w:gridCol w:w="1805"/>
        <w:gridCol w:w="1805"/>
      </w:tblGrid>
      <w:tr>
        <w:tc>
          <w:tcPr>
            <w:tcW w:type="dxa" w:w="1016"/>
            <w:tcMar>
              <w:top w:w="60" w:type="dxa"/>
              <w:bottom w:w="60" w:type="dxa"/>
              <w:left w:w="100" w:type="dxa"/>
              <w:right w:w="100" w:type="dxa"/>
            </w:tcMar>
            <w:shd w:val="clear" w:color="auto" w:fill="DCE6F1"/>
            <w:tcBorders>
              <w:top w:val="single" w:sz="2" w:color="999999"/>
              <w:left w:val="single" w:sz="2" w:color="999999"/>
              <w:bottom w:val="single" w:sz="2" w:color="999999"/>
              <w:right w:val="single" w:sz="2" w:color="999999"/>
            </w:tcBorders>
          </w:tcPr>
          <w:p>
            <w:pPr>
              <w:spacing w:after="40"/>
              <w:jc w:val="center"/>
            </w:pPr>
            <w:r/>
            <w:r>
              <w:rPr>
                <w:rFonts w:ascii="SimSun" w:hAnsi="SimSun" w:eastAsia="SimSun" w:cs="SimSun"/>
                <w:b/>
                <w:sz w:val="21"/>
              </w:rPr>
              <w:t>情形</w:t>
            </w:r>
          </w:p>
        </w:tc>
        <w:tc>
          <w:tcPr>
            <w:tcW w:type="dxa" w:w="1741"/>
            <w:tcMar>
              <w:top w:w="60" w:type="dxa"/>
              <w:bottom w:w="60" w:type="dxa"/>
              <w:left w:w="100" w:type="dxa"/>
              <w:right w:w="100" w:type="dxa"/>
            </w:tcMar>
            <w:shd w:val="clear" w:color="auto" w:fill="DCE6F1"/>
            <w:tcBorders>
              <w:top w:val="single" w:sz="2" w:color="999999"/>
              <w:left w:val="single" w:sz="2" w:color="999999"/>
              <w:bottom w:val="single" w:sz="2" w:color="999999"/>
              <w:right w:val="single" w:sz="2" w:color="999999"/>
            </w:tcBorders>
          </w:tcPr>
          <w:p>
            <w:pPr>
              <w:spacing w:after="40"/>
              <w:jc w:val="center"/>
            </w:pPr>
            <w:r/>
            <w:r>
              <w:rPr>
                <w:rFonts w:ascii="SimSun" w:hAnsi="SimSun" w:eastAsia="SimSun" w:cs="SimSun"/>
                <w:b/>
                <w:sz w:val="21"/>
              </w:rPr>
              <w:t>策略迭代周期压缩</w:t>
            </w:r>
          </w:p>
        </w:tc>
        <w:tc>
          <w:tcPr>
            <w:tcW w:type="dxa" w:w="1596"/>
            <w:tcMar>
              <w:top w:w="60" w:type="dxa"/>
              <w:bottom w:w="60" w:type="dxa"/>
              <w:left w:w="100" w:type="dxa"/>
              <w:right w:w="100" w:type="dxa"/>
            </w:tcMar>
            <w:shd w:val="clear" w:color="auto" w:fill="DCE6F1"/>
            <w:tcBorders>
              <w:top w:val="single" w:sz="2" w:color="999999"/>
              <w:left w:val="single" w:sz="2" w:color="999999"/>
              <w:bottom w:val="single" w:sz="2" w:color="999999"/>
              <w:right w:val="single" w:sz="2" w:color="999999"/>
            </w:tcBorders>
          </w:tcPr>
          <w:p>
            <w:pPr>
              <w:spacing w:after="40"/>
              <w:jc w:val="center"/>
            </w:pPr>
            <w:r/>
            <w:r>
              <w:rPr>
                <w:rFonts w:ascii="SimSun" w:hAnsi="SimSun" w:eastAsia="SimSun" w:cs="SimSun"/>
                <w:b/>
                <w:sz w:val="21"/>
              </w:rPr>
              <w:t>策略事故规避</w:t>
            </w:r>
          </w:p>
        </w:tc>
        <w:tc>
          <w:tcPr>
            <w:tcW w:type="dxa" w:w="1596"/>
            <w:tcMar>
              <w:top w:w="60" w:type="dxa"/>
              <w:bottom w:w="60" w:type="dxa"/>
              <w:left w:w="100" w:type="dxa"/>
              <w:right w:w="100" w:type="dxa"/>
            </w:tcMar>
            <w:shd w:val="clear" w:color="auto" w:fill="DCE6F1"/>
            <w:tcBorders>
              <w:top w:val="single" w:sz="2" w:color="999999"/>
              <w:left w:val="single" w:sz="2" w:color="999999"/>
              <w:bottom w:val="single" w:sz="2" w:color="999999"/>
              <w:right w:val="single" w:sz="2" w:color="999999"/>
            </w:tcBorders>
          </w:tcPr>
          <w:p>
            <w:pPr>
              <w:spacing w:after="40"/>
              <w:jc w:val="center"/>
            </w:pPr>
            <w:r/>
            <w:r>
              <w:rPr>
                <w:rFonts w:ascii="SimSun" w:hAnsi="SimSun" w:eastAsia="SimSun" w:cs="SimSun"/>
                <w:b/>
                <w:sz w:val="21"/>
              </w:rPr>
              <w:t>审计准备工时节约</w:t>
            </w:r>
          </w:p>
        </w:tc>
        <w:tc>
          <w:tcPr>
            <w:tcW w:type="dxa" w:w="3048"/>
            <w:tcMar>
              <w:top w:w="60" w:type="dxa"/>
              <w:bottom w:w="60" w:type="dxa"/>
              <w:left w:w="100" w:type="dxa"/>
              <w:right w:w="100" w:type="dxa"/>
            </w:tcMar>
            <w:shd w:val="clear" w:color="auto" w:fill="DCE6F1"/>
            <w:tcBorders>
              <w:top w:val="single" w:sz="2" w:color="999999"/>
              <w:left w:val="single" w:sz="2" w:color="999999"/>
              <w:bottom w:val="single" w:sz="2" w:color="999999"/>
              <w:right w:val="single" w:sz="2" w:color="999999"/>
            </w:tcBorders>
          </w:tcPr>
          <w:p>
            <w:pPr>
              <w:spacing w:after="40"/>
              <w:jc w:val="center"/>
            </w:pPr>
            <w:r/>
            <w:r>
              <w:rPr>
                <w:rFonts w:ascii="SimSun" w:hAnsi="SimSun" w:eastAsia="SimSun" w:cs="SimSun"/>
                <w:b/>
                <w:sz w:val="21"/>
              </w:rPr>
              <w:t>数据依据</w:t>
            </w:r>
          </w:p>
        </w:tc>
      </w:tr>
      <w:tr>
        <w:tc>
          <w:tcPr>
            <w:tcW w:type="dxa" w:w="1016"/>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19"/>
              </w:rPr>
              <w:t>保守</w:t>
            </w:r>
          </w:p>
        </w:tc>
        <w:tc>
          <w:tcPr>
            <w:tcW w:type="dxa" w:w="1741"/>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19"/>
              </w:rPr>
              <w:t>10%—20%</w:t>
            </w:r>
          </w:p>
        </w:tc>
        <w:tc>
          <w:tcPr>
            <w:tcW w:type="dxa" w:w="1596"/>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19"/>
              </w:rPr>
              <w:t>仿真拦截率10%起步</w:t>
            </w:r>
          </w:p>
        </w:tc>
        <w:tc>
          <w:tcPr>
            <w:tcW w:type="dxa" w:w="1596"/>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19"/>
              </w:rPr>
              <w:t>10%—15%</w:t>
            </w:r>
          </w:p>
        </w:tc>
        <w:tc>
          <w:tcPr>
            <w:tcW w:type="dxa" w:w="3048"/>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19"/>
              </w:rPr>
              <w:t>POC阶段单场景试点效果，未计入组件复用带来的间接收益</w:t>
            </w:r>
          </w:p>
        </w:tc>
      </w:tr>
      <w:tr>
        <w:tc>
          <w:tcPr>
            <w:tcW w:type="dxa" w:w="1016"/>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19"/>
              </w:rPr>
              <w:t>中性</w:t>
            </w:r>
          </w:p>
        </w:tc>
        <w:tc>
          <w:tcPr>
            <w:tcW w:type="dxa" w:w="1741"/>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19"/>
              </w:rPr>
              <w:t>30%—50%</w:t>
            </w:r>
          </w:p>
        </w:tc>
        <w:tc>
          <w:tcPr>
            <w:tcW w:type="dxa" w:w="1596"/>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19"/>
              </w:rPr>
              <w:t>仿真拦截率20%—30%</w:t>
            </w:r>
          </w:p>
        </w:tc>
        <w:tc>
          <w:tcPr>
            <w:tcW w:type="dxa" w:w="1596"/>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19"/>
              </w:rPr>
              <w:t>20%—30%</w:t>
            </w:r>
          </w:p>
        </w:tc>
        <w:tc>
          <w:tcPr>
            <w:tcW w:type="dxa" w:w="3048"/>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19"/>
              </w:rPr>
              <w:t>参照Nationwide实测的决策组件更新提速50%、策略上线提速30%[10]</w:t>
            </w:r>
          </w:p>
        </w:tc>
      </w:tr>
      <w:tr>
        <w:tc>
          <w:tcPr>
            <w:tcW w:type="dxa" w:w="1016"/>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19"/>
              </w:rPr>
              <w:t>乐观</w:t>
            </w:r>
          </w:p>
        </w:tc>
        <w:tc>
          <w:tcPr>
            <w:tcW w:type="dxa" w:w="1741"/>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19"/>
              </w:rPr>
              <w:t>60%以上</w:t>
            </w:r>
          </w:p>
        </w:tc>
        <w:tc>
          <w:tcPr>
            <w:tcW w:type="dxa" w:w="1596"/>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19"/>
              </w:rPr>
              <w:t>仿真拦截率30%以上</w:t>
            </w:r>
          </w:p>
        </w:tc>
        <w:tc>
          <w:tcPr>
            <w:tcW w:type="dxa" w:w="1596"/>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19"/>
              </w:rPr>
              <w:t>40%以上</w:t>
            </w:r>
          </w:p>
        </w:tc>
        <w:tc>
          <w:tcPr>
            <w:tcW w:type="dxa" w:w="3048"/>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19"/>
              </w:rPr>
              <w:t>参照Quantexa客户群体228%三年ROI[11]与Gartner决策速度提升80%的预测上限[7]，需治理层与决策资产复用全面见效</w:t>
            </w:r>
          </w:p>
        </w:tc>
      </w:tr>
    </w:tbl>
    <w:p>
      <w:pPr>
        <w:spacing w:after="80"/>
      </w:pPr>
    </w:p>
    <w:p>
      <w:pPr>
        <w:spacing w:after="120" w:line="276" w:lineRule="auto"/>
        <w:ind w:firstLine="480"/>
      </w:pPr>
      <w:r>
        <w:rPr>
          <w:rFonts w:ascii="SimSun" w:hAnsi="SimSun" w:eastAsia="SimSun" w:cs="SimSun"/>
          <w:b w:val="0"/>
          <w:sz w:val="22"/>
        </w:rPr>
        <w:t>回收期参照Quantexa客户群体不足8个月的投资回收周期与Nationwide 7—12个月的分批迁移节奏，按18—30个月设定（含本行组织能力建设时间）[10][11]。</w:t>
      </w:r>
    </w:p>
    <w:p>
      <w:pPr>
        <w:pStyle w:val="Heading2"/>
        <w:spacing w:before="220" w:after="120"/>
      </w:pPr>
      <w:r>
        <w:rPr>
          <w:rFonts w:ascii="SimHei" w:hAnsi="SimHei" w:eastAsia="SimHei" w:cs="SimHei"/>
          <w:b/>
          <w:color w:val="000000"/>
          <w:sz w:val="25"/>
        </w:rPr>
        <w:t>9.4 组织与协同保障</w:t>
      </w:r>
    </w:p>
    <w:p>
      <w:pPr>
        <w:spacing w:after="120" w:line="276" w:lineRule="auto"/>
        <w:ind w:firstLine="480"/>
      </w:pPr>
      <w:r>
        <w:rPr>
          <w:rFonts w:ascii="SimSun" w:hAnsi="SimSun" w:eastAsia="SimSun" w:cs="SimSun"/>
          <w:b w:val="0"/>
          <w:sz w:val="24"/>
        </w:rPr>
        <w:t>数据与决策类条目（013/016/021/033）建议季度联动复核。DIP在储备库图谱中是"决策中枢"：向上为001智能体提供受治理的决策服务，与021因果AI直接衔接，与031 BOAT构成"决策—执行"分工，与016的知识图谱能力在实体关联决策（反欺诈图谱）上复用。建议由科技规划处牵头、业务条线（风控、信贷、营销）与风险合规部共同参与POC评审，避免技术选型脱离业务口径。</w:t>
      </w:r>
    </w:p>
    <w:p>
      <w:pPr>
        <w:pStyle w:val="Heading1"/>
        <w:spacing w:before="280" w:after="160"/>
      </w:pPr>
      <w:r>
        <w:rPr>
          <w:rFonts w:ascii="SimHei" w:hAnsi="SimHei" w:eastAsia="SimHei" w:cs="SimHei"/>
          <w:b/>
          <w:color w:val="000000"/>
          <w:sz w:val="28"/>
        </w:rPr>
        <w:t>十、结论与处置建议</w:t>
      </w:r>
    </w:p>
    <w:p>
      <w:pPr>
        <w:spacing w:after="100" w:line="276" w:lineRule="auto"/>
        <w:ind w:left="240"/>
      </w:pPr>
      <w:r>
        <w:rPr>
          <w:rFonts w:ascii="SimSun" w:hAnsi="SimSun" w:eastAsia="SimSun" w:cs="SimSun"/>
          <w:b w:val="0"/>
          <w:sz w:val="24"/>
        </w:rPr>
        <w:t>－ 维持储备库"论证层／系统论证"定档；本报告纳入研究成果库并同步台账与评估表。</w:t>
      </w:r>
    </w:p>
    <w:p>
      <w:pPr>
        <w:spacing w:after="100" w:line="276" w:lineRule="auto"/>
        <w:ind w:left="240"/>
      </w:pPr>
      <w:r>
        <w:rPr>
          <w:rFonts w:ascii="SimSun" w:hAnsi="SimSun" w:eastAsia="SimSun" w:cs="SimSun"/>
          <w:b w:val="0"/>
          <w:sz w:val="24"/>
        </w:rPr>
        <w:t>－ 建议决策资产盘点作为先行动作启动；论证立项按9.1推进，与021因果AI联动，POC阶段同步验证大模型幻觉治理的混合架构。</w:t>
      </w:r>
    </w:p>
    <w:p>
      <w:pPr>
        <w:spacing w:after="100" w:line="276" w:lineRule="auto"/>
        <w:ind w:left="240"/>
      </w:pPr>
      <w:r>
        <w:rPr>
          <w:rFonts w:ascii="SimSun" w:hAnsi="SimSun" w:eastAsia="SimSun" w:cs="SimSun"/>
          <w:b w:val="0"/>
          <w:sz w:val="24"/>
        </w:rPr>
        <w:t>－ 场景排序上优先切入产品动态定价、额度配置等业务执行层高ROI场景，高管战略决策场景审慎定位为"决策支持/决策增强"而非自动化。</w:t>
      </w:r>
    </w:p>
    <w:p>
      <w:pPr>
        <w:spacing w:after="100" w:line="276" w:lineRule="auto"/>
        <w:ind w:left="240"/>
      </w:pPr>
      <w:r>
        <w:rPr>
          <w:rFonts w:ascii="SimSun" w:hAnsi="SimSun" w:eastAsia="SimSun" w:cs="SimSun"/>
          <w:b w:val="0"/>
          <w:sz w:val="24"/>
        </w:rPr>
        <w:t>－ 按季度跟踪：DIP魔力象限年度演进、国产决策平台成熟度、监管对自动化决策的规则动向，以及同业头部机构（如Nationwide Building Society）落地进展。</w:t>
      </w:r>
    </w:p>
    <w:p>
      <w:pPr>
        <w:pStyle w:val="Heading1"/>
        <w:spacing w:before="280" w:after="160"/>
      </w:pPr>
      <w:r>
        <w:rPr>
          <w:rFonts w:ascii="SimHei" w:hAnsi="SimHei" w:eastAsia="SimHei" w:cs="SimHei"/>
          <w:b/>
          <w:color w:val="000000"/>
          <w:sz w:val="28"/>
        </w:rPr>
        <w:t>十一、附录</w:t>
      </w:r>
    </w:p>
    <w:p>
      <w:pPr>
        <w:pStyle w:val="Heading2"/>
        <w:spacing w:before="220" w:after="120"/>
      </w:pPr>
      <w:r>
        <w:rPr>
          <w:rFonts w:ascii="SimHei" w:hAnsi="SimHei" w:eastAsia="SimHei" w:cs="SimHei"/>
          <w:b/>
          <w:color w:val="000000"/>
          <w:sz w:val="25"/>
        </w:rPr>
        <w:t>11.1 名词术语表</w:t>
      </w:r>
    </w:p>
    <w:tbl>
      <w:tblPr>
        <w:tblW w:type="auto" w:w="0"/>
        <w:jc w:val="center"/>
        <w:tblLayout w:type="fixed"/>
        <w:tblLook w:firstColumn="1" w:firstRow="1" w:lastColumn="0" w:lastRow="0" w:noHBand="0" w:noVBand="1" w:val="04A0"/>
      </w:tblPr>
      <w:tblGrid>
        <w:gridCol w:w="4513"/>
        <w:gridCol w:w="4513"/>
      </w:tblGrid>
      <w:tr>
        <w:tc>
          <w:tcPr>
            <w:tcW w:type="dxa" w:w="2700"/>
            <w:tcMar>
              <w:top w:w="60" w:type="dxa"/>
              <w:bottom w:w="60" w:type="dxa"/>
              <w:left w:w="100" w:type="dxa"/>
              <w:right w:w="100" w:type="dxa"/>
            </w:tcMar>
            <w:shd w:val="clear" w:color="auto" w:fill="DCE6F1"/>
            <w:tcBorders>
              <w:top w:val="single" w:sz="2" w:color="999999"/>
              <w:left w:val="single" w:sz="2" w:color="999999"/>
              <w:bottom w:val="single" w:sz="2" w:color="999999"/>
              <w:right w:val="single" w:sz="2" w:color="999999"/>
            </w:tcBorders>
          </w:tcPr>
          <w:p>
            <w:pPr>
              <w:spacing w:after="40"/>
              <w:jc w:val="center"/>
            </w:pPr>
            <w:r/>
            <w:r>
              <w:rPr>
                <w:rFonts w:ascii="SimSun" w:hAnsi="SimSun" w:eastAsia="SimSun" w:cs="SimSun"/>
                <w:b/>
                <w:sz w:val="21"/>
              </w:rPr>
              <w:t>术语</w:t>
            </w:r>
          </w:p>
        </w:tc>
        <w:tc>
          <w:tcPr>
            <w:tcW w:type="dxa" w:w="6300"/>
            <w:tcMar>
              <w:top w:w="60" w:type="dxa"/>
              <w:bottom w:w="60" w:type="dxa"/>
              <w:left w:w="100" w:type="dxa"/>
              <w:right w:w="100" w:type="dxa"/>
            </w:tcMar>
            <w:shd w:val="clear" w:color="auto" w:fill="DCE6F1"/>
            <w:tcBorders>
              <w:top w:val="single" w:sz="2" w:color="999999"/>
              <w:left w:val="single" w:sz="2" w:color="999999"/>
              <w:bottom w:val="single" w:sz="2" w:color="999999"/>
              <w:right w:val="single" w:sz="2" w:color="999999"/>
            </w:tcBorders>
          </w:tcPr>
          <w:p>
            <w:pPr>
              <w:spacing w:after="40"/>
              <w:jc w:val="center"/>
            </w:pPr>
            <w:r/>
            <w:r>
              <w:rPr>
                <w:rFonts w:ascii="SimSun" w:hAnsi="SimSun" w:eastAsia="SimSun" w:cs="SimSun"/>
                <w:b/>
                <w:sz w:val="21"/>
              </w:rPr>
              <w:t>说明</w:t>
            </w:r>
          </w:p>
        </w:tc>
      </w:tr>
      <w:tr>
        <w:tc>
          <w:tcPr>
            <w:tcW w:type="dxa" w:w="270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19"/>
              </w:rPr>
              <w:t>DIP（Decision Intelligence Platform）</w:t>
            </w:r>
          </w:p>
        </w:tc>
        <w:tc>
          <w:tcPr>
            <w:tcW w:type="dxa" w:w="630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19"/>
              </w:rPr>
              <w:t>决策智能平台，交付以决策为中心架构、融合显式决策建模与AI增强/自动化、支持规模化治理的平台类别[1][2]</w:t>
            </w:r>
          </w:p>
        </w:tc>
      </w:tr>
      <w:tr>
        <w:tc>
          <w:tcPr>
            <w:tcW w:type="dxa" w:w="270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19"/>
              </w:rPr>
              <w:t>Composite AI 复合性AI</w:t>
            </w:r>
          </w:p>
        </w:tc>
        <w:tc>
          <w:tcPr>
            <w:tcW w:type="dxa" w:w="630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19"/>
              </w:rPr>
              <w:t>融合机器学习、规则引擎、运筹优化算法与大语言模型等多种AI技术的组合式方法[9]</w:t>
            </w:r>
          </w:p>
        </w:tc>
      </w:tr>
      <w:tr>
        <w:tc>
          <w:tcPr>
            <w:tcW w:type="dxa" w:w="270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19"/>
              </w:rPr>
              <w:t>DMN（Decision Model and Notation）</w:t>
            </w:r>
          </w:p>
        </w:tc>
        <w:tc>
          <w:tcPr>
            <w:tcW w:type="dxa" w:w="630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19"/>
              </w:rPr>
              <w:t>决策模型与标记法，用于显式表达决策逻辑与依赖关系的建模标准</w:t>
            </w:r>
          </w:p>
        </w:tc>
      </w:tr>
      <w:tr>
        <w:tc>
          <w:tcPr>
            <w:tcW w:type="dxa" w:w="270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19"/>
              </w:rPr>
              <w:t>指示性/规范性分析（Prescriptive Analytics）</w:t>
            </w:r>
          </w:p>
        </w:tc>
        <w:tc>
          <w:tcPr>
            <w:tcW w:type="dxa" w:w="630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19"/>
              </w:rPr>
              <w:t>数据分析演进的第四阶段，回答"应该做什么"，是DIP的直接落脚点[9]</w:t>
            </w:r>
          </w:p>
        </w:tc>
      </w:tr>
      <w:tr>
        <w:tc>
          <w:tcPr>
            <w:tcW w:type="dxa" w:w="270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19"/>
              </w:rPr>
              <w:t>熔断方案（Fail-safe Plan）</w:t>
            </w:r>
          </w:p>
        </w:tc>
        <w:tc>
          <w:tcPr>
            <w:tcW w:type="dxa" w:w="630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19"/>
              </w:rPr>
              <w:t>大模型输出未通过规则层校验时，由传统硬编码或规则引擎沉淀的兜底方案，确保流程不中断[8][9]</w:t>
            </w:r>
          </w:p>
        </w:tc>
      </w:tr>
      <w:tr>
        <w:tc>
          <w:tcPr>
            <w:tcW w:type="dxa" w:w="270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19"/>
              </w:rPr>
              <w:t>校验智能体（Validation Agent）</w:t>
            </w:r>
          </w:p>
        </w:tc>
        <w:tc>
          <w:tcPr>
            <w:tcW w:type="dxa" w:w="630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19"/>
              </w:rPr>
              <w:t>独立于生成决策的大模型、对决策计划进行二层审核的智能体[8][9]</w:t>
            </w:r>
          </w:p>
        </w:tc>
      </w:tr>
      <w:tr>
        <w:tc>
          <w:tcPr>
            <w:tcW w:type="dxa" w:w="270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19"/>
              </w:rPr>
              <w:t>客户兴趣指数（CII）</w:t>
            </w:r>
          </w:p>
        </w:tc>
        <w:tc>
          <w:tcPr>
            <w:tcW w:type="dxa" w:w="630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19"/>
              </w:rPr>
              <w:t>Gartner综合客户咨询量、参与度与舆情的加权指标，是魔力象限评估的准入门槛之一[7]</w:t>
            </w:r>
          </w:p>
        </w:tc>
      </w:tr>
    </w:tbl>
    <w:p>
      <w:pPr>
        <w:spacing w:after="80"/>
      </w:pPr>
    </w:p>
    <w:p>
      <w:pPr>
        <w:pStyle w:val="Heading2"/>
        <w:spacing w:before="220" w:after="120"/>
      </w:pPr>
      <w:r>
        <w:rPr>
          <w:rFonts w:ascii="SimHei" w:hAnsi="SimHei" w:eastAsia="SimHei" w:cs="SimHei"/>
          <w:b/>
          <w:color w:val="000000"/>
          <w:sz w:val="25"/>
        </w:rPr>
        <w:t>11.2 数据来源与检索时间说明</w:t>
      </w:r>
    </w:p>
    <w:p>
      <w:pPr>
        <w:spacing w:after="120" w:line="276" w:lineRule="auto"/>
        <w:ind w:firstLine="480"/>
      </w:pPr>
      <w:r>
        <w:rPr>
          <w:rFonts w:ascii="SimSun" w:hAnsi="SimSun" w:eastAsia="SimSun" w:cs="SimSun"/>
          <w:b w:val="0"/>
          <w:sz w:val="24"/>
        </w:rPr>
        <w:t>本报告信息采集分三轮：首轮公开信源采集截至2026年7月8日；2026年7月15日结合Gartner《决策智能平台魔力象限》授权订阅原文（[7]）完成方法论专章深化；本轮（2026年8月17日）补充纳入2026年8月4日Gartner分析师决策智能平台专题技术交流纪要及配套技术分析报告（[8][9]，行内知识库留存、非公开信源，来源为一手会议记录）。标注"背景知识，非本轮核实原始出处"的表述为行业普遍认识但本轮未逐条溯源的历史/背景类内容，不与已核实数据混同引用。图1（三层混合决策智能框架）与图2、图3、图5为本报告自制示意图；图4为Gartner授权订阅原图，未做二次绘制。</w:t>
      </w:r>
    </w:p>
    <w:p>
      <w:pPr>
        <w:pStyle w:val="Heading1"/>
        <w:spacing w:before="280" w:after="160"/>
      </w:pPr>
      <w:r>
        <w:rPr>
          <w:rFonts w:ascii="SimHei" w:hAnsi="SimHei" w:eastAsia="SimHei" w:cs="SimHei"/>
          <w:b/>
          <w:color w:val="000000"/>
          <w:sz w:val="28"/>
        </w:rPr>
        <w:t>参考文献</w:t>
      </w:r>
    </w:p>
    <w:p>
      <w:pPr>
        <w:spacing w:after="60" w:line="264" w:lineRule="auto"/>
        <w:ind w:left="480" w:hanging="480"/>
      </w:pPr>
      <w:r>
        <w:rPr>
          <w:rFonts w:ascii="SimSun" w:hAnsi="SimSun" w:eastAsia="SimSun" w:cs="SimSun"/>
          <w:b w:val="0"/>
          <w:sz w:val="21"/>
        </w:rPr>
        <w:t>[1] MartechSquare. Gartner Has a New Magic Quadrant: Decision Intelligence Platform（首版，市场进入晚期新兴阶段）. https://martechsquare.substack.com/p/gartner-has-a-new-magic-quadrant</w:t>
      </w:r>
    </w:p>
    <w:p>
      <w:pPr>
        <w:spacing w:after="60" w:line="264" w:lineRule="auto"/>
        <w:ind w:left="480" w:hanging="480"/>
      </w:pPr>
      <w:r>
        <w:rPr>
          <w:rFonts w:ascii="SimSun" w:hAnsi="SimSun" w:eastAsia="SimSun" w:cs="SimSun"/>
          <w:b w:val="0"/>
          <w:sz w:val="21"/>
        </w:rPr>
        <w:t>[2] FICO. FICO Named a Leader in the 2026 Gartner Magic Quadrant for Decision Intelligence Platforms（银行与信贷风险深耕；实时决策与仿真）. https://www.fico.com/en/gartner-mq-2026-decision-intelligence-platforms</w:t>
      </w:r>
    </w:p>
    <w:p>
      <w:pPr>
        <w:spacing w:after="60" w:line="264" w:lineRule="auto"/>
        <w:ind w:left="480" w:hanging="480"/>
      </w:pPr>
      <w:r>
        <w:rPr>
          <w:rFonts w:ascii="SimSun" w:hAnsi="SimSun" w:eastAsia="SimSun" w:cs="SimSun"/>
          <w:b w:val="0"/>
          <w:sz w:val="21"/>
        </w:rPr>
        <w:t>[3] BusinessWire. FICO Named a Leader in 2026 Gartner MQ for DIP. 2026-01-29. https://www.businesswire.com/news/home/20260129308692/en/</w:t>
      </w:r>
    </w:p>
    <w:p>
      <w:pPr>
        <w:spacing w:after="60" w:line="264" w:lineRule="auto"/>
        <w:ind w:left="480" w:hanging="480"/>
      </w:pPr>
      <w:r>
        <w:rPr>
          <w:rFonts w:ascii="SimSun" w:hAnsi="SimSun" w:eastAsia="SimSun" w:cs="SimSun"/>
          <w:b w:val="0"/>
          <w:sz w:val="21"/>
        </w:rPr>
        <w:t>[4] SAS. SAS Named a Leader in 2026 Gartner Magic Quadrant for Decision Intelligence Platforms（反欺诈/AML/信贷决策行业化内容）. 2026-02. https://www.sas.com/en_us/news/press-releases/2026/february/gartner-decision-intelligence-platforms.html</w:t>
      </w:r>
    </w:p>
    <w:p>
      <w:pPr>
        <w:spacing w:after="60" w:line="264" w:lineRule="auto"/>
        <w:ind w:left="480" w:hanging="480"/>
      </w:pPr>
      <w:r>
        <w:rPr>
          <w:rFonts w:ascii="SimSun" w:hAnsi="SimSun" w:eastAsia="SimSun" w:cs="SimSun"/>
          <w:b w:val="0"/>
          <w:sz w:val="21"/>
        </w:rPr>
        <w:t>[5] SAS. Gartner MQ for DIP 2026分析师观点（Viya可解释/审计/合规/模型治理）. https://www.sas.com/en_us/news/analyst-viewpoints/gartner-magic-quadrant-decision-intelligence-platforms.html</w:t>
      </w:r>
    </w:p>
    <w:p>
      <w:pPr>
        <w:spacing w:after="60" w:line="264" w:lineRule="auto"/>
        <w:ind w:left="480" w:hanging="480"/>
      </w:pPr>
      <w:r>
        <w:rPr>
          <w:rFonts w:ascii="SimSun" w:hAnsi="SimSun" w:eastAsia="SimSun" w:cs="SimSun"/>
          <w:b w:val="0"/>
          <w:sz w:val="21"/>
        </w:rPr>
        <w:t>[6] FintechNews.ch. Top Decision Intelligence Platforms of 2026, According to Gartner（领导者名录含IBM/ACTICO/Quantexa/Aera）. https://fintechnews.ch/aifintech/top-decision-intelligence-platforms-of-2026-according-to-gartner/82427/</w:t>
      </w:r>
    </w:p>
    <w:p>
      <w:pPr>
        <w:spacing w:after="60" w:line="264" w:lineRule="auto"/>
        <w:ind w:left="480" w:hanging="480"/>
      </w:pPr>
      <w:r>
        <w:rPr>
          <w:rFonts w:ascii="SimSun" w:hAnsi="SimSun" w:eastAsia="SimSun" w:cs="SimSun"/>
          <w:b w:val="0"/>
          <w:sz w:val="21"/>
        </w:rPr>
        <w:t>[7] Gartner. Magic Quadrant for Decision Intelligence Platforms（David Pesley、Carlie Idoine 等5位分析师，2026-01-26，文档编号G00827619）. https://www.gartner.com/en/documents/7363830 （原文为付费订阅内容，已获授权订阅，存于本行知识库00_知识库/企架角度分析银行业新兴颠覆性技术-Gartner/决策智能平台Magic Quadrant.pdf，含17家厂商完整评述与原版象限图）。</w:t>
      </w:r>
    </w:p>
    <w:p>
      <w:pPr>
        <w:spacing w:after="60" w:line="264" w:lineRule="auto"/>
        <w:ind w:left="480" w:hanging="480"/>
      </w:pPr>
      <w:r>
        <w:rPr>
          <w:rFonts w:ascii="SimSun" w:hAnsi="SimSun" w:eastAsia="SimSun" w:cs="SimSun"/>
          <w:b w:val="0"/>
          <w:sz w:val="21"/>
        </w:rPr>
        <w:t>[8] Gartner分析师决策智能平台（DIP）专题技术交流会议纪要. 2026-08-04. 行内知识库留存（非公开信源，一手会议记录）。</w:t>
      </w:r>
    </w:p>
    <w:p>
      <w:pPr>
        <w:spacing w:after="60" w:line="264" w:lineRule="auto"/>
        <w:ind w:left="480" w:hanging="480"/>
      </w:pPr>
      <w:r>
        <w:rPr>
          <w:rFonts w:ascii="SimSun" w:hAnsi="SimSun" w:eastAsia="SimSun" w:cs="SimSun"/>
          <w:b w:val="0"/>
          <w:sz w:val="21"/>
        </w:rPr>
        <w:t>[9] 决策智能（DI）在银行业的应用与技术分析报告（基于Gartner分析师前沿交流整理）. 2026-08. 行内知识库留存（非公开信源）。</w:t>
      </w:r>
    </w:p>
    <w:p>
      <w:pPr>
        <w:spacing w:after="60" w:line="264" w:lineRule="auto"/>
        <w:ind w:left="480" w:hanging="480"/>
      </w:pPr>
      <w:r>
        <w:rPr>
          <w:rFonts w:ascii="SimSun" w:hAnsi="SimSun" w:eastAsia="SimSun" w:cs="SimSun"/>
          <w:b w:val="0"/>
          <w:sz w:val="21"/>
        </w:rPr>
        <w:t>[10] FICO. Nationwide Speeds Up Credit Decisioning by 50% with FICO Platform. 2026-03-11（原文标注发布方为FICO与Nationwide Building Society联合新闻稿）. https://www.fico.com/en/newsroom/nationwide-speeds-credit-decisioning-50-fico-platform</w:t>
      </w:r>
    </w:p>
    <w:p>
      <w:pPr>
        <w:spacing w:after="60" w:line="264" w:lineRule="auto"/>
        <w:ind w:left="480" w:hanging="480"/>
      </w:pPr>
      <w:r>
        <w:rPr>
          <w:rFonts w:ascii="SimSun" w:hAnsi="SimSun" w:eastAsia="SimSun" w:cs="SimSun"/>
          <w:b w:val="0"/>
          <w:sz w:val="21"/>
        </w:rPr>
        <w:t>[11] Forrester Consulting（受Quantexa委托）. The Total Economic Impact of Quantexa（银行等六家客户访谈综合评估，未披露具体机构名称）. 2024-02-08. https://www.quantexa.com/press/quantexa-customers-achieved-228-roi-with-benefits-of-34-8m-in-new-total-economic-impact-study/</w:t>
      </w:r>
    </w:p>
    <w:p>
      <w:pPr>
        <w:spacing w:after="120" w:line="276" w:lineRule="auto"/>
        <w:ind w:firstLine="480"/>
      </w:pPr>
      <w:r>
        <w:rPr>
          <w:rFonts w:ascii="SimSun" w:hAnsi="SimSun" w:eastAsia="SimSun" w:cs="SimSun"/>
          <w:b w:val="0"/>
          <w:sz w:val="21"/>
        </w:rPr>
        <w:t>说明：本报告基于公开信源与行内知识库留存的Gartner分析师现场交流记录整理，标注"转引自""综述"的条目为二手来源，关键数据建议以原始报告核验；[8][9]为一手会议记录与内部整理材料，非公开可查信源，仅供内部研判参考，仅用于佐证技术机制与架构演进逻辑、不作为同业案例证据；[10][11]为公开可查的厂商/第三方咨询机构新闻稿，其中[10]为具名机构实名案例、[11]为多客户综合评估（未披露具体机构名称），两者均已核实。信息采集截至2026-07-06；2026-07-15深化（v2.0）新增第3.3节（原编号，现并入五）、附录九（现并入五.3），主要依据Gartner《Magic Quadrant for Decision Intelligence Platforms》（[7]）原文补充方法论、市场信号与17家厂商图谱；2026-07-15格式修订（v2.1）图注措辞简化；2026-08-17按十一章深度结构标准系统扩充技术原理、架构、风险量化、监管映射与同业案例（v3.0）；同日修订（v3.1）将第七章同业案例由非公开交流纪要替换为可公开核实的实名案例（Nationwide Building Society）及第三方量化评估（Quantexa），信息采集/整理截至2026-08-17。</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