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93192F"/>
    <w:p w14:paraId="370DFC7B"/>
    <w:p w14:paraId="6AD0BBFC">
      <w:pPr>
        <w:jc w:val="center"/>
      </w:pPr>
      <w:r>
        <w:rPr>
          <w:rFonts w:hint="eastAsia" w:ascii="Times New Roman" w:hAnsi="Times New Roman" w:eastAsia="黑体"/>
          <w:b/>
          <w:i w:val="0"/>
          <w:sz w:val="52"/>
        </w:rPr>
        <w:t>前沿技术专题研究报告</w:t>
      </w:r>
    </w:p>
    <w:p w14:paraId="0345D316">
      <w:pPr>
        <w:spacing w:before="360"/>
        <w:jc w:val="center"/>
      </w:pPr>
      <w:r>
        <w:rPr>
          <w:rFonts w:hint="eastAsia" w:ascii="Times New Roman" w:hAnsi="Times New Roman" w:eastAsia="黑体"/>
          <w:b/>
          <w:i w:val="0"/>
          <w:sz w:val="38"/>
        </w:rPr>
        <w:t>客户数字孪生（DToC）</w:t>
      </w:r>
    </w:p>
    <w:p w14:paraId="72685F41">
      <w:pPr>
        <w:spacing w:after="120"/>
        <w:jc w:val="center"/>
      </w:pPr>
      <w:r>
        <w:rPr>
          <w:rFonts w:ascii="Times New Roman" w:hAnsi="Times New Roman" w:eastAsia="宋体"/>
          <w:b w:val="0"/>
          <w:i w:val="0"/>
          <w:color w:val="555555"/>
          <w:sz w:val="24"/>
        </w:rPr>
        <w:t>Digital Twin of Customer</w:t>
      </w:r>
    </w:p>
    <w:p w14:paraId="20ABDAB3">
      <w:pPr>
        <w:jc w:val="center"/>
      </w:pPr>
      <w:r>
        <w:rPr>
          <w:rFonts w:hint="eastAsia" w:ascii="Times New Roman" w:hAnsi="Times New Roman" w:eastAsia="宋体"/>
          <w:b w:val="0"/>
          <w:i w:val="0"/>
          <w:color w:val="555555"/>
          <w:sz w:val="21"/>
        </w:rPr>
        <w:t>——技术跟踪与客户行为推演能力切入路径研究</w:t>
      </w:r>
    </w:p>
    <w:p w14:paraId="4CC2B705"/>
    <w:p w14:paraId="2F20B31F"/>
    <w:p w14:paraId="79BA6AE6"/>
    <w:p w14:paraId="6FD153FF"/>
    <w:p w14:paraId="70B45DDF"/>
    <w:p w14:paraId="47073640"/>
    <w:p w14:paraId="4EE67CE5"/>
    <w:p w14:paraId="03AA44EF"/>
    <w:p w14:paraId="19410632">
      <w:pPr>
        <w:spacing w:after="40"/>
        <w:jc w:val="center"/>
      </w:pPr>
      <w:r>
        <w:rPr>
          <w:rFonts w:hint="eastAsia" w:ascii="Times New Roman" w:hAnsi="Times New Roman" w:eastAsia="宋体"/>
          <w:b w:val="0"/>
          <w:i w:val="0"/>
          <w:sz w:val="22"/>
        </w:rPr>
        <w:t>编制部门：科技部</w:t>
      </w:r>
    </w:p>
    <w:p w14:paraId="7FD42FC3">
      <w:pPr>
        <w:spacing w:after="40"/>
        <w:jc w:val="center"/>
        <w:rPr>
          <w:rFonts w:hint="eastAsia" w:eastAsia="宋体"/>
          <w:lang w:eastAsia="zh-CN"/>
        </w:rPr>
      </w:pPr>
      <w:r>
        <w:rPr>
          <w:rFonts w:hint="eastAsia" w:ascii="Times New Roman" w:hAnsi="Times New Roman" w:eastAsia="宋体"/>
          <w:b w:val="0"/>
          <w:i w:val="0"/>
          <w:sz w:val="22"/>
        </w:rPr>
        <w:t>报告版本：V2.3</w:t>
      </w:r>
      <w:r>
        <w:rPr>
          <w:rFonts w:hint="eastAsia"/>
          <w:b w:val="0"/>
          <w:i w:val="0"/>
          <w:sz w:val="22"/>
          <w:lang w:val="en-US" w:eastAsia="zh-CN"/>
        </w:rPr>
        <w:t>2</w:t>
      </w:r>
    </w:p>
    <w:p w14:paraId="79152713">
      <w:pPr>
        <w:spacing w:after="40"/>
        <w:jc w:val="center"/>
      </w:pPr>
      <w:r>
        <w:rPr>
          <w:rFonts w:hint="eastAsia" w:ascii="Times New Roman" w:hAnsi="Times New Roman" w:eastAsia="宋体"/>
          <w:b w:val="0"/>
          <w:i w:val="0"/>
          <w:sz w:val="22"/>
        </w:rPr>
        <w:t>编制日期：2026年</w:t>
      </w:r>
      <w:bookmarkStart w:id="0" w:name="_GoBack"/>
      <w:bookmarkEnd w:id="0"/>
      <w:r>
        <w:rPr>
          <w:rFonts w:hint="eastAsia"/>
          <w:b w:val="0"/>
          <w:i w:val="0"/>
          <w:sz w:val="22"/>
          <w:lang w:val="en-US" w:eastAsia="zh-CN"/>
        </w:rPr>
        <w:t>9</w:t>
      </w:r>
      <w:r>
        <w:rPr>
          <w:rFonts w:hint="eastAsia" w:ascii="Times New Roman" w:hAnsi="Times New Roman" w:eastAsia="宋体"/>
          <w:b w:val="0"/>
          <w:i w:val="0"/>
          <w:sz w:val="22"/>
        </w:rPr>
        <w:t>月</w:t>
      </w:r>
    </w:p>
    <w:p w14:paraId="0383A1DB">
      <w:r>
        <w:br w:type="page"/>
      </w:r>
    </w:p>
    <w:p w14:paraId="27E146A6">
      <w:pPr>
        <w:pStyle w:val="3"/>
        <w:spacing w:before="240" w:after="120" w:line="312" w:lineRule="auto"/>
      </w:pPr>
      <w:r>
        <w:rPr>
          <w:rFonts w:hint="eastAsia" w:ascii="Times New Roman" w:hAnsi="Times New Roman" w:eastAsia="黑体"/>
          <w:b/>
          <w:i w:val="0"/>
          <w:color w:val="1F1F1F"/>
          <w:sz w:val="30"/>
        </w:rPr>
        <w:t>一、执行摘要</w:t>
      </w:r>
    </w:p>
    <w:p w14:paraId="27186C92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 w:val="0"/>
          <w:i w:val="0"/>
          <w:sz w:val="21"/>
        </w:rPr>
        <w:t>客户数字孪生（DToC）是客户智能从"描述→预测"向"推演"演进的下一步：它用AI/ML、行为建模与因果推断，为单个客户或客群建立动态虚拟镜像，回答一个此前算不清的问题——"若银行做X，客户会怎么反应"。Gartner于2025年10月的销售技术Hype Cycle将其列为"创新触发期"</w:t>
      </w:r>
      <w:r>
        <w:rPr>
          <w:rFonts w:ascii="Times New Roman" w:hAnsi="Times New Roman" w:eastAsia="Times New Roman"/>
          <w:b w:val="0"/>
          <w:i w:val="0"/>
          <w:sz w:val="21"/>
          <w:vertAlign w:val="superscript"/>
        </w:rPr>
        <w:t>[1]</w:t>
      </w:r>
      <w:r>
        <w:rPr>
          <w:rFonts w:hint="eastAsia" w:ascii="Times New Roman" w:hAnsi="Times New Roman" w:eastAsia="宋体"/>
          <w:b w:val="0"/>
          <w:i w:val="0"/>
          <w:sz w:val="21"/>
        </w:rPr>
        <w:t>。本报告的结论是：方向值得跟踪，但当下不宜建平台。综合六维评估，建议处置档位为"深入研究（研究层）"——不急于投入平台建设，也不宜放任观察；先以DToC为远景方向、按"五路能力"框架分步积累，用6个月POC验证"理财到期客户续投干预推演"这一场景。</w:t>
      </w:r>
    </w:p>
    <w:p w14:paraId="013286E4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 w:val="0"/>
          <w:i w:val="0"/>
          <w:sz w:val="21"/>
        </w:rPr>
        <w:t>之所以值得跟踪，是因为它对准的是一类长期算不清的账。银行业客户经营普遍存在三类痛点：营销预算大量耗在"不给优惠也会买"的自然转化者与"被打扰反而流失"的负敏感客户身上、流失干预分不清"不干预也会留"与"给优惠才留"的人群、新产品发行缺乏前置推演只能靠经验试错。症结在于，传统预测模型只能回答"客户会不会做X"，却算不出"因为银行的干预、客户才多做了多少"。这正是DToC的增量所在——它建的不是更全的数据，而是模型驱动的因果推演闭环。实现这一闭环必需且稀缺的输入是干预事件数据，核心难题是选择偏差（历史干预人群不可比会高估效果）；好消息是多数核心场景T+1数据即可支撑，实时计算并非必要前提。参考架构分四层（非行业强制标准），其中推演层是相对现有体系的真正增量。</w:t>
      </w:r>
    </w:p>
    <w:p w14:paraId="4619766F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 w:val="0"/>
          <w:i w:val="0"/>
          <w:sz w:val="21"/>
        </w:rPr>
        <w:t>落到应用，本报告规划了五大场景（理财续投干预、新品发行模拟、预算分配优化、客户旅程优化、产品设计模拟），POC首选理财续投——T+1数据可支撑、业务价值明确、最易验证、合规风险可控。效益按保守、中性、乐观三档给出区间（客户流失率降低5%—25%、营销转化率提升10%—40%、投资回收期18—48个月）。这里须坦白交代依据的成色：截至编制日，尚无任何机构发布过DToC效益的独立公开数据，上述数字来自厂商材料、非金融业通用基准与理论推算，同业案例只能证明推演能力可以落地、均未披露本表所列百分比；因此这些数字属示意区间、非收益承诺，须经POC实测复评。</w:t>
      </w:r>
    </w:p>
    <w:p w14:paraId="2BD9AE99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 w:val="0"/>
          <w:i w:val="0"/>
          <w:sz w:val="21"/>
        </w:rPr>
        <w:t>制约同样明确。法律框架下的边界是"三块能做、三条不能碰"：能做风控类、群体级、辅助人工决策型DToC，不能碰无人工复核的自动化决策、大数据杀熟、敏感个人信息训练生成式模型。主要风险为隐私合规、数据质量偏差与复合型人才缺口，但隐私计算、数据脱敏、分级授权、人工复核等前置管控手段均可行，不触发"无可行前置管控"的单列否决。市场侧，DToC是数字孪生的细分方向，全球数字孪生市场2025年约244.8亿美元、2026年约339.7亿美元，但DToC占比很小、仍处早期；供给端多路并存，传统"CDP+推荐"的组合构成高威胁替代，技术栈以开源为主、无强锁定，生态开放度3分。</w:t>
      </w:r>
    </w:p>
    <w:p w14:paraId="0ECB8C6F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 w:val="0"/>
          <w:i w:val="0"/>
          <w:sz w:val="21"/>
        </w:rPr>
        <w:t>就本行而言，DToC命中"数智化"战略下的"客户经营"体系与"数智营销"领域，是对现有营销AI从"预测谁会买"向"算清增量、优化投放"的深化，而非另辟战线；但本行点名的AI旗舰路径是金融垂类大模型与智能体，DToC未在其列，战略匹配度评3分。综合六维评分——技术成熟度2分、战略匹配度3分、价值贡献度3分、引入可行度2分、战略紧迫度3分、生态开放度3分，其中价值贡献度因主要依据为示意测算而审慎取3分（理论上可评4分，待POC实测后复评）——组合判据指向"深入研究（研究层）"，战略紧迫度3分、在层内排期推进。</w:t>
      </w:r>
    </w:p>
    <w:p w14:paraId="6047EA62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 w:val="0"/>
          <w:i w:val="0"/>
          <w:sz w:val="21"/>
        </w:rPr>
        <w:t>落地路径上，以"五路能力"（数据底座／行为建模／场景推演／决策集成／合规与隐私计算）为主线渐进建设，每路同步解决一个现有客户画像痛点；6个月POC验证理财续投场景，成功标准为A/B测试增量续投≥20%，止损标准为增量&lt;10%或回溯偏差&gt;40%，即便验证不通过，也将沉淀干预事件数据采集规范、标签体系与Uplift建模能力，不白费。核心组件（Uplift建模与推演引擎）自研，通用设施复用开源与行内已有能力。</w:t>
      </w:r>
    </w:p>
    <w:p w14:paraId="70048926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 w:val="0"/>
          <w:i w:val="0"/>
          <w:sz w:val="21"/>
        </w:rPr>
        <w:t>须说明：本报告效益与场景数字均为示意性参考区间，非收益承诺，实际以POC实测为准；研究方法、名词解释与参考文献见附录一—三。</w:t>
      </w:r>
    </w:p>
    <w:p w14:paraId="789A8E12">
      <w:pPr>
        <w:pStyle w:val="3"/>
        <w:spacing w:before="240" w:after="120" w:line="312" w:lineRule="auto"/>
      </w:pPr>
      <w:r>
        <w:rPr>
          <w:rFonts w:hint="eastAsia" w:ascii="Times New Roman" w:hAnsi="Times New Roman" w:eastAsia="黑体"/>
          <w:b/>
          <w:i w:val="0"/>
          <w:color w:val="1F1F1F"/>
          <w:sz w:val="30"/>
        </w:rPr>
        <w:t>二、背景与现状</w:t>
      </w:r>
    </w:p>
    <w:p w14:paraId="1102B081">
      <w:pPr>
        <w:pStyle w:val="4"/>
        <w:spacing w:before="160" w:after="120" w:line="312" w:lineRule="auto"/>
      </w:pPr>
      <w:r>
        <w:rPr>
          <w:rFonts w:hint="eastAsia" w:ascii="Times New Roman" w:hAnsi="Times New Roman" w:eastAsia="黑体"/>
          <w:b/>
          <w:i w:val="0"/>
          <w:color w:val="1F1F1F"/>
          <w:sz w:val="25"/>
        </w:rPr>
        <w:t>（一）客户智能的三阶段演进：从描述到预测再到推演</w:t>
      </w:r>
    </w:p>
    <w:p w14:paraId="0A70E289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 w:val="0"/>
          <w:i w:val="0"/>
          <w:sz w:val="21"/>
        </w:rPr>
        <w:t>国内银行业的客户管理智能化大致经历了三个阶段，DToC指向的是第三阶段。作这一划分，是为了说清DToC究竟新在哪里，从而判断值不值得投入；前两个阶段的能力并不会因此被替代。（其中第一阶段的核心工具是客户数据平台，即CDP，Customer Data Platform，用于整合多源客户数据形成统一客户视图；术语详见附录二名词解释。）</w:t>
      </w:r>
    </w:p>
    <w:p w14:paraId="316236EC">
      <w:pPr>
        <w:spacing w:before="120" w:after="60"/>
        <w:jc w:val="center"/>
      </w:pPr>
      <w:r>
        <w:rPr>
          <w:rFonts w:hint="eastAsia" w:ascii="Times New Roman" w:hAnsi="Times New Roman" w:eastAsia="黑体"/>
          <w:b/>
          <w:i w:val="0"/>
          <w:sz w:val="18"/>
        </w:rPr>
        <w:t>表1 客户智能三阶段与银行现状对照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1813"/>
        <w:gridCol w:w="1813"/>
        <w:gridCol w:w="1813"/>
        <w:gridCol w:w="1813"/>
      </w:tblGrid>
      <w:tr w14:paraId="2058E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752147FE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阶段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6C595BDB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核心能力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294CCBCE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回答的问题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41FD4B3A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典型技术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08CE9E8A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银行现状</w:t>
            </w:r>
          </w:p>
        </w:tc>
      </w:tr>
      <w:tr w14:paraId="00E76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5CFDE2F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第一阶段：描述性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53CEFDA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客户画像、客户分群、RFM模型、BI报表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0479EDF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客户过去是什么样？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78CDB28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CDP、数据仓库、标签体系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0CBF23B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绝大多数银行已具备</w:t>
            </w:r>
          </w:p>
        </w:tc>
      </w:tr>
      <w:tr w14:paraId="6D60D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E1C88B1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第二阶段：预测性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AF62C63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流失预警、营销响应模型、信用评分、推荐系统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9D02F7E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客户未来可能做什么？（单一维度预测）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7AF8F8B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XGBoost、深度学习、协同过滤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B3653E2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多数银行已具备（单点模型）</w:t>
            </w:r>
          </w:p>
        </w:tc>
      </w:tr>
      <w:tr w14:paraId="023D1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8402138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第三阶段：推演性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670B1AF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客户行为模拟、反事实评估、Uplift增量预测、What-if场景推演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F88ED0A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如果银行做X，客户会怎么反应？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BEDA0C2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因果推断、Uplift Modeling、Agent建模、强化学习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D42A859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几乎空白（DToC主张的能力）</w:t>
            </w:r>
          </w:p>
        </w:tc>
      </w:tr>
    </w:tbl>
    <w:p w14:paraId="381C8B62">
      <w:pPr>
        <w:spacing w:before="0" w:after="40"/>
      </w:pPr>
    </w:p>
    <w:p w14:paraId="13CEBF08">
      <w:pPr>
        <w:spacing w:after="40"/>
        <w:jc w:val="center"/>
      </w:pPr>
      <w:r>
        <w:drawing>
          <wp:inline distT="0" distB="0" distL="114300" distR="114300">
            <wp:extent cx="5579745" cy="3887470"/>
            <wp:effectExtent l="0" t="0" r="1905" b="1778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5D882">
      <w:pPr>
        <w:spacing w:after="160"/>
        <w:jc w:val="center"/>
      </w:pPr>
      <w:r>
        <w:rPr>
          <w:rFonts w:hint="eastAsia" w:ascii="Times New Roman" w:hAnsi="Times New Roman" w:eastAsia="宋体"/>
          <w:b w:val="0"/>
          <w:i w:val="0"/>
          <w:color w:val="444444"/>
          <w:sz w:val="18"/>
        </w:rPr>
        <w:t>图1 客户智能三阶段演进示意图（自绘）：第三阶段"推演性"即DToC主张的能力所在</w:t>
      </w:r>
    </w:p>
    <w:p w14:paraId="02FA44D2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 w:val="0"/>
          <w:i w:val="0"/>
          <w:sz w:val="21"/>
        </w:rPr>
        <w:t>上表与示意图已给出三阶段的划分与能力递进。需要点明的关键跳跃，在第二阶段到第三阶段之间：第二阶段预测模型只能回答"客户会不会做X"，却算不出"因为银行的干预、客户才多做了多少"——这正是本章第（三）节四类客户失效机制的根源；第三阶段的价值，正是补上这层因果推演，把"银行做X、客户会怎么反应"变成可模拟、可优化的对象</w:t>
      </w:r>
      <w:r>
        <w:rPr>
          <w:rFonts w:ascii="Times New Roman" w:hAnsi="Times New Roman" w:eastAsia="Times New Roman"/>
          <w:b w:val="0"/>
          <w:i w:val="0"/>
          <w:sz w:val="21"/>
          <w:vertAlign w:val="superscript"/>
        </w:rPr>
        <w:t>[12][13]</w:t>
      </w:r>
      <w:r>
        <w:rPr>
          <w:rFonts w:hint="eastAsia" w:ascii="Times New Roman" w:hAnsi="Times New Roman" w:eastAsia="宋体"/>
          <w:b w:val="0"/>
          <w:i w:val="0"/>
          <w:sz w:val="21"/>
        </w:rPr>
        <w:t>。</w:t>
      </w:r>
    </w:p>
    <w:p w14:paraId="244E3AED">
      <w:pPr>
        <w:pStyle w:val="4"/>
        <w:spacing w:before="160" w:after="120" w:line="312" w:lineRule="auto"/>
      </w:pPr>
      <w:r>
        <w:rPr>
          <w:rFonts w:hint="eastAsia" w:ascii="Times New Roman" w:hAnsi="Times New Roman" w:eastAsia="黑体"/>
          <w:b/>
          <w:i w:val="0"/>
          <w:color w:val="1F1F1F"/>
          <w:sz w:val="25"/>
        </w:rPr>
        <w:t>（二）行业关注DToC的驱动因素</w:t>
      </w:r>
    </w:p>
    <w:p w14:paraId="6DFA6A75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 w:val="0"/>
          <w:i w:val="0"/>
          <w:sz w:val="21"/>
        </w:rPr>
        <w:t>银行业关注DToC的核心驱动力来自三个层面：</w:t>
      </w:r>
    </w:p>
    <w:p w14:paraId="4262BC19">
      <w:pPr>
        <w:spacing w:after="80" w:line="336" w:lineRule="auto"/>
        <w:ind w:firstLine="420"/>
      </w:pPr>
      <w:r>
        <w:rPr>
          <w:rFonts w:hint="eastAsia" w:ascii="Times New Roman" w:hAnsi="Times New Roman" w:eastAsia="宋体"/>
          <w:b/>
          <w:i w:val="0"/>
          <w:sz w:val="21"/>
        </w:rPr>
        <w:t>客户体验竞争加剧。</w:t>
      </w:r>
      <w:r>
        <w:rPr>
          <w:rFonts w:hint="eastAsia" w:ascii="Times New Roman" w:hAnsi="Times New Roman" w:eastAsia="宋体"/>
          <w:b w:val="0"/>
          <w:i w:val="0"/>
          <w:sz w:val="21"/>
        </w:rPr>
        <w:t>在利率市场化和金融脱媒背景下，客户体验已成为银行差异化竞争的关键。传统"千人一面"的服务模式难以满足个性化需求，而DToC提供的行为推演能力被视为下一代客户体验管理的核心技术</w:t>
      </w:r>
      <w:r>
        <w:rPr>
          <w:rFonts w:ascii="Times New Roman" w:hAnsi="Times New Roman" w:eastAsia="Times New Roman"/>
          <w:b w:val="0"/>
          <w:i w:val="0"/>
          <w:sz w:val="21"/>
          <w:vertAlign w:val="superscript"/>
        </w:rPr>
        <w:t>[14]</w:t>
      </w:r>
      <w:r>
        <w:rPr>
          <w:rFonts w:hint="eastAsia" w:ascii="Times New Roman" w:hAnsi="Times New Roman" w:eastAsia="宋体"/>
          <w:b w:val="0"/>
          <w:i w:val="0"/>
          <w:sz w:val="21"/>
        </w:rPr>
        <w:t>。</w:t>
      </w:r>
    </w:p>
    <w:p w14:paraId="1A3931BD">
      <w:pPr>
        <w:spacing w:after="80" w:line="336" w:lineRule="auto"/>
        <w:ind w:firstLine="420"/>
      </w:pPr>
      <w:r>
        <w:rPr>
          <w:rFonts w:hint="eastAsia" w:ascii="Times New Roman" w:hAnsi="Times New Roman" w:eastAsia="宋体"/>
          <w:b/>
          <w:i w:val="0"/>
          <w:sz w:val="21"/>
        </w:rPr>
        <w:t>获客成本持续上升。</w:t>
      </w:r>
      <w:r>
        <w:rPr>
          <w:rFonts w:hint="eastAsia" w:ascii="Times New Roman" w:hAnsi="Times New Roman" w:eastAsia="宋体"/>
          <w:b w:val="0"/>
          <w:i w:val="0"/>
          <w:sz w:val="21"/>
        </w:rPr>
        <w:t>金融服务行业获取新客户的成本显著高于保留现有客户，DToC通过识别交叉销售机会、模拟新产品接受度、优化干预投放，直接提升客户留存率和单客户价值（LTV）</w:t>
      </w:r>
      <w:r>
        <w:rPr>
          <w:rFonts w:ascii="Times New Roman" w:hAnsi="Times New Roman" w:eastAsia="Times New Roman"/>
          <w:b w:val="0"/>
          <w:i w:val="0"/>
          <w:sz w:val="21"/>
          <w:vertAlign w:val="superscript"/>
        </w:rPr>
        <w:t>[12][15]</w:t>
      </w:r>
      <w:r>
        <w:rPr>
          <w:rFonts w:hint="eastAsia" w:ascii="Times New Roman" w:hAnsi="Times New Roman" w:eastAsia="宋体"/>
          <w:b w:val="0"/>
          <w:i w:val="0"/>
          <w:sz w:val="21"/>
        </w:rPr>
        <w:t>。</w:t>
      </w:r>
    </w:p>
    <w:p w14:paraId="03E06310">
      <w:pPr>
        <w:spacing w:after="80" w:line="336" w:lineRule="auto"/>
        <w:ind w:firstLine="420"/>
      </w:pPr>
      <w:r>
        <w:rPr>
          <w:rFonts w:hint="eastAsia" w:ascii="Times New Roman" w:hAnsi="Times New Roman" w:eastAsia="宋体"/>
          <w:b/>
          <w:i w:val="0"/>
          <w:sz w:val="21"/>
        </w:rPr>
        <w:t>AI大模型技术降低了行为建模门槛。</w:t>
      </w:r>
      <w:r>
        <w:rPr>
          <w:rFonts w:hint="eastAsia" w:ascii="Times New Roman" w:hAnsi="Times New Roman" w:eastAsia="宋体"/>
          <w:b w:val="0"/>
          <w:i w:val="0"/>
          <w:sz w:val="21"/>
        </w:rPr>
        <w:t>生成式AI和大语言模型的发展使从非结构化数据（客服对话、投诉文本）中提取客户行为信号更为可行，多模态融合建模能力的提升为DToC提供了技术基础</w:t>
      </w:r>
      <w:r>
        <w:rPr>
          <w:rFonts w:ascii="Times New Roman" w:hAnsi="Times New Roman" w:eastAsia="Times New Roman"/>
          <w:b w:val="0"/>
          <w:i w:val="0"/>
          <w:sz w:val="21"/>
          <w:vertAlign w:val="superscript"/>
        </w:rPr>
        <w:t>[16]</w:t>
      </w:r>
      <w:r>
        <w:rPr>
          <w:rFonts w:hint="eastAsia" w:ascii="Times New Roman" w:hAnsi="Times New Roman" w:eastAsia="宋体"/>
          <w:b w:val="0"/>
          <w:i w:val="0"/>
          <w:sz w:val="21"/>
        </w:rPr>
        <w:t>。</w:t>
      </w:r>
    </w:p>
    <w:p w14:paraId="0ED5C399">
      <w:pPr>
        <w:pStyle w:val="4"/>
        <w:spacing w:before="160" w:after="120" w:line="312" w:lineRule="auto"/>
      </w:pPr>
      <w:r>
        <w:rPr>
          <w:rFonts w:hint="eastAsia" w:ascii="Times New Roman" w:hAnsi="Times New Roman" w:eastAsia="黑体"/>
          <w:b/>
          <w:i w:val="0"/>
          <w:color w:val="1F1F1F"/>
          <w:sz w:val="25"/>
        </w:rPr>
        <w:t>（三）传统客户管理方式的具体失效机制</w:t>
      </w:r>
    </w:p>
    <w:p w14:paraId="2C98A7BA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 w:val="0"/>
          <w:i w:val="0"/>
          <w:sz w:val="21"/>
        </w:rPr>
        <w:t>传统客户管理方式在以下场景中存在具体的失效机制，而非笼统的"效率较低"。</w:t>
      </w:r>
    </w:p>
    <w:p w14:paraId="469EF7C2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/>
          <w:i w:val="0"/>
          <w:sz w:val="21"/>
        </w:rPr>
        <w:t>第一，营销预算浪费在"自然转化"和"反效果"客户身上。</w:t>
      </w:r>
      <w:r>
        <w:rPr>
          <w:rFonts w:hint="eastAsia" w:ascii="Times New Roman" w:hAnsi="Times New Roman" w:eastAsia="宋体"/>
          <w:b w:val="0"/>
          <w:i w:val="0"/>
          <w:sz w:val="21"/>
        </w:rPr>
        <w:t>传统营销响应模型只能预测"收到营销后谁会购买"，输出响应概率，但无法计算增量效应（给优惠后的购买率减不给优惠的购买率），因此无法区分以下四类客户（即Uplift增量模型经典的"四类人群"划分）：</w:t>
      </w:r>
    </w:p>
    <w:p w14:paraId="6894A625">
      <w:pPr>
        <w:spacing w:before="120" w:after="60"/>
        <w:jc w:val="center"/>
      </w:pPr>
      <w:r>
        <w:rPr>
          <w:rFonts w:hint="eastAsia" w:ascii="Times New Roman" w:hAnsi="Times New Roman" w:eastAsia="黑体"/>
          <w:b/>
          <w:i w:val="0"/>
          <w:sz w:val="18"/>
        </w:rPr>
        <w:t>表2 传统响应模型下的四类客户分解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1813"/>
        <w:gridCol w:w="1813"/>
        <w:gridCol w:w="1813"/>
        <w:gridCol w:w="1813"/>
      </w:tblGrid>
      <w:tr w14:paraId="10C2E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2A6C37D7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客户类型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24766EC2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不给优惠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73C20CBA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给优惠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1265E516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给优惠的效果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7647E82F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传统响应模型能否识别</w:t>
            </w:r>
          </w:p>
        </w:tc>
      </w:tr>
      <w:tr w14:paraId="71163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30129F4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① 肯定买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8FD9C45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会买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2493914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会买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E18F781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浪费（本来就会买，优惠白给）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763CFA7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否：被标为"高响应"，实为浪费</w:t>
            </w:r>
          </w:p>
        </w:tc>
      </w:tr>
      <w:tr w14:paraId="2C39B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417D898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② 给优惠才买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F84F0F1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不买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F3606FF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会买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576C70E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值得（增量转化，优惠花对了）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3F3A7B4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否：被标为"高响应"，但与①无法区分</w:t>
            </w:r>
          </w:p>
        </w:tc>
      </w:tr>
      <w:tr w14:paraId="3321F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CC1A967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③ 给优惠反而不买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2352044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会买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658EFCA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不买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F859176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反效果（被打扰或怀疑产品）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450D6C8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否：完全识别不了，可能拉低转化率</w:t>
            </w:r>
          </w:p>
        </w:tc>
      </w:tr>
      <w:tr w14:paraId="32549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D14EA06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④ 怎么都不买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885E171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不买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7D3C4AB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不买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1C23543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浪费（怎么都不买）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C543E30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否：被标为"低响应"，但与②无法区分</w:t>
            </w:r>
          </w:p>
        </w:tc>
      </w:tr>
    </w:tbl>
    <w:p w14:paraId="49D016D6">
      <w:pPr>
        <w:spacing w:before="0" w:after="40"/>
      </w:pPr>
    </w:p>
    <w:p w14:paraId="5C6023D5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 w:val="0"/>
          <w:i w:val="0"/>
          <w:sz w:val="21"/>
        </w:rPr>
        <w:t>传统做法按响应概率从高到低排序选Top N投放，结果是：①和②都被标为"高响应"一起投放（①是浪费）；③完全识别不了、可能被投放（反效果）；②和④都被标为"低响应"、②可能被漏掉（而②恰恰是真正值得投放的对象）。以归一化的示意口径（每千次投放计）：传统全域投放下增量留存约35人，Uplift精准投放可提升至约58人（相对提升约66%），无效自然用户占比下降约9.6个百分点；该数值为演示增量量级的归一化示意（非特定机构实测，非收益承诺），实际以POC为准。Uplift增量模型的核心价值就是识别②类客户，只对其投放，把预算花在刀刃上，同时避开③类反效果客户。</w:t>
      </w:r>
    </w:p>
    <w:p w14:paraId="683C88AB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/>
          <w:i w:val="0"/>
          <w:sz w:val="21"/>
        </w:rPr>
        <w:t>第二，人生事件预判失效。</w:t>
      </w:r>
      <w:r>
        <w:rPr>
          <w:rFonts w:hint="eastAsia" w:ascii="Times New Roman" w:hAnsi="Times New Roman" w:eastAsia="宋体"/>
          <w:b w:val="0"/>
          <w:i w:val="0"/>
          <w:sz w:val="21"/>
        </w:rPr>
        <w:t>传统客户画像基于历史数据分类，无法预判客户即将经历的重大人生事件（如结婚、购房、生育、退休）。这些事件往往是金融需求的爆发点，但银行通常在客户主动申请时才获知，错失主动服务的最佳窗口</w:t>
      </w:r>
      <w:r>
        <w:rPr>
          <w:rFonts w:ascii="Times New Roman" w:hAnsi="Times New Roman" w:eastAsia="Times New Roman"/>
          <w:b w:val="0"/>
          <w:i w:val="0"/>
          <w:sz w:val="21"/>
          <w:vertAlign w:val="superscript"/>
        </w:rPr>
        <w:t>[12][15]</w:t>
      </w:r>
      <w:r>
        <w:rPr>
          <w:rFonts w:hint="eastAsia" w:ascii="Times New Roman" w:hAnsi="Times New Roman" w:eastAsia="宋体"/>
          <w:b w:val="0"/>
          <w:i w:val="0"/>
          <w:sz w:val="21"/>
        </w:rPr>
        <w:t>。</w:t>
      </w:r>
    </w:p>
    <w:p w14:paraId="1A5E824B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/>
          <w:i w:val="0"/>
          <w:sz w:val="21"/>
        </w:rPr>
        <w:t>第三，流失预警滞后且干预不精准。</w:t>
      </w:r>
      <w:r>
        <w:rPr>
          <w:rFonts w:hint="eastAsia" w:ascii="Times New Roman" w:hAnsi="Times New Roman" w:eastAsia="宋体"/>
          <w:b w:val="0"/>
          <w:i w:val="0"/>
          <w:sz w:val="21"/>
        </w:rPr>
        <w:t>传统流失模型基于行为指标阈值判断，指标往往在客户已决定离开后才显现。更关键的是，传统干预对所有"高风险"客户统一投放优惠，但其中一部分"不干预也会留下"（自然留存）、另一部分"给优惠也留不住"（不可挽回），真正需要干预的是"只有干预才会留下"的可挽回人群，而传统模型作不出这个区分</w:t>
      </w:r>
      <w:r>
        <w:rPr>
          <w:rFonts w:ascii="Times New Roman" w:hAnsi="Times New Roman" w:eastAsia="Times New Roman"/>
          <w:b w:val="0"/>
          <w:i w:val="0"/>
          <w:sz w:val="21"/>
          <w:vertAlign w:val="superscript"/>
        </w:rPr>
        <w:t>[12][15]</w:t>
      </w:r>
      <w:r>
        <w:rPr>
          <w:rFonts w:hint="eastAsia" w:ascii="Times New Roman" w:hAnsi="Times New Roman" w:eastAsia="宋体"/>
          <w:b w:val="0"/>
          <w:i w:val="0"/>
          <w:sz w:val="21"/>
        </w:rPr>
        <w:t>。</w:t>
      </w:r>
    </w:p>
    <w:p w14:paraId="50CE822E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/>
          <w:i w:val="0"/>
          <w:sz w:val="21"/>
        </w:rPr>
        <w:t>第四，新产品市场测试成本高。</w:t>
      </w:r>
      <w:r>
        <w:rPr>
          <w:rFonts w:hint="eastAsia" w:ascii="Times New Roman" w:hAnsi="Times New Roman" w:eastAsia="宋体"/>
          <w:b w:val="0"/>
          <w:i w:val="0"/>
          <w:sz w:val="21"/>
        </w:rPr>
        <w:t>新产品上线需经市场调研、小范围试点、效果评估等漫长周期，且试点结果代表性有限。推演能力可在虚拟环境中模拟新产品对不同客群的影响，预测接受度、转化率和资金来源结构（增量资金vs存量搬家），大幅降低试错成本</w:t>
      </w:r>
      <w:r>
        <w:rPr>
          <w:rFonts w:ascii="Times New Roman" w:hAnsi="Times New Roman" w:eastAsia="Times New Roman"/>
          <w:b w:val="0"/>
          <w:i w:val="0"/>
          <w:sz w:val="21"/>
          <w:vertAlign w:val="superscript"/>
        </w:rPr>
        <w:t>[12][15]</w:t>
      </w:r>
      <w:r>
        <w:rPr>
          <w:rFonts w:hint="eastAsia" w:ascii="Times New Roman" w:hAnsi="Times New Roman" w:eastAsia="宋体"/>
          <w:b w:val="0"/>
          <w:i w:val="0"/>
          <w:sz w:val="21"/>
        </w:rPr>
        <w:t>。</w:t>
      </w:r>
    </w:p>
    <w:p w14:paraId="0209C799">
      <w:pPr>
        <w:pStyle w:val="4"/>
        <w:spacing w:before="160" w:after="120" w:line="312" w:lineRule="auto"/>
      </w:pPr>
      <w:r>
        <w:rPr>
          <w:rFonts w:hint="eastAsia" w:ascii="Times New Roman" w:hAnsi="Times New Roman" w:eastAsia="黑体"/>
          <w:b/>
          <w:i w:val="0"/>
          <w:color w:val="1F1F1F"/>
          <w:sz w:val="25"/>
        </w:rPr>
        <w:t>（四）当前客户画像体系的痛点分析</w:t>
      </w:r>
    </w:p>
    <w:p w14:paraId="5114DF64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 w:val="0"/>
          <w:i w:val="0"/>
          <w:sz w:val="21"/>
        </w:rPr>
        <w:t>判断要不要做DToC，得先看现有客户画像体系存在哪些具体问题。以下六类痛点是行业内的普遍现象，也正是DToC能力建设针对性的解决对象：</w:t>
      </w:r>
    </w:p>
    <w:p w14:paraId="70AE70E5">
      <w:pPr>
        <w:spacing w:before="120" w:after="60"/>
        <w:jc w:val="center"/>
      </w:pPr>
      <w:r>
        <w:rPr>
          <w:rFonts w:hint="eastAsia" w:ascii="Times New Roman" w:hAnsi="Times New Roman" w:eastAsia="黑体"/>
          <w:b/>
          <w:i w:val="0"/>
          <w:sz w:val="18"/>
        </w:rPr>
        <w:t>表3 当前</w:t>
      </w:r>
      <w:r>
        <w:rPr>
          <w:rFonts w:hint="eastAsia" w:eastAsia="黑体"/>
          <w:b/>
          <w:i w:val="0"/>
          <w:sz w:val="18"/>
          <w:lang w:val="en-US" w:eastAsia="zh-CN"/>
        </w:rPr>
        <w:t>行业</w:t>
      </w:r>
      <w:r>
        <w:rPr>
          <w:rFonts w:hint="eastAsia" w:ascii="Times New Roman" w:hAnsi="Times New Roman" w:eastAsia="黑体"/>
          <w:b/>
          <w:i w:val="0"/>
          <w:sz w:val="18"/>
        </w:rPr>
        <w:t>客户画像体系六类痛点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</w:tblGrid>
      <w:tr w14:paraId="31A3B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4B711791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痛点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61F2D3DE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具体表现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02412BDA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根因分析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0BF26682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对DToC能力的要求</w:t>
            </w:r>
          </w:p>
        </w:tc>
      </w:tr>
      <w:tr w14:paraId="6EE93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6D2FAEF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标签庞杂，使用率低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C4A09F8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标签体系庞杂，公司与零售条线各自建设，大量低频、闲置和重复标签；业务部门找不到、看不懂、不信任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5876B7F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标签建设以技术驱动而非业务驱动，缺乏生命周期管理和使用反馈；定义不统一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BAE51F0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需先做标签治理，精简出高频核心标签集</w:t>
            </w:r>
          </w:p>
        </w:tc>
      </w:tr>
      <w:tr w14:paraId="137CA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A83E046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模型分散，重复建设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25835ED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AI模型分散在各项目组，各自开发部署；同一客户在不同模型中评分不一致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F014F09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缺乏统一建模平台和特征仓库，模型治理体系不完善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55EF1BE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需统一建模引擎与特征仓库</w:t>
            </w:r>
          </w:p>
        </w:tc>
      </w:tr>
      <w:tr w14:paraId="3BD0F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E4C0136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只会预测，不会归因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574003E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只能预测"谁会买/谁会流失"，算不清营销的"增量"效果，预算浪费在自然转化客户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9714D6D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缺乏因果推断（Uplift）能力；干预事件数据未系统化记录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A04A9E4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属DToC核心增量：补干预事件数据＋Uplift建模</w:t>
            </w:r>
          </w:p>
        </w:tc>
      </w:tr>
      <w:tr w14:paraId="0F4A5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C1B2EC3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决策靠经验，产品靠试错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A810A0A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新产品发行、预算分配、策略制定均依赖经验，无工具在决策前模拟"如果做X会怎样"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126EA08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缺乏场景推演（What-if）能力，决策支持停留在描述性和预测性阶段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213C0CE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属DToC核心增量：建场景推演能力</w:t>
            </w:r>
          </w:p>
        </w:tc>
      </w:tr>
      <w:tr w14:paraId="06A24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E0E536A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数据与决策两张皮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381CCD6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标签和模型在数据平台里，决策在业务系统里；执行后效果不回流，模型无法迭代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ECA52B4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缺乏统一决策服务层和闭环反馈机制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0E4B7E6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需统一决策服务层与闭环反馈</w:t>
            </w:r>
          </w:p>
        </w:tc>
      </w:tr>
      <w:tr w14:paraId="36309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D087A11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合规靠人工，数据使用不透明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8A161AD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脱敏靠人工配置易遗漏，合规审查滞后；哪些数据被哪个模型用了说不清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CF97F5B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缺乏自动化合规工具和数据血缘追踪，隐私计算能力未普及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BD3124A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共性要求：自动化脱敏＋合成数据＋血缘追踪</w:t>
            </w:r>
          </w:p>
        </w:tc>
      </w:tr>
    </w:tbl>
    <w:p w14:paraId="0EF9EF3C">
      <w:pPr>
        <w:spacing w:before="0" w:after="40"/>
      </w:pPr>
    </w:p>
    <w:p w14:paraId="605172B5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 w:val="0"/>
          <w:i w:val="0"/>
          <w:sz w:val="21"/>
        </w:rPr>
        <w:t>关键判断：上述六类痛点中，前两类（标签庞杂、模型分散）属基础能力不足，即使不做DToC也应解决；第三至五类（不会归因、决策靠经验、数据决策两张皮）才是DToC的核心增量价值所在；第六类（合规）是所有AI应用的共性要求。因此，DToC建设不应被理解为"另起炉灶建一个新平台"，而应理解为"在解决当前客户画像痛点的过程中，逐步积累朝着DToC远景方向演进的能力"——每解决一个痛点，就积累一块DToC拼图。该判断的实施安排详见第九章第一节。</w:t>
      </w:r>
    </w:p>
    <w:p w14:paraId="08A9C610">
      <w:pPr>
        <w:pStyle w:val="3"/>
        <w:spacing w:before="240" w:after="120" w:line="312" w:lineRule="auto"/>
      </w:pPr>
      <w:r>
        <w:rPr>
          <w:rFonts w:hint="eastAsia" w:ascii="Times New Roman" w:hAnsi="Times New Roman" w:eastAsia="黑体"/>
          <w:b/>
          <w:i w:val="0"/>
          <w:color w:val="1F1F1F"/>
          <w:sz w:val="30"/>
        </w:rPr>
        <w:t>三、技术解析</w:t>
      </w:r>
    </w:p>
    <w:p w14:paraId="0555136F">
      <w:pPr>
        <w:pStyle w:val="4"/>
        <w:spacing w:before="160" w:after="120" w:line="312" w:lineRule="auto"/>
      </w:pPr>
      <w:r>
        <w:rPr>
          <w:rFonts w:hint="eastAsia" w:ascii="Times New Roman" w:hAnsi="Times New Roman" w:eastAsia="黑体"/>
          <w:b/>
          <w:i w:val="0"/>
          <w:color w:val="1F1F1F"/>
          <w:sz w:val="25"/>
        </w:rPr>
        <w:t>（一）技术定义与核心概念</w:t>
      </w:r>
    </w:p>
    <w:p w14:paraId="33540CF7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 w:val="0"/>
          <w:i w:val="0"/>
          <w:sz w:val="21"/>
        </w:rPr>
        <w:t>客户数字孪生（Digital Twin of Customer，DToC）是数字孪生技术在客户领域的应用。传统数字孪生面向物理资产、设备和流程，DToC建模的对象则是"人"，包括客户的行为、偏好、决策模式和生命周期轨迹。其定义可以概括为：利用AI/ML、行为建模和因果推断技术，为单个客户或客户群体建立与真实对象持续同步的动态虚拟镜像，用于行为模拟、趋势预测和情景推演</w:t>
      </w:r>
      <w:r>
        <w:rPr>
          <w:rFonts w:ascii="Times New Roman" w:hAnsi="Times New Roman" w:eastAsia="Times New Roman"/>
          <w:b w:val="0"/>
          <w:i w:val="0"/>
          <w:sz w:val="21"/>
          <w:vertAlign w:val="superscript"/>
        </w:rPr>
        <w:t>[1][12][13]</w:t>
      </w:r>
      <w:r>
        <w:rPr>
          <w:rFonts w:hint="eastAsia" w:ascii="Times New Roman" w:hAnsi="Times New Roman" w:eastAsia="宋体"/>
          <w:b w:val="0"/>
          <w:i w:val="0"/>
          <w:sz w:val="21"/>
        </w:rPr>
        <w:t>。</w:t>
      </w:r>
    </w:p>
    <w:p w14:paraId="784DA4C9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 w:val="0"/>
          <w:i w:val="0"/>
          <w:sz w:val="21"/>
        </w:rPr>
        <w:t>DToC与几个相近概念的关系可以这样理解：它以CDP为数据基础，以真实客户为同步对象，是一套动态行为镜像加推演引擎。静态客户画像只是它的输入之一，客户分群只是建模粒度的一种，推荐系统只是输出形式之一，三者都不能与DToC划等号：画像不能做模拟，分群到不了个体，推荐不做反事实推演。至于"合成客户"，那是用统计模型人工生成的测试数据，与DToC"与真实客户保持数据同步"的做法正好相反。</w:t>
      </w:r>
    </w:p>
    <w:p w14:paraId="69DEB226">
      <w:pPr>
        <w:pStyle w:val="4"/>
        <w:spacing w:before="160" w:after="120" w:line="312" w:lineRule="auto"/>
      </w:pPr>
      <w:r>
        <w:rPr>
          <w:rFonts w:hint="eastAsia" w:ascii="Times New Roman" w:hAnsi="Times New Roman" w:eastAsia="黑体"/>
          <w:b/>
          <w:i w:val="0"/>
          <w:color w:val="1F1F1F"/>
          <w:sz w:val="25"/>
        </w:rPr>
        <w:t>（二）技术原理与关键机制</w:t>
      </w:r>
    </w:p>
    <w:p w14:paraId="1F31D88D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 w:val="0"/>
          <w:i w:val="0"/>
          <w:sz w:val="21"/>
        </w:rPr>
        <w:t>本节依次说明四件事：DToC与画像、CDP的区别在哪里，"动态"是不是等于"实时"，推演需要什么数据，推演模型要解决的难点是什么。结论先行：DToC的关键在于模型驱动的因果推演闭环，不在于数据更多；"动态"指的是能够推演，不是刷新得更快；必需且稀缺的输入是干预事件数据；要克服的主要难题是选择偏差。</w:t>
      </w:r>
    </w:p>
    <w:p w14:paraId="7B0866AE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/>
          <w:i w:val="0"/>
          <w:sz w:val="21"/>
        </w:rPr>
        <w:t>本质：建的是一个数字副本，不是一个数据集。</w:t>
      </w:r>
      <w:r>
        <w:rPr>
          <w:rFonts w:hint="eastAsia" w:ascii="Times New Roman" w:hAnsi="Times New Roman" w:eastAsia="宋体"/>
          <w:b w:val="0"/>
          <w:i w:val="0"/>
          <w:sz w:val="21"/>
        </w:rPr>
        <w:t>数字孪生讲的是在数字世界建一个与真实客户持续同步的副本，数据多并不等于有孪生。可以对照工业领域的飞机发动机数字孪生：它在数字世界里是一台运转的虚拟发动机，而不是一张参数表；真实发动机的运行数据不断修正虚拟模型，虚拟模型的模拟结果再用来指导维护决策。DToC同理：真实客户的交易和行为更新虚拟镜像，镜像的模拟结果用于支撑业务决策。</w:t>
      </w:r>
    </w:p>
    <w:p w14:paraId="64BC21A3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/>
          <w:i w:val="0"/>
          <w:sz w:val="21"/>
        </w:rPr>
        <w:t>实质：模型驱动的推演闭环。</w:t>
      </w:r>
      <w:r>
        <w:rPr>
          <w:rFonts w:hint="eastAsia" w:ascii="Times New Roman" w:hAnsi="Times New Roman" w:eastAsia="宋体"/>
          <w:b w:val="0"/>
          <w:i w:val="0"/>
          <w:sz w:val="21"/>
        </w:rPr>
        <w:t>需要说明的是，现代CDP大多已具备"激活"能力，能把分群和标签推送到营销系统触发动作，并非完全单向。但CDP的回流是规则驱动的，逻辑是"满足X条件的客户推给Y活动"，只能回答"哪些客户符合条件"，回答不了"若银行做X，客户会怎么反应"。DToC的闭环是模型驱动的推演闭环：正向（客户行为→更新镜像）→反向（镜像用因果模型模拟反应→指导决策）→反馈（执行结果→回流校准模型）。打个比方，预测性模型告诉您"前方1公里拥堵"，推演性模型告诉您"走A线25分钟、过路费10元，走B线30分钟、过路费5元，建议走A"。缺了这层模型驱动的推演，就只是预测能力更强的高级CDP。</w:t>
      </w:r>
    </w:p>
    <w:p w14:paraId="74026E00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/>
          <w:i w:val="0"/>
          <w:sz w:val="21"/>
        </w:rPr>
        <w:t>关键澄清："动态"不等于"实时"。</w:t>
      </w:r>
      <w:r>
        <w:rPr>
          <w:rFonts w:hint="eastAsia" w:ascii="Times New Roman" w:hAnsi="Times New Roman" w:eastAsia="宋体"/>
          <w:b w:val="0"/>
          <w:i w:val="0"/>
          <w:sz w:val="21"/>
        </w:rPr>
        <w:t>一种常见误解是：DToC讲"动态"，就得上实时数据流。其实这里讲的动态，是指能不能做行为模拟和推演，也就是能不能回答"若做X会怎样"，跟数据更新频率是两回事：</w:t>
      </w:r>
    </w:p>
    <w:p w14:paraId="50135109">
      <w:pPr>
        <w:spacing w:before="120" w:after="60"/>
        <w:jc w:val="center"/>
      </w:pPr>
      <w:r>
        <w:rPr>
          <w:rFonts w:hint="eastAsia" w:ascii="Times New Roman" w:hAnsi="Times New Roman" w:eastAsia="黑体"/>
          <w:b/>
          <w:i w:val="0"/>
          <w:sz w:val="18"/>
        </w:rPr>
        <w:t>表4 数据更新频率与可支持的DToC场景范围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</w:tblGrid>
      <w:tr w14:paraId="3778C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384C732A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数据频率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197DFB0B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能支持的DToC场景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223F3E50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不能支持的场景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05DF0489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占核心场景比例</w:t>
            </w:r>
          </w:p>
        </w:tc>
      </w:tr>
      <w:tr w14:paraId="661BE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BE89138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T+1（日级批量）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82C4349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客群级流失预警与干预推演、新产品接受度模拟、营销预算分配优化、理财产品设计模拟、客户旅程整体优化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A54547D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实时触发的个性化推荐、实时风控拦截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E746DD3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约80%（多数核心场景T+1即可）</w:t>
            </w:r>
          </w:p>
        </w:tc>
      </w:tr>
      <w:tr w14:paraId="61C90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01885B4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准实时（分钟级）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0BEC54D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上述全部＋客户旅程中的实时触点优化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46E04E3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秒级风控拦截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085EAAA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约95%</w:t>
            </w:r>
          </w:p>
        </w:tc>
      </w:tr>
      <w:tr w14:paraId="66F84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0C57C6B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实时（秒级）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E5E2E75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上述全部＋实时个性化推荐、实时风控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6B92458">
            <w:pPr>
              <w:spacing w:after="4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50FE423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100%（多数场景不需要）</w:t>
            </w:r>
          </w:p>
        </w:tc>
      </w:tr>
    </w:tbl>
    <w:p w14:paraId="1E069460">
      <w:pPr>
        <w:spacing w:before="0" w:after="40"/>
      </w:pPr>
    </w:p>
    <w:p w14:paraId="3D14B9E7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 w:val="0"/>
          <w:i w:val="0"/>
          <w:sz w:val="21"/>
        </w:rPr>
        <w:t>多数核心推演场景用T+1数据就够，只有"实时触发的个性化推荐"需要准实时或实时，而这个场景更接近实时营销系统的范畴，不是DToC的价值所在。所以若启动建设，应先补干预事件数据和因果推断能力，不必急着建实时数据流。实时数据属于锦上添花。</w:t>
      </w:r>
    </w:p>
    <w:p w14:paraId="7051CD4B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/>
          <w:i w:val="0"/>
          <w:sz w:val="21"/>
        </w:rPr>
        <w:t>真正的必要条件：干预事件数据。</w:t>
      </w:r>
      <w:r>
        <w:rPr>
          <w:rFonts w:hint="eastAsia" w:ascii="Times New Roman" w:hAnsi="Times New Roman" w:eastAsia="宋体"/>
          <w:b w:val="0"/>
          <w:i w:val="0"/>
          <w:sz w:val="21"/>
        </w:rPr>
        <w:t>要回答"如果做X会怎样"，只能从历史上"做过X时客户反应如何"里学。记录"银行对客户做了什么干预，什么时间、什么渠道、什么内容、客户反应如何"的数据就是干预事件数据，是因果推断（Uplift）模型的训练基础。</w:t>
      </w:r>
    </w:p>
    <w:p w14:paraId="745B06AC">
      <w:pPr>
        <w:spacing w:before="120" w:after="60"/>
        <w:jc w:val="center"/>
      </w:pPr>
      <w:r>
        <w:rPr>
          <w:rFonts w:hint="eastAsia" w:ascii="Times New Roman" w:hAnsi="Times New Roman" w:eastAsia="黑体"/>
          <w:b/>
          <w:i w:val="0"/>
          <w:sz w:val="18"/>
        </w:rPr>
        <w:t>表5 推演能力的必要数据条件清单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</w:tblGrid>
      <w:tr w14:paraId="1579E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056BDB8E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数据类型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08CC6A61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是什么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1896B74A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为什么是必要条件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6FBC81EB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银行通常有没有</w:t>
            </w:r>
          </w:p>
        </w:tc>
      </w:tr>
      <w:tr w14:paraId="4EDAA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6DD0E1D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客户特征数据（静态画像）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D055BE0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年龄、资产、RFM、产品持有、行为标签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2FCB0F6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推演的基础输入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9F70F60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有（标签体系庞杂，需治理精简）</w:t>
            </w:r>
          </w:p>
        </w:tc>
      </w:tr>
      <w:tr w14:paraId="1D296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B1562C1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干预事件数据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C7E4027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银行对客户做了什么干预（推送/电话/优惠/利率调整）、时间、渠道、内容、客户反应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BD8D163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因果推断的训练数据——要回答"若做X会怎样"，须从历史做X的反应中学习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8A5C156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大多数银行无系统化记录，分散在各渠道</w:t>
            </w:r>
          </w:p>
        </w:tc>
      </w:tr>
      <w:tr w14:paraId="4376D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DCBD2A4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实时行为数据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98B9B8D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客户当前正在做什么（APP浏览、页面停留、实时交易）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FA96F1C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只对实时触发场景必要，对周期性推演非必要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AEDA4BE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部分有（APP埋点），未系统化用于推演</w:t>
            </w:r>
          </w:p>
        </w:tc>
      </w:tr>
    </w:tbl>
    <w:p w14:paraId="3DCF020C">
      <w:pPr>
        <w:spacing w:before="0" w:after="40"/>
      </w:pPr>
    </w:p>
    <w:p w14:paraId="12868CE2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 w:val="0"/>
          <w:i w:val="0"/>
          <w:sz w:val="21"/>
        </w:rPr>
        <w:t>因此，若启动DToC建设，第一步（节奏详见第九章POC设计）应先把干预事件数据采集补齐，T+1精度即够。还有一种情况要提前判断：如果历史上投放客户主要靠人工经验挑选，各客群被干预的机会相差悬殊，那么历史数据里就没有可比的对照组，POC首月需要先安排一次小规模随机对照（holdout）实验，做法见第九章第（三）节。</w:t>
      </w:r>
    </w:p>
    <w:p w14:paraId="668580C4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/>
          <w:i w:val="0"/>
          <w:sz w:val="21"/>
        </w:rPr>
        <w:t>核心难题：选择偏差。</w:t>
      </w:r>
      <w:r>
        <w:rPr>
          <w:rFonts w:hint="eastAsia" w:ascii="Times New Roman" w:hAnsi="Times New Roman" w:eastAsia="宋体"/>
          <w:b w:val="0"/>
          <w:i w:val="0"/>
          <w:sz w:val="21"/>
        </w:rPr>
        <w:t>一个常见错误是，把历史上"打过电话"和"没打过电话"的客户直接拿续投率做比较，得出"打电话有效"的结论。问题在于，打电话的通常是客户经理认为值得打的客户（资产高、关系好），没打的往往是低活跃、低资产客户，两组本来就不可比，直接比会高估干预效果。推演模型要解决的就是这个问题：用因果推断方法（如Uplift建模）剔除选择偏差，算出纯粹由干预带来的增量。这也解释了为什么干预事件数据不可或缺。</w:t>
      </w:r>
    </w:p>
    <w:p w14:paraId="1D239F13">
      <w:pPr>
        <w:pStyle w:val="4"/>
        <w:spacing w:before="160" w:after="120" w:line="312" w:lineRule="auto"/>
      </w:pPr>
      <w:r>
        <w:rPr>
          <w:rFonts w:hint="eastAsia" w:ascii="Times New Roman" w:hAnsi="Times New Roman" w:eastAsia="黑体"/>
          <w:b/>
          <w:i w:val="0"/>
          <w:color w:val="1F1F1F"/>
          <w:sz w:val="25"/>
        </w:rPr>
        <w:t>（三）典型技术架构</w:t>
      </w:r>
    </w:p>
    <w:p w14:paraId="3CEEAAC2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 w:val="0"/>
          <w:i w:val="0"/>
          <w:sz w:val="21"/>
        </w:rPr>
        <w:t>本报告参考行业通用数据平台/CDP分层实践与Gartner定义，将DToC的参考架构归纳为四层（并非单一行业强制标准）：第一层负责数据采集与统一（多源采集、流处理、CDP或数据湖、身份解析），第二层负责身份与建模（统一标识与伪匿名化、特征仓库、ML模型群、图计算），第三层是孪生引擎（动态行为镜像、What-if情景模拟、行为基线与异常检测），第四层是应用与决策（个性化营销、流失干预、欺诈检测、智能客服、新产品模拟）。其中第三层是相对现有体系的增量所在。合规与可解释性贯穿四层，不只在最后环节把关。这四层与第九章的五路能力框架一一对应：前四路依次对应前四层，第五路即横切保障。</w:t>
      </w:r>
    </w:p>
    <w:p w14:paraId="636838CD">
      <w:pPr>
        <w:spacing w:after="40"/>
        <w:jc w:val="center"/>
      </w:pPr>
      <w:r>
        <w:drawing>
          <wp:inline distT="0" distB="0" distL="114300" distR="114300">
            <wp:extent cx="5579745" cy="4641850"/>
            <wp:effectExtent l="0" t="0" r="1905" b="635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6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F1B54">
      <w:pPr>
        <w:spacing w:after="160"/>
        <w:jc w:val="center"/>
      </w:pPr>
      <w:r>
        <w:rPr>
          <w:rFonts w:hint="eastAsia" w:ascii="Times New Roman" w:hAnsi="Times New Roman" w:eastAsia="宋体"/>
          <w:b w:val="0"/>
          <w:i w:val="0"/>
          <w:color w:val="444444"/>
          <w:sz w:val="18"/>
        </w:rPr>
        <w:t>图2 DToC（客户数字孪生）四层技术架构图（基于行业方案及Gartner定义自绘）</w:t>
      </w:r>
    </w:p>
    <w:p w14:paraId="00AB58D3">
      <w:pPr>
        <w:pStyle w:val="4"/>
        <w:spacing w:before="160" w:after="120" w:line="312" w:lineRule="auto"/>
      </w:pPr>
      <w:r>
        <w:rPr>
          <w:rFonts w:hint="eastAsia" w:ascii="Times New Roman" w:hAnsi="Times New Roman" w:eastAsia="黑体"/>
          <w:b/>
          <w:i w:val="0"/>
          <w:color w:val="1F1F1F"/>
          <w:sz w:val="25"/>
        </w:rPr>
        <w:t>（四）技术演进脉络与Gartner定位</w:t>
      </w:r>
    </w:p>
    <w:p w14:paraId="73BEE3EC">
      <w:pPr>
        <w:spacing w:before="120" w:after="60"/>
        <w:jc w:val="center"/>
      </w:pPr>
      <w:r>
        <w:rPr>
          <w:rFonts w:hint="eastAsia" w:ascii="Times New Roman" w:hAnsi="Times New Roman" w:eastAsia="黑体"/>
          <w:b/>
          <w:i w:val="0"/>
          <w:sz w:val="18"/>
        </w:rPr>
        <w:t>表6 DToC技术演进脉络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</w:tblGrid>
      <w:tr w14:paraId="3D29D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5BB39859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阶段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35116004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时间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14964DC9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标志性进展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221417C2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对下一阶段的推动</w:t>
            </w:r>
          </w:p>
        </w:tc>
      </w:tr>
      <w:tr w14:paraId="37FA7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31037F7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概念起源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7F2513C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2002年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C4F69FC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Michael Grieves提出数字孪生概念，应用于制造业产品生命周期管理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19DD334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确立"物理实体—虚拟镜像"同步映射的思想内核</w:t>
            </w:r>
          </w:p>
        </w:tc>
      </w:tr>
      <w:tr w14:paraId="21BCC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64EF8D7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领域扩展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64AEE25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2010年代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4CBD2C9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扩展至城市管理、医疗健康、金融服务等领域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6E1EC3F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验证孪生方法在复杂系统建模中的通用性</w:t>
            </w:r>
          </w:p>
        </w:tc>
      </w:tr>
      <w:tr w14:paraId="7DF6E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804EA13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客户域提出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4100F35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2020年前后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10A3EB9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DToC作为数字孪生在客户领域的特定应用开始受到关注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2E9CC2B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把对象从"物"转向"人"，引入行为建模与隐私合规约束</w:t>
            </w:r>
          </w:p>
        </w:tc>
      </w:tr>
      <w:tr w14:paraId="2B464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464E5FD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权威定位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05B753D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2025年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97E35DA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Gartner于2025年10月销售技术Hype Cycle将DToC定位为"创新触发期"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  <w:vertAlign w:val="superscript"/>
              </w:rPr>
              <w:t>[1]</w:t>
            </w: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；同年CRM技术Hype Cycle列为"On the Rise"，效益评级"高"、渗透率1%—5%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  <w:vertAlign w:val="superscript"/>
              </w:rPr>
              <w:t>[17]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BDDE96B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两份曲线相互印证其早期定位，为成熟度评级提供可核实依据</w:t>
            </w:r>
          </w:p>
        </w:tc>
      </w:tr>
    </w:tbl>
    <w:p w14:paraId="7939DF89">
      <w:pPr>
        <w:spacing w:before="0" w:after="40"/>
      </w:pPr>
    </w:p>
    <w:p w14:paraId="3D390871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 w:val="0"/>
          <w:i w:val="0"/>
          <w:sz w:val="21"/>
        </w:rPr>
        <w:t>Gartner于2025年10月在销售技术Hype Cycle中将DToC正式定位为"创新触发期"（Innovation Trigger），这是目前可核实的Gartner对DToC的最早正式定位</w:t>
      </w:r>
      <w:r>
        <w:rPr>
          <w:rFonts w:ascii="Times New Roman" w:hAnsi="Times New Roman" w:eastAsia="Times New Roman"/>
          <w:b w:val="0"/>
          <w:i w:val="0"/>
          <w:sz w:val="21"/>
          <w:vertAlign w:val="superscript"/>
        </w:rPr>
        <w:t>[1][16]</w:t>
      </w:r>
      <w:r>
        <w:rPr>
          <w:rFonts w:hint="eastAsia" w:ascii="Times New Roman" w:hAnsi="Times New Roman" w:eastAsia="宋体"/>
          <w:b w:val="0"/>
          <w:i w:val="0"/>
          <w:sz w:val="21"/>
        </w:rPr>
        <w:t>。Gartner专家认为DToC将在未来5—10年内对企业产生变革性影响</w:t>
      </w:r>
      <w:r>
        <w:rPr>
          <w:rFonts w:ascii="Times New Roman" w:hAnsi="Times New Roman" w:eastAsia="Times New Roman"/>
          <w:b w:val="0"/>
          <w:i w:val="0"/>
          <w:sz w:val="21"/>
          <w:vertAlign w:val="superscript"/>
        </w:rPr>
        <w:t>[1][16]</w:t>
      </w:r>
      <w:r>
        <w:rPr>
          <w:rFonts w:hint="eastAsia" w:ascii="Times New Roman" w:hAnsi="Times New Roman" w:eastAsia="宋体"/>
          <w:b w:val="0"/>
          <w:i w:val="0"/>
          <w:sz w:val="21"/>
        </w:rPr>
        <w:t>。</w:t>
      </w:r>
    </w:p>
    <w:p w14:paraId="5514471B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 w:val="0"/>
          <w:i w:val="0"/>
          <w:sz w:val="21"/>
        </w:rPr>
        <w:t>有几个相邻概念要区分开：联合利华基于NVIDIA Omniverse的产品数字孪生、可口可乐与NVIDIA/WPP的跨市场内容生成</w:t>
      </w:r>
      <w:r>
        <w:rPr>
          <w:rFonts w:ascii="Times New Roman" w:hAnsi="Times New Roman" w:eastAsia="Times New Roman"/>
          <w:b w:val="0"/>
          <w:i w:val="0"/>
          <w:sz w:val="21"/>
          <w:vertAlign w:val="superscript"/>
        </w:rPr>
        <w:t>[18]</w:t>
      </w:r>
      <w:r>
        <w:rPr>
          <w:rFonts w:hint="eastAsia" w:ascii="Times New Roman" w:hAnsi="Times New Roman" w:eastAsia="宋体"/>
          <w:b w:val="0"/>
          <w:i w:val="0"/>
          <w:sz w:val="21"/>
        </w:rPr>
        <w:t>，都属于产品或内容数字孪生，不涉及客户行为模拟；Sprinklr的"Digital Twins"实际是品牌侧的AI代理</w:t>
      </w:r>
      <w:r>
        <w:rPr>
          <w:rFonts w:ascii="Times New Roman" w:hAnsi="Times New Roman" w:eastAsia="Times New Roman"/>
          <w:b w:val="0"/>
          <w:i w:val="0"/>
          <w:sz w:val="21"/>
          <w:vertAlign w:val="superscript"/>
        </w:rPr>
        <w:t>[19]</w:t>
      </w:r>
      <w:r>
        <w:rPr>
          <w:rFonts w:hint="eastAsia" w:ascii="Times New Roman" w:hAnsi="Times New Roman" w:eastAsia="宋体"/>
          <w:b w:val="0"/>
          <w:i w:val="0"/>
          <w:sz w:val="21"/>
        </w:rPr>
        <w:t>，方向与DToC相反；Accenture收购Percipient后获得的"银行核心系统数字孪生"</w:t>
      </w:r>
      <w:r>
        <w:rPr>
          <w:rFonts w:ascii="Times New Roman" w:hAnsi="Times New Roman" w:eastAsia="Times New Roman"/>
          <w:b w:val="0"/>
          <w:i w:val="0"/>
          <w:sz w:val="21"/>
          <w:vertAlign w:val="superscript"/>
        </w:rPr>
        <w:t>[20]</w:t>
      </w:r>
      <w:r>
        <w:rPr>
          <w:rFonts w:hint="eastAsia" w:ascii="Times New Roman" w:hAnsi="Times New Roman" w:eastAsia="宋体"/>
          <w:b w:val="0"/>
          <w:i w:val="0"/>
          <w:sz w:val="21"/>
        </w:rPr>
        <w:t>属于组织或系统级仿真。详细边界对照见第六章。</w:t>
      </w:r>
    </w:p>
    <w:p w14:paraId="69A17B13">
      <w:pPr>
        <w:pStyle w:val="4"/>
        <w:spacing w:before="160" w:after="120" w:line="312" w:lineRule="auto"/>
      </w:pPr>
      <w:r>
        <w:rPr>
          <w:rFonts w:hint="eastAsia" w:ascii="Times New Roman" w:hAnsi="Times New Roman" w:eastAsia="黑体"/>
          <w:b/>
          <w:i w:val="0"/>
          <w:color w:val="1F1F1F"/>
          <w:sz w:val="25"/>
        </w:rPr>
        <w:t>（五）与现有技术的差异或关系</w:t>
      </w:r>
    </w:p>
    <w:p w14:paraId="6A3EA89E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 w:val="0"/>
          <w:i w:val="0"/>
          <w:sz w:val="21"/>
        </w:rPr>
        <w:t>三者为递进而非替代关系：CDP提供统一数据底座、AI预测模型提供单点概率预测、DToC在二者之上叠加因果推演层。逐维度对比如下：</w:t>
      </w:r>
    </w:p>
    <w:p w14:paraId="495CCBE3">
      <w:pPr>
        <w:spacing w:before="120" w:after="60"/>
        <w:jc w:val="center"/>
      </w:pPr>
      <w:r>
        <w:rPr>
          <w:rFonts w:hint="eastAsia" w:ascii="Times New Roman" w:hAnsi="Times New Roman" w:eastAsia="黑体"/>
          <w:b/>
          <w:i w:val="0"/>
          <w:sz w:val="18"/>
        </w:rPr>
        <w:t>表7 CDP、AI预测模型与DToC逐维对比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</w:tblGrid>
      <w:tr w14:paraId="0D980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7618DDE8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对比维度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78ACAC63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CDP（含传统画像/分群/规则）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4FC75A28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AI预测模型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2EFCFC2E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DToC（客户数字孪生）</w:t>
            </w:r>
          </w:p>
        </w:tc>
      </w:tr>
      <w:tr w14:paraId="745EA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2CD78F5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本质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A1CA037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客户数据的统一视图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824C89E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单点预测工具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55C40C5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客户行为的动态模拟环境</w:t>
            </w:r>
          </w:p>
        </w:tc>
      </w:tr>
      <w:tr w14:paraId="3A7F7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73C69F2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回答的问题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8341D66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客户是谁？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9DA889B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客户会不会做X？（单一维度概率）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0417552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若银行做Y，客户会怎么反应？</w:t>
            </w:r>
          </w:p>
        </w:tc>
      </w:tr>
      <w:tr w14:paraId="20DAA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F66EAA2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数据流向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08F75C1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规则驱动的激活闭环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F0EC907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单向预测（数据→分数）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C5AA4E9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模型驱动的推演闭环（客户↔因果推演↔决策↔反馈校准）</w:t>
            </w:r>
          </w:p>
        </w:tc>
      </w:tr>
      <w:tr w14:paraId="13402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645F451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时间维度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81E0F16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静态快照（T+1）或实时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928CDE7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单点预测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CD85424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动态演化（持续模拟行为轨迹）</w:t>
            </w:r>
          </w:p>
        </w:tc>
      </w:tr>
      <w:tr w14:paraId="15C6E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A50B3A8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核心技术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20A1830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数据整合、OneID、标签管理、规则引擎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549EF1B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XGBoost、深度学习、协同过滤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F1892EA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因果推断、Uplift建模、反事实推理、场景模拟</w:t>
            </w:r>
          </w:p>
        </w:tc>
      </w:tr>
      <w:tr w14:paraId="5F6E8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23FAF63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个性化粒度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42724DE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群体级或粗粒度个体级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CF37A71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个体级评分，无策略对比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B55F797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精细个体级，合规约束下以辅助人工决策为主</w:t>
            </w:r>
          </w:p>
        </w:tc>
      </w:tr>
      <w:tr w14:paraId="36749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C342D5E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决策支持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C136836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基于历史的描述性分析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3C3285D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基于历史的单点预测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2D74ABE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基于因果推演的指导性分析（What-if模拟）</w:t>
            </w:r>
          </w:p>
        </w:tc>
      </w:tr>
      <w:tr w14:paraId="56DB3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756DBB2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类比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B054C10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客户的"体检报告"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0AA924D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客户的"疾病风险评分"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BA048A4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客户的"虚拟病人"（可模拟用不同药的反应）</w:t>
            </w:r>
          </w:p>
        </w:tc>
      </w:tr>
      <w:tr w14:paraId="2C97E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6C2B7DC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银行现状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BC54BCA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多数已建或在建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F58CCEA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多数已有单点模型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8036E11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几乎空白</w:t>
            </w:r>
          </w:p>
        </w:tc>
      </w:tr>
    </w:tbl>
    <w:p w14:paraId="729B5115">
      <w:pPr>
        <w:spacing w:before="0" w:after="40"/>
      </w:pPr>
    </w:p>
    <w:p w14:paraId="63B5D35A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 w:val="0"/>
          <w:i w:val="0"/>
          <w:sz w:val="21"/>
        </w:rPr>
        <w:t>总体看，DToC并不取代传统的客户管理和AI预测模型，而是在其之上增加一层因果推演和情景模拟，传统画像、分群和单点模型都是它的数据来源和组件。DToC本身是一个组合概念，包含数据基础、行为建模、推演引擎、激活反馈几块。其中数据基础和激活环节在银行业已有较好积累，真正缺、并且经外部验证能产生主要商业价值的是因果推演环节（Uplift建模与干预事件数据）。因此本报告把研究和投入建议集中在这一环节，其余部分由现有体系承接、逐步增强。这样切分是为了把力气用在刀刃上，不表示其他组件不重要。</w:t>
      </w:r>
    </w:p>
    <w:p w14:paraId="4AEEDBAC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 w:val="0"/>
          <w:i w:val="0"/>
          <w:sz w:val="21"/>
        </w:rPr>
        <w:t>一个直观对照（同一理财到期客户）：CDP预测性模型输出标签与单一概率——"高价值客户、续投概率72%，建议群发短信"；DToC推演性模型输出各干预路径的增量与成本——不干预自然续投48%，发短信55%（增量7个百分点、成本0.2元），打电话70%（增量22个百分点、成本5元），发短信加50元券78%但其中40%是存量搬家（真实增量资金仅约七成），并给出"对该客户打电话ROI最高"的建议。前者回答"客户会不会做"，后者回答"我们做什么最值得"。</w:t>
      </w:r>
    </w:p>
    <w:p w14:paraId="610B9EB1">
      <w:pPr>
        <w:pStyle w:val="4"/>
        <w:spacing w:before="160" w:after="120" w:line="312" w:lineRule="auto"/>
      </w:pPr>
      <w:r>
        <w:rPr>
          <w:rFonts w:hint="eastAsia" w:ascii="Times New Roman" w:hAnsi="Times New Roman" w:eastAsia="黑体"/>
          <w:b/>
          <w:i w:val="0"/>
          <w:color w:val="1F1F1F"/>
          <w:sz w:val="25"/>
        </w:rPr>
        <w:t>（六）技术成熟度评级</w:t>
      </w:r>
    </w:p>
    <w:p w14:paraId="7AE9E94F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 w:val="0"/>
          <w:i w:val="0"/>
          <w:sz w:val="21"/>
        </w:rPr>
        <w:t>综合Gartner Hype Cycle定位、TRL就绪度、市场产品成熟度与生产案例情况，本报告对DToC的技术成熟度评级为2分。依据如下：</w:t>
      </w:r>
    </w:p>
    <w:p w14:paraId="3BEBF64A">
      <w:pPr>
        <w:spacing w:before="120" w:after="60"/>
        <w:jc w:val="center"/>
      </w:pPr>
      <w:r>
        <w:rPr>
          <w:rFonts w:hint="eastAsia" w:ascii="Times New Roman" w:hAnsi="Times New Roman" w:eastAsia="黑体"/>
          <w:b/>
          <w:i w:val="0"/>
          <w:sz w:val="18"/>
        </w:rPr>
        <w:t>表8 技术成熟度评级证据链（评级：2分）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3EB49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4FD9DC22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证据维度</w:t>
            </w:r>
          </w:p>
        </w:tc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45016B41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关键事实</w:t>
            </w:r>
          </w:p>
        </w:tc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11AB58E3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信源</w:t>
            </w:r>
          </w:p>
        </w:tc>
      </w:tr>
      <w:tr w14:paraId="29959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FE7D659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Hype Cycle定位</w:t>
            </w:r>
          </w:p>
        </w:tc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0E95D77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2025销售转型主题曲线列"创新触发期"；CRM曲线列"On the Rise"且渗透率仅1%—5%，两份曲线相互印证</w:t>
            </w:r>
          </w:p>
        </w:tc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99DB2E7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Gartner新闻稿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  <w:vertAlign w:val="superscript"/>
              </w:rPr>
              <w:t>[1]</w:t>
            </w: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、专家观点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  <w:vertAlign w:val="superscript"/>
              </w:rPr>
              <w:t>[16]</w:t>
            </w: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、CRM曲线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  <w:vertAlign w:val="superscript"/>
              </w:rPr>
              <w:t>[17]</w:t>
            </w:r>
          </w:p>
        </w:tc>
      </w:tr>
      <w:tr w14:paraId="5503B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EBDA50D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产品形态</w:t>
            </w:r>
          </w:p>
        </w:tc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BB87577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尚无成熟、标准化的商用产品，现有供给多为CDP厂商/AI营销平台/咨询公司的定制化方案</w:t>
            </w:r>
          </w:p>
        </w:tc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25E4A60">
            <w:pPr>
              <w:spacing w:after="40" w:line="276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  <w:vertAlign w:val="superscript"/>
              </w:rPr>
              <w:t>[12][14][21]</w:t>
            </w:r>
          </w:p>
        </w:tc>
      </w:tr>
      <w:tr w14:paraId="641CE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703B1B4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生产案例</w:t>
            </w:r>
          </w:p>
        </w:tc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92E4AC5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银行业部署案例极少且以概念验证为主，严格意义上的个体级行为模拟＋场景推演未见规模化生产</w:t>
            </w:r>
          </w:p>
        </w:tc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D971E41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国内同业公开探索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  <w:vertAlign w:val="superscript"/>
              </w:rPr>
              <w:t>[22][23][24]</w:t>
            </w: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及第四章第（三）节</w:t>
            </w:r>
          </w:p>
        </w:tc>
      </w:tr>
      <w:tr w14:paraId="40F6A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223566B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组件集成度</w:t>
            </w:r>
          </w:p>
        </w:tc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5A118DF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CDP、推荐、流失组件成熟，但整合成"支持因果推演的客户行为镜像"仍属实验性验证；Uplift技术成熟而银行业系统化应用近乎空白</w:t>
            </w:r>
          </w:p>
        </w:tc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954E970">
            <w:pPr>
              <w:spacing w:after="40" w:line="276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  <w:vertAlign w:val="superscript"/>
              </w:rPr>
              <w:t>[25]</w:t>
            </w: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及本章第（二）节机理分析</w:t>
            </w:r>
          </w:p>
        </w:tc>
      </w:tr>
    </w:tbl>
    <w:p w14:paraId="47E3F1E8">
      <w:pPr>
        <w:spacing w:before="0" w:after="40"/>
      </w:pPr>
    </w:p>
    <w:p w14:paraId="2834BA13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/>
          <w:i w:val="0"/>
          <w:sz w:val="21"/>
        </w:rPr>
        <w:t>关于评分口径。</w:t>
      </w:r>
      <w:r>
        <w:rPr>
          <w:rFonts w:hint="eastAsia" w:ascii="Times New Roman" w:hAnsi="Times New Roman" w:eastAsia="宋体"/>
          <w:b w:val="0"/>
          <w:i w:val="0"/>
          <w:sz w:val="21"/>
        </w:rPr>
        <w:t>撰写规范的技术成熟度标尺中，1分档对应"创新萌芽期/TRL 1—2/无原型验证"，2分档对应"技术触发期爬升/TRL 3—4/个别实验性验证"。DToC的两个信号指向不同档位：Gartner定位为创新触发期（对应规范1分档），而TRL就绪度为3—4级、已有个别实验性验证（对应2分档）。</w:t>
      </w:r>
    </w:p>
    <w:p w14:paraId="521B6F43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 w:val="0"/>
          <w:i w:val="0"/>
          <w:sz w:val="21"/>
        </w:rPr>
        <w:t>本报告按审慎原则取2分，理由与"若就低评1分亦不改变研究层结论"的完整说明，见附录一A.3。</w:t>
      </w:r>
    </w:p>
    <w:p w14:paraId="591D83FD">
      <w:pPr>
        <w:pStyle w:val="3"/>
        <w:spacing w:before="240" w:after="120" w:line="312" w:lineRule="auto"/>
      </w:pPr>
      <w:r>
        <w:rPr>
          <w:rFonts w:hint="eastAsia" w:ascii="Times New Roman" w:hAnsi="Times New Roman" w:eastAsia="黑体"/>
          <w:b/>
          <w:i w:val="0"/>
          <w:color w:val="1F1F1F"/>
          <w:sz w:val="30"/>
        </w:rPr>
        <w:t>四、应用场景与价值实证</w:t>
      </w:r>
    </w:p>
    <w:p w14:paraId="1C2C1340">
      <w:pPr>
        <w:pStyle w:val="4"/>
        <w:spacing w:before="160" w:after="120" w:line="312" w:lineRule="auto"/>
      </w:pPr>
      <w:r>
        <w:rPr>
          <w:rFonts w:hint="eastAsia" w:ascii="Times New Roman" w:hAnsi="Times New Roman" w:eastAsia="黑体"/>
          <w:b/>
          <w:i w:val="0"/>
          <w:color w:val="1F1F1F"/>
          <w:sz w:val="25"/>
        </w:rPr>
        <w:t>（一）业务应用场景与价值贡献分析</w:t>
      </w:r>
    </w:p>
    <w:p w14:paraId="54E3384E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 w:val="0"/>
          <w:i w:val="0"/>
          <w:sz w:val="21"/>
        </w:rPr>
        <w:t>开篇先回答一个决策问题：DToC如果按远景形态建成，银行能得到什么？答案分三层。</w:t>
      </w:r>
    </w:p>
    <w:p w14:paraId="1A1BD0C7">
      <w:pPr>
        <w:spacing w:after="80" w:line="336" w:lineRule="auto"/>
        <w:ind w:firstLine="420"/>
      </w:pPr>
      <w:r>
        <w:rPr>
          <w:rFonts w:hint="eastAsia" w:ascii="Times New Roman" w:hAnsi="Times New Roman" w:eastAsia="宋体"/>
          <w:b/>
          <w:i w:val="0"/>
          <w:sz w:val="21"/>
        </w:rPr>
        <w:t>减少两类看得见的浪费。</w:t>
      </w:r>
      <w:r>
        <w:rPr>
          <w:rFonts w:hint="eastAsia" w:ascii="Times New Roman" w:hAnsi="Times New Roman" w:eastAsia="宋体"/>
          <w:b w:val="0"/>
          <w:i w:val="0"/>
          <w:sz w:val="21"/>
        </w:rPr>
        <w:t>一是营销预算长期同时覆盖两类人：不给优惠也会买的自然转化者，以及被打扰反而流失的负敏感人群（第二章表2已说明传统响应模型对这两类人系统性失效）；二是新产品缺少前置可行性判断，发行失败形成沉没成本。有了推演能力，这两类损耗可以从事后追认变成事前测算。</w:t>
      </w:r>
    </w:p>
    <w:p w14:paraId="0610AB0B">
      <w:pPr>
        <w:spacing w:after="80" w:line="336" w:lineRule="auto"/>
        <w:ind w:firstLine="420"/>
      </w:pPr>
      <w:r>
        <w:rPr>
          <w:rFonts w:hint="eastAsia" w:ascii="Times New Roman" w:hAnsi="Times New Roman" w:eastAsia="宋体"/>
          <w:b/>
          <w:i w:val="0"/>
          <w:sz w:val="21"/>
        </w:rPr>
        <w:t>把资源集中到真实增量上。</w:t>
      </w:r>
      <w:r>
        <w:rPr>
          <w:rFonts w:hint="eastAsia" w:ascii="Times New Roman" w:hAnsi="Times New Roman" w:eastAsia="宋体"/>
          <w:b w:val="0"/>
          <w:i w:val="0"/>
          <w:sz w:val="21"/>
        </w:rPr>
        <w:t>干预只投向"因干预才会改变行为"的人群、渠道和时机，营销预算、外呼人力、权益成本的边际收益由此可计量、可优化。这一层的改善是百分比量级，但由于基数覆盖全行客户经营盘子，绝对金额可观，而且年年复用。</w:t>
      </w:r>
    </w:p>
    <w:p w14:paraId="6F339E63">
      <w:pPr>
        <w:spacing w:after="80" w:line="336" w:lineRule="auto"/>
        <w:ind w:firstLine="420"/>
      </w:pPr>
      <w:r>
        <w:rPr>
          <w:rFonts w:hint="eastAsia" w:ascii="Times New Roman" w:hAnsi="Times New Roman" w:eastAsia="宋体"/>
          <w:b/>
          <w:i w:val="0"/>
          <w:sz w:val="21"/>
        </w:rPr>
        <w:t>沉淀不可复制的数据资产。</w:t>
      </w:r>
      <w:r>
        <w:rPr>
          <w:rFonts w:hint="eastAsia" w:ascii="Times New Roman" w:hAnsi="Times New Roman" w:eastAsia="宋体"/>
          <w:b w:val="0"/>
          <w:i w:val="0"/>
          <w:sz w:val="21"/>
        </w:rPr>
        <w:t>干预事件数据记录的是"银行对客户做了什么、客户如何反应"，属于外部无法购买的组织自有资产。每一次营销活动都会反哺模型精度，用得越久越准，长远看相当于客户经营这一侧的基础设施。</w:t>
      </w:r>
    </w:p>
    <w:p w14:paraId="22934EB5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 w:val="0"/>
          <w:i w:val="0"/>
          <w:sz w:val="21"/>
        </w:rPr>
        <w:t>也要说清DToC不是什么：它不会自动变成收入引擎，更不是无人化的自动决策系统，凡影响客户重大权益的决策一律保留人工复核（第五章红线）。未来三年它对财务报表的贡献主要是减少损失、优化增量，不是直接创造收入。立项判断可以很简单：上述三层如果都不构成现实痛点，就没必要启动DToC研究；只要其中任何一层成立，POC级别的最小投入就已具备正当性。</w:t>
      </w:r>
    </w:p>
    <w:p w14:paraId="1B3C3862">
      <w:pPr>
        <w:spacing w:after="160" w:line="324" w:lineRule="auto"/>
        <w:ind w:firstLine="360"/>
      </w:pPr>
      <w:r>
        <w:rPr>
          <w:rFonts w:hint="eastAsia" w:ascii="Times New Roman" w:hAnsi="Times New Roman" w:eastAsia="宋体"/>
          <w:b w:val="0"/>
          <w:i w:val="0"/>
          <w:color w:val="444444"/>
          <w:sz w:val="18"/>
        </w:rPr>
        <w:t>重要声明：本节各场景中的"具体数字例子"均为示意性推演测算，用于演示能力形态与量级，并非实测结果或收益承诺，不得作为案例证据或效益承诺对外引用；实测结论以POC为准。场景标注能力域属性：场景1、3、4为核心域（直接复用"干预→个体反应增量"的推演内核，是POC与近两年建设重点）；场景2、5为扩展域·群体模拟（基于历史样本做群体级统计推断，不触及个体镜像，仍属个人客户范畴）。</w:t>
      </w:r>
    </w:p>
    <w:p w14:paraId="5A56D125">
      <w:pPr>
        <w:pStyle w:val="5"/>
        <w:spacing w:before="160" w:after="120" w:line="312" w:lineRule="auto"/>
      </w:pPr>
      <w:r>
        <w:rPr>
          <w:rFonts w:hint="eastAsia" w:ascii="Times New Roman" w:hAnsi="Times New Roman" w:eastAsia="黑体"/>
          <w:b/>
          <w:i w:val="0"/>
          <w:color w:val="1F1F1F"/>
          <w:sz w:val="25"/>
        </w:rPr>
        <w:t>场景1【核心域·干预推演】：理财到期客户续投干预推演（POC首选）</w:t>
      </w:r>
    </w:p>
    <w:p w14:paraId="47CF71F8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/>
          <w:i w:val="0"/>
          <w:sz w:val="21"/>
        </w:rPr>
        <w:t>业务痛点。</w:t>
      </w:r>
      <w:r>
        <w:rPr>
          <w:rFonts w:hint="eastAsia" w:ascii="Times New Roman" w:hAnsi="Times New Roman" w:eastAsia="宋体"/>
          <w:b w:val="0"/>
          <w:i w:val="0"/>
          <w:sz w:val="21"/>
        </w:rPr>
        <w:t>当前做法是理财到期前7天系统自动给所有到期客户发短信，或客户经理按名单外呼。问题在于：不区分"不提醒也会续投"和"只有提醒才会续投"的客户，资源浪费在自然续投客户上；不区分"给什么优惠续投率最高"，统一话术统一优惠；续投效果只看"总续投率"，算不清"因这次干预额外多续投了多少"。</w:t>
      </w:r>
    </w:p>
    <w:p w14:paraId="7B4411FE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/>
          <w:i w:val="0"/>
          <w:sz w:val="21"/>
        </w:rPr>
        <w:t>推演嵌入环节。</w:t>
      </w:r>
      <w:r>
        <w:rPr>
          <w:rFonts w:hint="eastAsia" w:ascii="Times New Roman" w:hAnsi="Times New Roman" w:eastAsia="宋体"/>
          <w:b w:val="0"/>
          <w:i w:val="0"/>
          <w:sz w:val="21"/>
        </w:rPr>
        <w:t>理财到期名单生成 →【推演引擎：模拟不同干预策略的增量效果】→ 客户经理复核确认 → 执行干预 → 结果回流。推演引擎替代当前的"统一发短信"逻辑。</w:t>
      </w:r>
    </w:p>
    <w:p w14:paraId="58656C4E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/>
          <w:i w:val="0"/>
          <w:sz w:val="21"/>
        </w:rPr>
        <w:t>输入输出与示意测算（下列为示意性能力演示，非实测或承诺）。</w:t>
      </w:r>
      <w:r>
        <w:rPr>
          <w:rFonts w:hint="eastAsia" w:ascii="Times New Roman" w:hAnsi="Times New Roman" w:eastAsia="宋体"/>
          <w:b w:val="0"/>
          <w:i w:val="0"/>
          <w:sz w:val="21"/>
        </w:rPr>
        <w:t>输入为到期客户T+1特征（年龄、资产、风险等级、历史续投记录、近30天APP行为）＋历史干预事件数据；输出为每个客户在4种干预方式（不干预/短信/电话/短信＋券）下的增量续投概率和金额，以及预算约束下的最优干预分配方案。示意：假设10万客户理财到期、总金额30亿，传统做法全部发短信总续投率55%（16.5亿），其中自然续投率48%（14.4亿），增量仅2.1亿；推演优化后，Uplift模型识别"只有干预才续投"的客户约2.5万人，对1.5万人打电话、1万人发短信＋券、其余6.5万人不干预，总成本57.7万，总续投率58%（17.4亿），增量3.0亿，较传统做法多0.9亿（＋43%）。</w:t>
      </w:r>
    </w:p>
    <w:p w14:paraId="2BC9D067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/>
          <w:i w:val="0"/>
          <w:sz w:val="21"/>
        </w:rPr>
        <w:t>数据与价值衡量。</w:t>
      </w:r>
      <w:r>
        <w:rPr>
          <w:rFonts w:hint="eastAsia" w:ascii="Times New Roman" w:hAnsi="Times New Roman" w:eastAsia="宋体"/>
          <w:b w:val="0"/>
          <w:i w:val="0"/>
          <w:sz w:val="21"/>
        </w:rPr>
        <w:t>数据频率T+1即可（干预决策在到期前3—7天执行都来得及）。核心KPI为"增量续投金额"（不是总续投率，后者含自然续投会虚高）；辅助KPI为单客干预成本、续投客户留存率、客户经理人效。</w:t>
      </w:r>
    </w:p>
    <w:p w14:paraId="34E4378A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/>
          <w:i w:val="0"/>
          <w:sz w:val="21"/>
        </w:rPr>
        <w:t>合规要点。</w:t>
      </w:r>
      <w:r>
        <w:rPr>
          <w:rFonts w:hint="eastAsia" w:ascii="Times New Roman" w:hAnsi="Times New Roman" w:eastAsia="宋体"/>
          <w:b w:val="0"/>
          <w:i w:val="0"/>
          <w:sz w:val="21"/>
        </w:rPr>
        <w:t>①依据《个人信息保护法》第二十四条，优惠差异化需有明确规则，POC阶段建议统一券面金额，只在"给谁不给"上差异化、不在"给多少"上差异化，避免被质疑"大数据杀熟"；②电话营销须遵守骚扰电话相关规定，控制外呼时间和频次，客户拒绝营销后不得再触达。</w:t>
      </w:r>
    </w:p>
    <w:p w14:paraId="5D6A6493">
      <w:pPr>
        <w:pStyle w:val="5"/>
        <w:spacing w:before="160" w:after="120" w:line="312" w:lineRule="auto"/>
      </w:pPr>
      <w:r>
        <w:rPr>
          <w:rFonts w:hint="eastAsia" w:ascii="Times New Roman" w:hAnsi="Times New Roman" w:eastAsia="黑体"/>
          <w:b/>
          <w:i w:val="0"/>
          <w:color w:val="1F1F1F"/>
          <w:sz w:val="25"/>
        </w:rPr>
        <w:t>场景2—5要点（其余四个场景）</w:t>
      </w:r>
    </w:p>
    <w:p w14:paraId="053D9D5F">
      <w:pPr>
        <w:spacing w:before="120" w:after="60"/>
        <w:jc w:val="center"/>
      </w:pPr>
      <w:r>
        <w:rPr>
          <w:rFonts w:hint="eastAsia" w:ascii="Times New Roman" w:hAnsi="Times New Roman" w:eastAsia="黑体"/>
          <w:b/>
          <w:i w:val="0"/>
          <w:sz w:val="18"/>
        </w:rPr>
        <w:t>表9 场景2—5要点总览（均为示意性能力说明，非收益承诺）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</w:tblGrid>
      <w:tr w14:paraId="2A51A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4C6D1949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场景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2E4D5501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业务痛点与推演输入输出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3D7013B2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核心价值指标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173157E7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合规要点</w:t>
            </w:r>
          </w:p>
        </w:tc>
      </w:tr>
      <w:tr w14:paraId="47D1B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8B5A7A8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场景2【扩展域】新产品发行前的客群接受度模拟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344B475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痛点：设计参数后直接发行或小范围试点，靠经验判断；算不清增量资金与行内存量搬家比例。输入：产品参数＋目标客群T+1特征＋历史同类产品数据；输出：募集规模与成功率、客群结构、资金来源结构、参数敏感性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4484892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发行成功率、增量资金比例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83CFE44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推演结果是预测不是承诺；纯内部分析，不涉及自动化决策</w:t>
            </w:r>
          </w:p>
        </w:tc>
      </w:tr>
      <w:tr w14:paraId="4397B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E1AACD7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场景3【核心域】营销预算分配优化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91DBDD1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痛点：预算按客群规模或历史基数分配，靠经验和博弈；只看毛效果不看增量。输入：总预算约束＋各客群特征＋历史干预数据（增量转化曲线）；输出：各客群增量响应曲线、按边际收益相等的最优分配、多方案对比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2F81CD9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单位预算增量AUM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9F98F24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属内部资源分配，不对客户差异化定价；分配标准须内部透明</w:t>
            </w:r>
          </w:p>
        </w:tc>
      </w:tr>
      <w:tr w14:paraId="24605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C6E98FE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场景4【核心域】客户旅程优化与触点效果推演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CA63978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痛点：各触点独立运营无协同；算不清各触点增量贡献（渠道重叠）。输入：旅程各阶段T+1数据＋历史触点干预数据＋触点偏好；输出：触点增量贡献归因（排除重叠）、瓶颈识别、触点组合优化、打扰效应模拟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CBECF2E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旅程转化率、单客触点成本、投诉率/退订率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CA5C44B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须提供拒绝营销渠道，退订后不得再触达；同一活动触点不超过3次</w:t>
            </w:r>
          </w:p>
        </w:tc>
      </w:tr>
      <w:tr w14:paraId="734CC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DC53C56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场景5【扩展域】产品设计客群需求模拟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E4E73CA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痛点：靠经验判断参数吸引力；产品同质化严重；设计与需求脱节。输入：拟设计参数范围＋目标客群特征＋历史产品表现＋竞品数据；输出：需求偏好模拟、参数组合优化、多产品对比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17A184B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发行成功率、募集规模达标率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5D63AB7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不得作为收益承诺；不得针对特定客群设计不公平条款；不得选择性披露</w:t>
            </w:r>
          </w:p>
        </w:tc>
      </w:tr>
    </w:tbl>
    <w:p w14:paraId="447F76B0">
      <w:pPr>
        <w:spacing w:before="0" w:after="40"/>
      </w:pPr>
    </w:p>
    <w:p w14:paraId="6D0F8DFC">
      <w:pPr>
        <w:spacing w:after="120" w:line="336" w:lineRule="auto"/>
        <w:ind w:firstLine="420"/>
      </w:pPr>
    </w:p>
    <w:p w14:paraId="7F3AB224">
      <w:pPr>
        <w:spacing w:before="120" w:after="60"/>
        <w:jc w:val="center"/>
      </w:pPr>
      <w:r>
        <w:rPr>
          <w:rFonts w:hint="eastAsia" w:ascii="Times New Roman" w:hAnsi="Times New Roman" w:eastAsia="黑体"/>
          <w:b/>
          <w:i w:val="0"/>
          <w:sz w:val="18"/>
        </w:rPr>
        <w:t>表10 五大场景数据频率与优先级总览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1813"/>
        <w:gridCol w:w="1813"/>
        <w:gridCol w:w="1813"/>
        <w:gridCol w:w="1813"/>
      </w:tblGrid>
      <w:tr w14:paraId="28BB0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64862EFE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场景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2D1A3408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数据频率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696D22C9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优先级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56518663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POC是否首选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12699051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核心价值</w:t>
            </w:r>
          </w:p>
        </w:tc>
      </w:tr>
      <w:tr w14:paraId="622E5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26BBA13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1. 理财到期续投干预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879AF7D">
            <w:pPr>
              <w:spacing w:after="4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T+1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22B3BAC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高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70E0401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首选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82F0F28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增量续投提升，最易验证</w:t>
            </w:r>
          </w:p>
        </w:tc>
      </w:tr>
      <w:tr w14:paraId="038F4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23DAACC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2. 新产品发行前模拟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7F2B525">
            <w:pPr>
              <w:spacing w:after="4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T+1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2412CA1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较高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5E24374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第二优先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8A8DBA5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避免发行失败，算清增量资金</w:t>
            </w:r>
          </w:p>
        </w:tc>
      </w:tr>
      <w:tr w14:paraId="287F4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90236A4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3. 营销预算分配优化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6AD0374">
            <w:pPr>
              <w:spacing w:after="4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T+1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6720519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较高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76E2DE7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第二优先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C2E38A8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同样预算下增量AUM提升</w:t>
            </w:r>
          </w:p>
        </w:tc>
      </w:tr>
      <w:tr w14:paraId="76969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DB6C339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4. 客户旅程优化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DBEEA2E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T+1为主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E1F1B43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中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4CD9E1E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第三优先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A552871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转化率提升＋投诉率下降</w:t>
            </w:r>
          </w:p>
        </w:tc>
      </w:tr>
      <w:tr w14:paraId="7BCCB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F956A7B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5. 产品设计需求模拟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C75EF35">
            <w:pPr>
              <w:spacing w:after="4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T+1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1D8F467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中低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3E1AE46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后续扩展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538FB14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减少同质化</w:t>
            </w:r>
          </w:p>
        </w:tc>
      </w:tr>
    </w:tbl>
    <w:p w14:paraId="67451CF1">
      <w:pPr>
        <w:spacing w:before="0" w:after="40"/>
      </w:pPr>
    </w:p>
    <w:p w14:paraId="2BEA893D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 w:val="0"/>
          <w:i w:val="0"/>
          <w:sz w:val="21"/>
        </w:rPr>
        <w:t>五个核心场景中约四个用T+1数据完全够用，只有场景4"客户旅程优化"的实时触发部分需准实时（且属增强能力），再次印证第三章"实时不是必要条件"的结论。POC首选场景1：T+1数据即可、业务价值明确、最易验证、合规风险可控。</w:t>
      </w:r>
    </w:p>
    <w:p w14:paraId="22C7586F">
      <w:pPr>
        <w:pStyle w:val="4"/>
        <w:spacing w:before="160" w:after="120" w:line="312" w:lineRule="auto"/>
      </w:pPr>
      <w:r>
        <w:rPr>
          <w:rFonts w:hint="eastAsia" w:ascii="Times New Roman" w:hAnsi="Times New Roman" w:eastAsia="黑体"/>
          <w:b/>
          <w:i w:val="0"/>
          <w:color w:val="1F1F1F"/>
          <w:sz w:val="25"/>
        </w:rPr>
        <w:t>（二）效益测算（保守/中性/乐观三档）</w:t>
      </w:r>
    </w:p>
    <w:p w14:paraId="11D82A1C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 w:val="0"/>
          <w:i w:val="0"/>
          <w:sz w:val="21"/>
        </w:rPr>
        <w:t>下面按保守、中性、乐观三档给出效益区间。这里先把依据的成色讲清楚：截至编制日，尚无任何机构发布过DToC效益的独立公开数据，表中数字来自三类来源——厂商官方材料（LatentView</w:t>
      </w:r>
      <w:r>
        <w:rPr>
          <w:rFonts w:ascii="Times New Roman" w:hAnsi="Times New Roman" w:eastAsia="Times New Roman"/>
          <w:b w:val="0"/>
          <w:i w:val="0"/>
          <w:sz w:val="21"/>
          <w:vertAlign w:val="superscript"/>
        </w:rPr>
        <w:t>[12]</w:t>
      </w:r>
      <w:r>
        <w:rPr>
          <w:rFonts w:hint="eastAsia" w:ascii="Times New Roman" w:hAnsi="Times New Roman" w:eastAsia="宋体"/>
          <w:b w:val="0"/>
          <w:i w:val="0"/>
          <w:sz w:val="21"/>
        </w:rPr>
        <w:t>、Delve AI</w:t>
      </w:r>
      <w:r>
        <w:rPr>
          <w:rFonts w:ascii="Times New Roman" w:hAnsi="Times New Roman" w:eastAsia="Times New Roman"/>
          <w:b w:val="0"/>
          <w:i w:val="0"/>
          <w:sz w:val="21"/>
          <w:vertAlign w:val="superscript"/>
        </w:rPr>
        <w:t>[13]</w:t>
      </w:r>
      <w:r>
        <w:rPr>
          <w:rFonts w:hint="eastAsia" w:ascii="Times New Roman" w:hAnsi="Times New Roman" w:eastAsia="宋体"/>
          <w:b w:val="0"/>
          <w:i w:val="0"/>
          <w:sz w:val="21"/>
        </w:rPr>
        <w:t>、Genesys</w:t>
      </w:r>
      <w:r>
        <w:rPr>
          <w:rFonts w:ascii="Times New Roman" w:hAnsi="Times New Roman" w:eastAsia="Times New Roman"/>
          <w:b w:val="0"/>
          <w:i w:val="0"/>
          <w:sz w:val="21"/>
          <w:vertAlign w:val="superscript"/>
        </w:rPr>
        <w:t>[14]</w:t>
      </w:r>
      <w:r>
        <w:rPr>
          <w:rFonts w:hint="eastAsia" w:ascii="Times New Roman" w:hAnsi="Times New Roman" w:eastAsia="宋体"/>
          <w:b w:val="0"/>
          <w:i w:val="0"/>
          <w:sz w:val="21"/>
        </w:rPr>
        <w:t>，属厂商口径，未获独立第三方验证）、非金融业的通用个性化基准（McKinsey，2021</w:t>
      </w:r>
      <w:r>
        <w:rPr>
          <w:rFonts w:ascii="Times New Roman" w:hAnsi="Times New Roman" w:eastAsia="Times New Roman"/>
          <w:b w:val="0"/>
          <w:i w:val="0"/>
          <w:sz w:val="21"/>
          <w:vertAlign w:val="superscript"/>
        </w:rPr>
        <w:t>[26]</w:t>
      </w:r>
      <w:r>
        <w:rPr>
          <w:rFonts w:hint="eastAsia" w:ascii="Times New Roman" w:hAnsi="Times New Roman" w:eastAsia="宋体"/>
          <w:b w:val="0"/>
          <w:i w:val="0"/>
          <w:sz w:val="21"/>
        </w:rPr>
        <w:t>），以及基于DToC技术特性的理论推算</w:t>
      </w:r>
      <w:r>
        <w:rPr>
          <w:rFonts w:ascii="Times New Roman" w:hAnsi="Times New Roman" w:eastAsia="Times New Roman"/>
          <w:b w:val="0"/>
          <w:i w:val="0"/>
          <w:sz w:val="21"/>
          <w:vertAlign w:val="superscript"/>
        </w:rPr>
        <w:t>[15]</w:t>
      </w:r>
      <w:r>
        <w:rPr>
          <w:rFonts w:hint="eastAsia" w:ascii="Times New Roman" w:hAnsi="Times New Roman" w:eastAsia="宋体"/>
          <w:b w:val="0"/>
          <w:i w:val="0"/>
          <w:sz w:val="21"/>
        </w:rPr>
        <w:t>。本章第三节的同业案例只能证明推演能力可以落地，均未披露本表所列的具体百分比，因此不构成效益量级的证据。DToC尚处早期，这些测算属于行业类推和理论推演，实际效益须经POC验证（效益为示意区间，非承诺）：</w:t>
      </w:r>
    </w:p>
    <w:p w14:paraId="54DB6F13">
      <w:pPr>
        <w:spacing w:before="120" w:after="60"/>
        <w:jc w:val="center"/>
      </w:pPr>
      <w:r>
        <w:rPr>
          <w:rFonts w:hint="eastAsia" w:ascii="Times New Roman" w:hAnsi="Times New Roman" w:eastAsia="黑体"/>
          <w:b/>
          <w:i w:val="0"/>
          <w:sz w:val="18"/>
        </w:rPr>
        <w:t>表11 三档效益区间测算（示意口径；依据强度分四档：厂商口径／理论推算／行业经验／参考估算，本表无一项达到行业实测水平）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1"/>
        <w:gridCol w:w="1511"/>
        <w:gridCol w:w="1511"/>
        <w:gridCol w:w="1511"/>
        <w:gridCol w:w="1511"/>
        <w:gridCol w:w="1511"/>
      </w:tblGrid>
      <w:tr w14:paraId="4EB37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35E2B06A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效益维度</w:t>
            </w:r>
          </w:p>
        </w:tc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478AC3FA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保守</w:t>
            </w:r>
          </w:p>
        </w:tc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0C52F7E6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中性</w:t>
            </w:r>
          </w:p>
        </w:tc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6CA9DE6A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乐观</w:t>
            </w:r>
          </w:p>
        </w:tc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3763B4C0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依据强度</w:t>
            </w:r>
          </w:p>
        </w:tc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3AAAEDEA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数据依据</w:t>
            </w:r>
          </w:p>
        </w:tc>
      </w:tr>
      <w:tr w14:paraId="05D18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7420E03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客户流失率降低</w:t>
            </w:r>
          </w:p>
        </w:tc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4FD8B8E">
            <w:pPr>
              <w:spacing w:after="4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5%</w:t>
            </w:r>
          </w:p>
        </w:tc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B2709BE">
            <w:pPr>
              <w:spacing w:after="4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15%</w:t>
            </w:r>
          </w:p>
        </w:tc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EAB30B2">
            <w:pPr>
              <w:spacing w:after="4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25%</w:t>
            </w:r>
          </w:p>
        </w:tc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A85973B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行业经验</w:t>
            </w:r>
          </w:p>
        </w:tc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C020586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提前预警＋主动干预可降低流失率（行业经验值，非实测）</w:t>
            </w:r>
          </w:p>
        </w:tc>
      </w:tr>
      <w:tr w14:paraId="38BA7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0BC0A02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营销转化率提升</w:t>
            </w:r>
          </w:p>
        </w:tc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64F9A33">
            <w:pPr>
              <w:spacing w:after="4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10%</w:t>
            </w:r>
          </w:p>
        </w:tc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EC0ECB6">
            <w:pPr>
              <w:spacing w:after="4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25%</w:t>
            </w:r>
          </w:p>
        </w:tc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1116DA4">
            <w:pPr>
              <w:spacing w:after="4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40%</w:t>
            </w:r>
          </w:p>
        </w:tc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28DA68C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厂商口径</w:t>
            </w:r>
          </w:p>
        </w:tc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84646F0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个性化推荐相比群体营销可提升15—40%转化率（厂商口径，未获独立第三方验证）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  <w:vertAlign w:val="superscript"/>
              </w:rPr>
              <w:t>[12][14]</w:t>
            </w: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；个性化领先企业可获10%—15%营收提升（McKinsey，2021，非金融业专属）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  <w:vertAlign w:val="superscript"/>
              </w:rPr>
              <w:t>[26]</w:t>
            </w:r>
          </w:p>
        </w:tc>
      </w:tr>
      <w:tr w14:paraId="5259E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60B8038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欺诈检测误报率降低</w:t>
            </w:r>
          </w:p>
        </w:tc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953FE90">
            <w:pPr>
              <w:spacing w:after="4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20%</w:t>
            </w:r>
          </w:p>
        </w:tc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CD396F2">
            <w:pPr>
              <w:spacing w:after="4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40%</w:t>
            </w:r>
          </w:p>
        </w:tc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84FEA41">
            <w:pPr>
              <w:spacing w:after="4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60%</w:t>
            </w:r>
          </w:p>
        </w:tc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4D86831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理论推算</w:t>
            </w:r>
          </w:p>
        </w:tc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4F007AA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基于个体行为基线的异常检测相比规则引擎可显著降低误报率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  <w:vertAlign w:val="superscript"/>
              </w:rPr>
              <w:t>[13][15]</w:t>
            </w:r>
          </w:p>
        </w:tc>
      </w:tr>
      <w:tr w14:paraId="2FF97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F2853EA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新产品上市周期缩短</w:t>
            </w:r>
          </w:p>
        </w:tc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3601942">
            <w:pPr>
              <w:spacing w:after="4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15%</w:t>
            </w:r>
          </w:p>
        </w:tc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7BDE913">
            <w:pPr>
              <w:spacing w:after="4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30%</w:t>
            </w:r>
          </w:p>
        </w:tc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2D81D08">
            <w:pPr>
              <w:spacing w:after="4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50%</w:t>
            </w:r>
          </w:p>
        </w:tc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B755AD6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理论推算</w:t>
            </w:r>
          </w:p>
        </w:tc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77BEE1C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虚拟市场模拟可减少实体试点需求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  <w:vertAlign w:val="superscript"/>
              </w:rPr>
              <w:t>[12][15]</w:t>
            </w:r>
          </w:p>
        </w:tc>
      </w:tr>
      <w:tr w14:paraId="506A8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93C6055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客户满意度提升</w:t>
            </w:r>
          </w:p>
        </w:tc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D2F1BEB">
            <w:pPr>
              <w:spacing w:after="4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5%</w:t>
            </w:r>
          </w:p>
        </w:tc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C092C99">
            <w:pPr>
              <w:spacing w:after="4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15%</w:t>
            </w:r>
          </w:p>
        </w:tc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E8FCB6A">
            <w:pPr>
              <w:spacing w:after="4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25%</w:t>
            </w:r>
          </w:p>
        </w:tc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48B352C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厂商口径</w:t>
            </w:r>
          </w:p>
        </w:tc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33FC56E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主动预判和个性化服务可提升NPS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  <w:vertAlign w:val="superscript"/>
              </w:rPr>
              <w:t>[14]</w:t>
            </w:r>
          </w:p>
        </w:tc>
      </w:tr>
      <w:tr w14:paraId="75D58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54C5796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投资回收期</w:t>
            </w:r>
          </w:p>
        </w:tc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2D4563F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36—48个月</w:t>
            </w:r>
          </w:p>
        </w:tc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F1DD007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24—36个月</w:t>
            </w:r>
          </w:p>
        </w:tc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F7ACA3B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18—24个月</w:t>
            </w:r>
          </w:p>
        </w:tc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9E42BE6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参考估算</w:t>
            </w:r>
          </w:p>
        </w:tc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CA858E1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基于客户分析平台平均ROI和较高初始投入的参考测算，区间不确定性高，非承诺</w:t>
            </w:r>
          </w:p>
        </w:tc>
      </w:tr>
    </w:tbl>
    <w:p w14:paraId="78087EA4">
      <w:pPr>
        <w:spacing w:before="0" w:after="40"/>
      </w:pPr>
    </w:p>
    <w:p w14:paraId="688D1F2C">
      <w:pPr>
        <w:spacing w:after="160" w:line="324" w:lineRule="auto"/>
        <w:ind w:firstLine="360"/>
      </w:pPr>
      <w:r>
        <w:rPr>
          <w:rFonts w:hint="eastAsia" w:ascii="Times New Roman" w:hAnsi="Times New Roman" w:eastAsia="宋体"/>
          <w:b w:val="0"/>
          <w:i w:val="0"/>
          <w:color w:val="444444"/>
          <w:sz w:val="18"/>
        </w:rPr>
        <w:t>注：以上为参考估算，非实测数据，须经POC验证并结合各行具体场景调整后确定。其中客户流失率降低与投资回收期两行无公开来源支撑，分别为行业经验值与参考测算，不确定性最高，引用时须一并说明。"投资回收期"口径为：初始建设投入（含数据治理、平台建设、模型开发、系统集成）÷ 年度净效益（流失减少带来的收入保留＋营销转化率提升＋欺诈损失减少＋运营效率提升），不同规模银行和数据基础差异较大，该区间不确定性较高。</w:t>
      </w:r>
    </w:p>
    <w:p w14:paraId="50A96FB9">
      <w:pPr>
        <w:pStyle w:val="4"/>
        <w:spacing w:before="160" w:after="120" w:line="312" w:lineRule="auto"/>
      </w:pPr>
      <w:r>
        <w:rPr>
          <w:rFonts w:hint="eastAsia" w:ascii="Times New Roman" w:hAnsi="Times New Roman" w:eastAsia="黑体"/>
          <w:b/>
          <w:i w:val="0"/>
          <w:color w:val="1F1F1F"/>
          <w:sz w:val="25"/>
        </w:rPr>
        <w:t>（三）国内外同业落地案例</w:t>
      </w:r>
    </w:p>
    <w:p w14:paraId="3B752D1D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/>
          <w:i w:val="0"/>
          <w:sz w:val="21"/>
        </w:rPr>
        <w:t>案例一：招商银行。</w:t>
      </w:r>
      <w:r>
        <w:rPr>
          <w:rFonts w:hint="eastAsia" w:ascii="Times New Roman" w:hAnsi="Times New Roman" w:eastAsia="宋体"/>
          <w:b w:val="0"/>
          <w:i w:val="0"/>
          <w:sz w:val="21"/>
        </w:rPr>
        <w:t>可核实的权威信息包括：招行"天秤"风控平台已采用神经网络算法识别客户异常风险行为（每日经济新闻2024年报道</w:t>
      </w:r>
      <w:r>
        <w:rPr>
          <w:rFonts w:ascii="Times New Roman" w:hAnsi="Times New Roman" w:eastAsia="Times New Roman"/>
          <w:b w:val="0"/>
          <w:i w:val="0"/>
          <w:sz w:val="21"/>
          <w:vertAlign w:val="superscript"/>
        </w:rPr>
        <w:t>[22]</w:t>
      </w:r>
      <w:r>
        <w:rPr>
          <w:rFonts w:hint="eastAsia" w:ascii="Times New Roman" w:hAnsi="Times New Roman" w:eastAsia="宋体"/>
          <w:b w:val="0"/>
          <w:i w:val="0"/>
          <w:sz w:val="21"/>
        </w:rPr>
        <w:t>）；招行泉州分行金融科技展厅展示"网点数字孪生"功能，用于网点运营可视化和客户动线分析（地方媒体2022年报道，仅作现象参考，未采信为权威证据）；招行2024年智能化应用实现替代工时数达2600万小时，AI赋能风险预警时间较传统方式提前42天（招行官网及年报披露）。需说明：截至编制日，招行尚未官方披露完整的DToC规模化生产部署，"天秤"与"网点数字孪生"属数字孪生在特定场景的局部应用，与严格意义上的个体级客户行为镜像＋场景模拟存在差距。</w:t>
      </w:r>
    </w:p>
    <w:p w14:paraId="0D0D16A0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/>
          <w:i w:val="0"/>
          <w:sz w:val="21"/>
        </w:rPr>
        <w:t>案例二：工商银行。</w:t>
      </w:r>
      <w:r>
        <w:rPr>
          <w:rFonts w:hint="eastAsia" w:ascii="Times New Roman" w:hAnsi="Times New Roman" w:eastAsia="宋体"/>
          <w:b w:val="0"/>
          <w:i w:val="0"/>
          <w:sz w:val="21"/>
        </w:rPr>
        <w:t>千亿级金融大模型"工银智涌"已在30余个业务领域落地500余个场景（工行官网2026年披露</w:t>
      </w:r>
      <w:r>
        <w:rPr>
          <w:rFonts w:ascii="Times New Roman" w:hAnsi="Times New Roman" w:eastAsia="Times New Roman"/>
          <w:b w:val="0"/>
          <w:i w:val="0"/>
          <w:sz w:val="21"/>
          <w:vertAlign w:val="superscript"/>
        </w:rPr>
        <w:t>[23]</w:t>
      </w:r>
      <w:r>
        <w:rPr>
          <w:rFonts w:hint="eastAsia" w:ascii="Times New Roman" w:hAnsi="Times New Roman" w:eastAsia="宋体"/>
          <w:b w:val="0"/>
          <w:i w:val="0"/>
          <w:sz w:val="21"/>
        </w:rPr>
        <w:t>）；工行在金库运营中构建了三维数字孪生底座，通过实时接入物联网数据流实现物理金库与虚拟模型的实时映射（新浪财经2025年报道</w:t>
      </w:r>
      <w:r>
        <w:rPr>
          <w:rFonts w:ascii="Times New Roman" w:hAnsi="Times New Roman" w:eastAsia="Times New Roman"/>
          <w:b w:val="0"/>
          <w:i w:val="0"/>
          <w:sz w:val="21"/>
          <w:vertAlign w:val="superscript"/>
        </w:rPr>
        <w:t>[24]</w:t>
      </w:r>
      <w:r>
        <w:rPr>
          <w:rFonts w:hint="eastAsia" w:ascii="Times New Roman" w:hAnsi="Times New Roman" w:eastAsia="宋体"/>
          <w:b w:val="0"/>
          <w:i w:val="0"/>
          <w:sz w:val="21"/>
        </w:rPr>
        <w:t>）。需说明：工行的数字孪生应用目前主要集中在金库运营等物理资产领域，DToC的规模化生产部署尚未见官方披露。</w:t>
      </w:r>
    </w:p>
    <w:p w14:paraId="76A242B9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/>
          <w:i w:val="0"/>
          <w:sz w:val="21"/>
        </w:rPr>
        <w:t>案例三：Etiya DToC（电信行业，可参考）。</w:t>
      </w:r>
      <w:r>
        <w:rPr>
          <w:rFonts w:hint="eastAsia" w:ascii="Times New Roman" w:hAnsi="Times New Roman" w:eastAsia="宋体"/>
          <w:b w:val="0"/>
          <w:i w:val="0"/>
          <w:sz w:val="21"/>
        </w:rPr>
        <w:t>Etiya的客户数字孪生产品获The Fast Mode 2025 Awards的CX Catalyst Award创新类奖项，具备实时个性化和全渠道编排能力。虽主要面向电信行业，其技术架构对银行业具有参考价值</w:t>
      </w:r>
      <w:r>
        <w:rPr>
          <w:rFonts w:ascii="Times New Roman" w:hAnsi="Times New Roman" w:eastAsia="Times New Roman"/>
          <w:b w:val="0"/>
          <w:i w:val="0"/>
          <w:sz w:val="21"/>
          <w:vertAlign w:val="superscript"/>
        </w:rPr>
        <w:t>[21]</w:t>
      </w:r>
      <w:r>
        <w:rPr>
          <w:rFonts w:hint="eastAsia" w:ascii="Times New Roman" w:hAnsi="Times New Roman" w:eastAsia="宋体"/>
          <w:b w:val="0"/>
          <w:i w:val="0"/>
          <w:sz w:val="21"/>
        </w:rPr>
        <w:t>。</w:t>
      </w:r>
    </w:p>
    <w:p w14:paraId="33BCA524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/>
          <w:i w:val="0"/>
          <w:sz w:val="21"/>
        </w:rPr>
        <w:t>案例四：LatentView DToC咨询方案（跨行业）。</w:t>
      </w:r>
      <w:r>
        <w:rPr>
          <w:rFonts w:hint="eastAsia" w:ascii="Times New Roman" w:hAnsi="Times New Roman" w:eastAsia="宋体"/>
          <w:b w:val="0"/>
          <w:i w:val="0"/>
          <w:sz w:val="21"/>
        </w:rPr>
        <w:t>LatentView提供DToC端到端咨询与实施服务，方案涵盖数据采集与统一、ML建模层、孪生引擎和应用决策层，在金融、零售、电信等行业有实施经验</w:t>
      </w:r>
      <w:r>
        <w:rPr>
          <w:rFonts w:ascii="Times New Roman" w:hAnsi="Times New Roman" w:eastAsia="Times New Roman"/>
          <w:b w:val="0"/>
          <w:i w:val="0"/>
          <w:sz w:val="21"/>
          <w:vertAlign w:val="superscript"/>
        </w:rPr>
        <w:t>[12]</w:t>
      </w:r>
      <w:r>
        <w:rPr>
          <w:rFonts w:hint="eastAsia" w:ascii="Times New Roman" w:hAnsi="Times New Roman" w:eastAsia="宋体"/>
          <w:b w:val="0"/>
          <w:i w:val="0"/>
          <w:sz w:val="21"/>
        </w:rPr>
        <w:t>。</w:t>
      </w:r>
    </w:p>
    <w:p w14:paraId="03A59AF7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/>
          <w:i w:val="0"/>
          <w:sz w:val="21"/>
        </w:rPr>
        <w:t>推演能力的跨行业验证（技术可行性佐证）。</w:t>
      </w:r>
      <w:r>
        <w:rPr>
          <w:rFonts w:hint="eastAsia" w:ascii="Times New Roman" w:hAnsi="Times New Roman" w:eastAsia="宋体"/>
          <w:b w:val="0"/>
          <w:i w:val="0"/>
          <w:sz w:val="21"/>
        </w:rPr>
        <w:t>这里要区分两件事：银行业自身的DToC落地案例，与推演能力的跨行业验证。前者确无先例，后者已有实证。Uber以强化学习＋市场模拟平台实现司机收入提升0.52%、乘客取消率降低2.2%</w:t>
      </w:r>
      <w:r>
        <w:rPr>
          <w:rFonts w:ascii="Times New Roman" w:hAnsi="Times New Roman" w:eastAsia="Times New Roman"/>
          <w:b w:val="0"/>
          <w:i w:val="0"/>
          <w:sz w:val="21"/>
          <w:vertAlign w:val="superscript"/>
        </w:rPr>
        <w:t>[2]</w:t>
      </w:r>
      <w:r>
        <w:rPr>
          <w:rFonts w:hint="eastAsia" w:ascii="Times New Roman" w:hAnsi="Times New Roman" w:eastAsia="宋体"/>
          <w:b w:val="0"/>
          <w:i w:val="0"/>
          <w:sz w:val="21"/>
        </w:rPr>
        <w:t>；Netflix推荐系统贡献约80%的观看时长</w:t>
      </w:r>
      <w:r>
        <w:rPr>
          <w:rFonts w:ascii="Times New Roman" w:hAnsi="Times New Roman" w:eastAsia="Times New Roman"/>
          <w:b w:val="0"/>
          <w:i w:val="0"/>
          <w:sz w:val="21"/>
          <w:vertAlign w:val="superscript"/>
        </w:rPr>
        <w:t>[3]</w:t>
      </w:r>
      <w:r>
        <w:rPr>
          <w:rFonts w:hint="eastAsia" w:ascii="Times New Roman" w:hAnsi="Times New Roman" w:eastAsia="宋体"/>
          <w:b w:val="0"/>
          <w:i w:val="0"/>
          <w:sz w:val="21"/>
        </w:rPr>
        <w:t>；哈啰出行以Tree-based Uplift模型识别四类人群、将补贴聚焦于"给券才买"人群</w:t>
      </w:r>
      <w:r>
        <w:rPr>
          <w:rFonts w:ascii="Times New Roman" w:hAnsi="Times New Roman" w:eastAsia="Times New Roman"/>
          <w:b w:val="0"/>
          <w:i w:val="0"/>
          <w:sz w:val="21"/>
          <w:vertAlign w:val="superscript"/>
        </w:rPr>
        <w:t>[4]</w:t>
      </w:r>
      <w:r>
        <w:rPr>
          <w:rFonts w:hint="eastAsia" w:ascii="Times New Roman" w:hAnsi="Times New Roman" w:eastAsia="宋体"/>
          <w:b w:val="0"/>
          <w:i w:val="0"/>
          <w:sz w:val="21"/>
        </w:rPr>
        <w:t>；Capital One以"测试并学习"的实验文化驱动产品决策，被视为分析型竞争者代表</w:t>
      </w:r>
      <w:r>
        <w:rPr>
          <w:rFonts w:ascii="Times New Roman" w:hAnsi="Times New Roman" w:eastAsia="Times New Roman"/>
          <w:b w:val="0"/>
          <w:i w:val="0"/>
          <w:sz w:val="21"/>
          <w:vertAlign w:val="superscript"/>
        </w:rPr>
        <w:t>[5]</w:t>
      </w:r>
      <w:r>
        <w:rPr>
          <w:rFonts w:hint="eastAsia" w:ascii="Times New Roman" w:hAnsi="Times New Roman" w:eastAsia="宋体"/>
          <w:b w:val="0"/>
          <w:i w:val="0"/>
          <w:sz w:val="21"/>
        </w:rPr>
        <w:t>。上述案例说明推演能力在互联网行业可规模落地，但其数据基础（高频、可随机实验）与银行业存在差异，不可直接套用效果量级。</w:t>
      </w:r>
    </w:p>
    <w:p w14:paraId="6C80DAD0">
      <w:pPr>
        <w:spacing w:after="160" w:line="324" w:lineRule="auto"/>
        <w:ind w:firstLine="360"/>
      </w:pPr>
      <w:r>
        <w:rPr>
          <w:rFonts w:hint="eastAsia" w:ascii="Times New Roman" w:hAnsi="Times New Roman" w:eastAsia="宋体"/>
          <w:b w:val="0"/>
          <w:i w:val="0"/>
          <w:color w:val="444444"/>
          <w:sz w:val="18"/>
        </w:rPr>
        <w:t>说明：截至本报告编制日，尚未检索到国内大型银行公开披露的完整客户数字孪生（DToC）规模化生产部署案例。现有案例多为数字孪生在风控、网点运营等特定场景的局部应用，或国际咨询公司/技术厂商的概念验证与试点项目。严格意义上的个体级客户行为镜像＋场景模拟＋实时决策的完整DToC体系，在银行业仍处于研究和探索阶段。</w:t>
      </w:r>
    </w:p>
    <w:p w14:paraId="2161FD68">
      <w:pPr>
        <w:pStyle w:val="4"/>
        <w:spacing w:before="160" w:after="120" w:line="312" w:lineRule="auto"/>
      </w:pPr>
      <w:r>
        <w:rPr>
          <w:rFonts w:hint="eastAsia" w:ascii="Times New Roman" w:hAnsi="Times New Roman" w:eastAsia="黑体"/>
          <w:b/>
          <w:i w:val="0"/>
          <w:color w:val="1F1F1F"/>
          <w:sz w:val="25"/>
        </w:rPr>
        <w:t>（四）价值贡献度与战略紧迫度评级</w:t>
      </w:r>
    </w:p>
    <w:p w14:paraId="652E79B4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 w:val="0"/>
          <w:i w:val="0"/>
          <w:sz w:val="21"/>
        </w:rPr>
        <w:t>撰写规范要求用Gartner优先级矩阵（Priority Matrix，效益等级×主流采用所需年数）对价值贡献度和战略紧迫度作综合定位。对照Gartner公开口径，DToC效益评级为"高"</w:t>
      </w:r>
      <w:r>
        <w:rPr>
          <w:rFonts w:ascii="Times New Roman" w:hAnsi="Times New Roman" w:eastAsia="Times New Roman"/>
          <w:b w:val="0"/>
          <w:i w:val="0"/>
          <w:sz w:val="21"/>
          <w:vertAlign w:val="superscript"/>
        </w:rPr>
        <w:t>[17]</w:t>
      </w:r>
      <w:r>
        <w:rPr>
          <w:rFonts w:hint="eastAsia" w:ascii="Times New Roman" w:hAnsi="Times New Roman" w:eastAsia="宋体"/>
          <w:b w:val="0"/>
          <w:i w:val="0"/>
          <w:sz w:val="21"/>
        </w:rPr>
        <w:t>，预计5至10年进入生产成熟期</w:t>
      </w:r>
      <w:r>
        <w:rPr>
          <w:rFonts w:ascii="Times New Roman" w:hAnsi="Times New Roman" w:eastAsia="Times New Roman"/>
          <w:b w:val="0"/>
          <w:i w:val="0"/>
          <w:sz w:val="21"/>
          <w:vertAlign w:val="superscript"/>
        </w:rPr>
        <w:t>[16]</w:t>
      </w:r>
      <w:r>
        <w:rPr>
          <w:rFonts w:hint="eastAsia" w:ascii="Times New Roman" w:hAnsi="Times New Roman" w:eastAsia="宋体"/>
          <w:b w:val="0"/>
          <w:i w:val="0"/>
          <w:sz w:val="21"/>
        </w:rPr>
        <w:t>，落在"高效益、长采用周期"区域（矩阵原图涉及Gartner版权，须通过合法授权渠道取得），与本节两项评级相互印证。</w:t>
      </w:r>
    </w:p>
    <w:p w14:paraId="0DCF12D7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 w:val="0"/>
          <w:i w:val="0"/>
          <w:sz w:val="21"/>
        </w:rPr>
        <w:t>价值贡献度评级：3分——效率维度价值明确可量化，客户体验、风控维度有一定价值；因主要依据为示意测算而非实测，审慎取3分（理论可评4分）、待POC实测后复评。战略紧迫度评级：3分——处于3—5年关键窗口：同业已有先行信号，监管约束临近但不构成"必须采用"的倒逼。</w:t>
      </w:r>
    </w:p>
    <w:p w14:paraId="6E8D19EB">
      <w:pPr>
        <w:spacing w:before="120" w:after="60"/>
        <w:jc w:val="center"/>
      </w:pPr>
      <w:r>
        <w:rPr>
          <w:rFonts w:hint="eastAsia" w:ascii="Times New Roman" w:hAnsi="Times New Roman" w:eastAsia="黑体"/>
          <w:b/>
          <w:i w:val="0"/>
          <w:sz w:val="18"/>
        </w:rPr>
        <w:t>表12 价值贡献度与战略紧迫度评级依据（3分/3分）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5286F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232A7D8E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评级维度</w:t>
            </w:r>
          </w:p>
        </w:tc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47B6BA6E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关键要点</w:t>
            </w:r>
          </w:p>
        </w:tc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250E44BE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定档含义</w:t>
            </w:r>
          </w:p>
        </w:tc>
      </w:tr>
      <w:tr w14:paraId="36861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7137F57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价值·效率</w:t>
            </w:r>
          </w:p>
        </w:tc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5F6C68D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Uplift精准投放千次增量留存＋66%（行业公开案例）；预算优化与续投干预的示意测算显示增量提升</w:t>
            </w:r>
          </w:p>
        </w:tc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0C85E7F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唯一行业案例口径；效率维度明确可量化</w:t>
            </w:r>
          </w:p>
        </w:tc>
      </w:tr>
      <w:tr w14:paraId="6CFBD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A65426B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价值·体验/风控/新业务</w:t>
            </w:r>
          </w:p>
        </w:tc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8C6DACE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旅程转化率与投诉率的示意改善；虚拟市场测试压缩试错成本</w:t>
            </w:r>
          </w:p>
        </w:tc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9B2A3BE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示意测算与机制论证，审慎取3分（理论可评4分）、POC后复评</w:t>
            </w:r>
          </w:p>
        </w:tc>
      </w:tr>
      <w:tr w14:paraId="25844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CDCF8B3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紧迫·技术窗口</w:t>
            </w:r>
          </w:p>
        </w:tc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5DA4C72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创新触发期定位，Gartner预计5—10年产生变革性影响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  <w:vertAlign w:val="superscript"/>
              </w:rPr>
              <w:t>[16][17]</w:t>
            </w:r>
          </w:p>
        </w:tc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AFD22D2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对应3—5年前瞻布局窗口</w:t>
            </w:r>
          </w:p>
        </w:tc>
      </w:tr>
      <w:tr w14:paraId="3AB84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C66888D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紧迫·同业信号</w:t>
            </w:r>
          </w:p>
        </w:tc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05B7FDF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互联网侧推演能力已规模验证；国内头部银行在相邻领域探索</w:t>
            </w:r>
          </w:p>
        </w:tc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FC01581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先行信号明确，采用倒逼尚未形成</w:t>
            </w:r>
          </w:p>
        </w:tc>
      </w:tr>
      <w:tr w14:paraId="4C499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2E6FC0A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紧迫·监管时限</w:t>
            </w:r>
          </w:p>
        </w:tc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4E6C353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《金融产品网络营销管理办法》2026-09-30施行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  <w:vertAlign w:val="superscript"/>
              </w:rPr>
              <w:t>[10]</w:t>
            </w:r>
          </w:p>
        </w:tc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496E9A0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合规约束时限，并非强制采用信号</w:t>
            </w:r>
          </w:p>
        </w:tc>
      </w:tr>
    </w:tbl>
    <w:p w14:paraId="5BA9EF64">
      <w:pPr>
        <w:spacing w:before="0" w:after="40"/>
      </w:pPr>
    </w:p>
    <w:p w14:paraId="2BB6B4D4">
      <w:pPr>
        <w:pStyle w:val="3"/>
        <w:spacing w:before="240" w:after="120" w:line="312" w:lineRule="auto"/>
      </w:pPr>
      <w:r>
        <w:rPr>
          <w:rFonts w:hint="eastAsia" w:ascii="Times New Roman" w:hAnsi="Times New Roman" w:eastAsia="黑体"/>
          <w:b/>
          <w:i w:val="0"/>
          <w:color w:val="1F1F1F"/>
          <w:sz w:val="30"/>
        </w:rPr>
        <w:t>五、风险与挑战</w:t>
      </w:r>
    </w:p>
    <w:p w14:paraId="71059C6D">
      <w:pPr>
        <w:pStyle w:val="4"/>
        <w:spacing w:before="160" w:after="120" w:line="312" w:lineRule="auto"/>
      </w:pPr>
      <w:r>
        <w:rPr>
          <w:rFonts w:hint="eastAsia" w:ascii="Times New Roman" w:hAnsi="Times New Roman" w:eastAsia="黑体"/>
          <w:b/>
          <w:i w:val="0"/>
          <w:color w:val="1F1F1F"/>
          <w:sz w:val="25"/>
        </w:rPr>
        <w:t>（一）监管合规映射</w:t>
      </w:r>
    </w:p>
    <w:p w14:paraId="15E0595D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 w:val="0"/>
          <w:i w:val="0"/>
          <w:sz w:val="21"/>
        </w:rPr>
        <w:t>DToC涉及大量客户个人信息处理，须将监管要求落实到具体文件条款。主要监管合规映射如下：</w:t>
      </w:r>
    </w:p>
    <w:p w14:paraId="65FCA8ED">
      <w:pPr>
        <w:spacing w:before="120" w:after="60"/>
        <w:jc w:val="center"/>
      </w:pPr>
      <w:r>
        <w:rPr>
          <w:rFonts w:hint="eastAsia" w:ascii="Times New Roman" w:hAnsi="Times New Roman" w:eastAsia="黑体"/>
          <w:b/>
          <w:i w:val="0"/>
          <w:sz w:val="18"/>
        </w:rPr>
        <w:t>表13 监管合规要求映射明细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</w:tblGrid>
      <w:tr w14:paraId="10AEA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3488E699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监管文件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10D941EF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具体条款/要求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2AC8BBCE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DToC对应影响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15968B1D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风险等级</w:t>
            </w:r>
          </w:p>
        </w:tc>
      </w:tr>
      <w:tr w14:paraId="19716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146DFF3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《个人信息保护法》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  <w:vertAlign w:val="superscript"/>
              </w:rPr>
              <w:t>[6]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241207C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第十三、十四条：处理个人信息须取得个人同意，遵循合法、正当、必要和诚信原则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D83DFA0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须确保知情同意与最小必要原则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D370D7D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高</w:t>
            </w:r>
          </w:p>
        </w:tc>
      </w:tr>
      <w:tr w14:paraId="2FDD0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645D962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《个人信息保护法》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  <w:vertAlign w:val="superscript"/>
              </w:rPr>
              <w:t>[6]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BC0ACED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第二十四条：自动化决策应保证透明度和结果公平公正，不得在交易价格等方面实行不合理差别待遇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EF2D870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个性化推荐与定价须保障知情权与拒绝权，防范"大数据杀熟"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A8CFC9D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高</w:t>
            </w:r>
          </w:p>
        </w:tc>
      </w:tr>
      <w:tr w14:paraId="3C126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1D94DAB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《个人信息保护法》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  <w:vertAlign w:val="superscript"/>
              </w:rPr>
              <w:t>[6]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A75B5A4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第二十八、二十九条：处理敏感个人信息（金融账户、行踪轨迹等）须取得单独同意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EBFECD5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涉及金融账户与交易记录，须取得单独同意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9831DA9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高</w:t>
            </w:r>
          </w:p>
        </w:tc>
      </w:tr>
      <w:tr w14:paraId="17E9F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307CCCD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《数据安全法》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  <w:vertAlign w:val="superscript"/>
              </w:rPr>
              <w:t>[7]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2B0F21E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第二十一条：数据分类分级保护，重要数据重点保护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F07CED0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客户行为与交易数据须按分级保护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D502960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中高</w:t>
            </w:r>
          </w:p>
        </w:tc>
      </w:tr>
      <w:tr w14:paraId="2C475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F2BAD06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《网络数据安全管理条例》（国务院令第790号）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  <w:vertAlign w:val="superscript"/>
              </w:rPr>
              <w:t>[9]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A3851D1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敏感个人信息须单独同意；不得超范围收集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E014971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采集范围须严格限定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F9AD02E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高</w:t>
            </w:r>
          </w:p>
        </w:tc>
      </w:tr>
      <w:tr w14:paraId="517D8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31137FE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《互联网信息服务算法推荐管理规定》第二十一条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AD18FB1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不得利用算法在交易价格等交易条件上实施不合理差别待遇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9E9A0DA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与个保法第二十四条形成双重约束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  <w:vertAlign w:val="superscript"/>
              </w:rPr>
              <w:t>[8]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4A79CF1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高</w:t>
            </w:r>
          </w:p>
        </w:tc>
      </w:tr>
      <w:tr w14:paraId="5D20B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E9E8A69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《互联网信息服务算法推荐管理规定》第十七条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BB3E84F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应提供不针对个人特征的选项，或便捷关闭算法推荐服务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FFFE867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个性化触达须提供非个性化选项或关闭入口，现有触达系统能力需专项评估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  <w:vertAlign w:val="superscript"/>
              </w:rPr>
              <w:t>[8]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528CCA3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高</w:t>
            </w:r>
          </w:p>
        </w:tc>
      </w:tr>
      <w:tr w14:paraId="705B7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7D520C5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《金融产品网络营销管理办法》（2026-04-24印发，2026-09-30施行）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F6E5DAE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算法推荐纳入监管，禁止利用算法诱导过度消费，要求提供非个性化选项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EE654DC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针对金融产品营销场景，是DToC最直接、约束力最强的监管依据；涉及个性营销的场景须在上线前完成对齐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  <w:vertAlign w:val="superscript"/>
              </w:rPr>
              <w:t>[10]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9B9D332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高</w:t>
            </w:r>
          </w:p>
        </w:tc>
      </w:tr>
      <w:tr w14:paraId="52687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D4AC318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金发〔2026〕8号《关于银行业保险业人工智能安全开发应用的指导意见》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  <w:vertAlign w:val="superscript"/>
              </w:rPr>
              <w:t>[11]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D4E63AD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姓名、身份证号、手机号、银行卡号等个人信息不得用于生成式AI模型训练和优化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A1CC635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传统ML（含Uplift）不受此限；若用GenAI须严格排除上述信息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DE2DBE6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高</w:t>
            </w:r>
          </w:p>
        </w:tc>
      </w:tr>
      <w:tr w14:paraId="53506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FFCD16C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金发〔2026〕8号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  <w:vertAlign w:val="superscript"/>
              </w:rPr>
              <w:t>[11]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C30A266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第六条：加强网络安全、数据安全与个人信息保护，提高透明度，促进可解释性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DBD1AF8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模型须具备可解释性，避免"黑箱"决策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7DA1401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中高</w:t>
            </w:r>
          </w:p>
        </w:tc>
      </w:tr>
      <w:tr w14:paraId="76BF9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622A222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《消费者权益保护法》及金融消费者权益保护相关规定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A96241C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保障知情权、自主选择权，不得误导性宣传和不公平交易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0FDB474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个性化营销须避免误导和操纵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8078603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中</w:t>
            </w:r>
          </w:p>
        </w:tc>
      </w:tr>
      <w:tr w14:paraId="125C1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7F9FD90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中国人民银行《金融领域科技伦理指引》（JR/T 0258—2022）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B4E160F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数据"专事专用"、最小必要采集，禁止大数据杀熟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A33031D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行业自律层面的伦理约束，与前述法规呼应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  <w:vertAlign w:val="superscript"/>
              </w:rPr>
              <w:t>[27]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5A45870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中</w:t>
            </w:r>
          </w:p>
        </w:tc>
      </w:tr>
    </w:tbl>
    <w:p w14:paraId="02D23E23">
      <w:pPr>
        <w:spacing w:before="0" w:after="40"/>
      </w:pPr>
    </w:p>
    <w:p w14:paraId="6777843D">
      <w:pPr>
        <w:pStyle w:val="4"/>
        <w:spacing w:before="160" w:after="120" w:line="312" w:lineRule="auto"/>
      </w:pPr>
      <w:r>
        <w:rPr>
          <w:rFonts w:hint="eastAsia" w:ascii="Times New Roman" w:hAnsi="Times New Roman" w:eastAsia="黑体"/>
          <w:b/>
          <w:i w:val="0"/>
          <w:color w:val="1F1F1F"/>
          <w:sz w:val="25"/>
        </w:rPr>
        <w:t>（二）DToC合规可行域：各能力模块的法律边界</w:t>
      </w:r>
    </w:p>
    <w:p w14:paraId="08B681A7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 w:val="0"/>
          <w:i w:val="0"/>
          <w:sz w:val="21"/>
        </w:rPr>
        <w:t>上一节是从法规条款梳理合规要求。这一节换个角度，按DToC技术架构的四层逐层看，在现行法律框架下各能力模块能做什么、什么条件下能做、哪些碰不得，供技术选型和场景落地时参照。</w:t>
      </w:r>
    </w:p>
    <w:p w14:paraId="5DBC7558">
      <w:pPr>
        <w:spacing w:before="120" w:after="60"/>
        <w:jc w:val="center"/>
      </w:pPr>
      <w:r>
        <w:rPr>
          <w:rFonts w:hint="eastAsia" w:ascii="Times New Roman" w:hAnsi="Times New Roman" w:eastAsia="黑体"/>
          <w:b/>
          <w:i w:val="0"/>
          <w:sz w:val="18"/>
        </w:rPr>
        <w:t>表14 DToC各能力模块的合规边界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</w:tblGrid>
      <w:tr w14:paraId="10689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45432DC1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能力层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4EEC8D08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明确能做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4D2FE786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有条件能做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27A61FBE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红线不能做</w:t>
            </w:r>
          </w:p>
        </w:tc>
      </w:tr>
      <w:tr w14:paraId="6F588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6ED1B9B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数据采集层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9A6BF9B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①银行自有业务数据（交易、账户、产品持有、还款记录），依据个保法第十三条第（二）项"履行合同所必需"无需单独同意；②银行自有渠道内的行为数据（APP点击、页面停留、客服交互），须在隐私政策中告知；③已脱敏或匿名化的群体数据；④干预事件数据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89F9E3B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①外部数据接入（社保、公积金、税务、运营商），须合法来源且在授权范围内；②跨机构融合须通过联邦学习/隐私计算、原始数据不出域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2F7C2D4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①采集银行渠道之外的行为数据（社交媒体、浏览历史、位置轨迹），实践中几乎没有合法获取路径；②将生物识别信息（人脸、指纹、声纹）用于行为建模</w:t>
            </w:r>
          </w:p>
        </w:tc>
      </w:tr>
      <w:tr w14:paraId="6E0B7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B110DDF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模型训练层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974AA1C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①传统ML（逻辑回归、XGBoost、随机森林、图神经网络、Uplift等）训练预测与增量模型——不属生成式AI，不受金发8号文限制，是当前主力路径；②已脱敏群体级数据训练任何模型；③合成数据训练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8A6FD8A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①LLM做客户文本理解（摘要、分类、意图识别），但训练/微调不得输入姓名、身份证号、手机号、银行卡号，须严格PII脱敏；②个人数据训练推荐模型须最小必要且可解释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5F7C442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①四类个人信息用于生成式AI训练（金发8号文直接禁止）；②训练端到端客户行为生成模型（输入全量历史生成未来轨迹）；③训练数据出境</w:t>
            </w:r>
          </w:p>
        </w:tc>
      </w:tr>
      <w:tr w14:paraId="1ADEE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26828A4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孪生引擎层（行为模拟与推演）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1A53ABD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①群体级行为模拟（客群趋势、新产品接受度、市场场景推演）；②风险类预测（欺诈、洗钱、信用风险，属法定义务）；③客户服务类预测（咨询预判、智能路由）；④Uplift增量预测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D42963B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①个体级流失预警，但干预不得构成差别待遇、客户可拒绝、须人工复核；②个体级推荐须可解释、不得杀熟、客户可关闭；③人生事件预测仅作内部参考，敏感事件（离婚、失业、重大疾病）建议不做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F0ACB41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①无人工复核的、影响客户重大权益的自动化决策；②无合理依据的差异化定价；③基于心理弱点的诱导性营销话术</w:t>
            </w:r>
          </w:p>
        </w:tc>
      </w:tr>
      <w:tr w14:paraId="46497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A4BB17B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应用决策层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9980AF1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见下表（表15）逐条评估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B494474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见下表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DA81F3A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见下表</w:t>
            </w:r>
          </w:p>
        </w:tc>
      </w:tr>
    </w:tbl>
    <w:p w14:paraId="408F801A">
      <w:pPr>
        <w:spacing w:before="0" w:after="40"/>
      </w:pPr>
    </w:p>
    <w:p w14:paraId="223B94E2">
      <w:pPr>
        <w:spacing w:before="120" w:after="60"/>
        <w:jc w:val="center"/>
      </w:pPr>
      <w:r>
        <w:rPr>
          <w:rFonts w:hint="eastAsia" w:ascii="Times New Roman" w:hAnsi="Times New Roman" w:eastAsia="黑体"/>
          <w:b/>
          <w:i w:val="0"/>
          <w:sz w:val="18"/>
        </w:rPr>
        <w:t>表15 各应用场景合规可行度汇总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14B75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73F15D26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应用场景</w:t>
            </w:r>
          </w:p>
        </w:tc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07AF7893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合规可行度</w:t>
            </w:r>
          </w:p>
        </w:tc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511E84A3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关键约束</w:t>
            </w:r>
          </w:p>
        </w:tc>
      </w:tr>
      <w:tr w14:paraId="5560B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C466337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欺诈检测/反洗钱</w:t>
            </w:r>
          </w:p>
        </w:tc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7C252B2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完全可行</w:t>
            </w:r>
          </w:p>
        </w:tc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8788833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法定职责，无需同意；但须可解释、可追溯</w:t>
            </w:r>
          </w:p>
        </w:tc>
      </w:tr>
      <w:tr w14:paraId="5128A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6830CA4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群体级市场分析/新产品模拟</w:t>
            </w:r>
          </w:p>
        </w:tc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C457FBD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完全可行</w:t>
            </w:r>
          </w:p>
        </w:tc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5847C3E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不针对可识别个人；推演结果不得对外用作收益承诺</w:t>
            </w:r>
          </w:p>
        </w:tc>
      </w:tr>
      <w:tr w14:paraId="5FABC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F869B1E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Uplift增量预测/营销预算优化</w:t>
            </w:r>
          </w:p>
        </w:tc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00E04D6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完全可行</w:t>
            </w:r>
          </w:p>
        </w:tc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30CAC92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群体级或辅助决策，不直接影响客户权益；属内部资源分配，不对客户差异化定价</w:t>
            </w:r>
          </w:p>
        </w:tc>
      </w:tr>
      <w:tr w14:paraId="782E1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D25B4AA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理财续投/流失干预（辅助人工）</w:t>
            </w:r>
          </w:p>
        </w:tc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E87BDF8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基本可行</w:t>
            </w:r>
          </w:p>
        </w:tc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E897C96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人工复核后执行；POC统一券面金额，只在"给谁不给"上差异化；控制外呼时段与频次</w:t>
            </w:r>
          </w:p>
        </w:tc>
      </w:tr>
      <w:tr w14:paraId="78487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2B9FC2B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智能客服路由/需求预判</w:t>
            </w:r>
          </w:p>
        </w:tc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46C547C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基本可行</w:t>
            </w:r>
          </w:p>
        </w:tc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4DB49DE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不直接影响客户权益；须告知客户使用了AI</w:t>
            </w:r>
          </w:p>
        </w:tc>
      </w:tr>
      <w:tr w14:paraId="18B61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18D2E6B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个体级个性化产品推荐</w:t>
            </w:r>
          </w:p>
        </w:tc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15294C1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有条件可行</w:t>
            </w:r>
          </w:p>
        </w:tc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F353ADE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须可解释；不得大数据杀熟；客户有权关闭个性化推荐</w:t>
            </w:r>
          </w:p>
        </w:tc>
      </w:tr>
      <w:tr w14:paraId="31829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43EC882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客户旅程触点优化</w:t>
            </w:r>
          </w:p>
        </w:tc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A9C9DC9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有条件可行</w:t>
            </w:r>
          </w:p>
        </w:tc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9325C3C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须提供退订渠道，退订后不得再触达；同一活动触点不超过3次；触点差异化须有明确规则</w:t>
            </w:r>
          </w:p>
        </w:tc>
      </w:tr>
      <w:tr w14:paraId="299BB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01B7C19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个体级人生事件预测＋主动营销</w:t>
            </w:r>
          </w:p>
        </w:tc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EA368E0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谨慎可行</w:t>
            </w:r>
          </w:p>
        </w:tc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160FF4E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预测仅作内部参考；敏感事件不做；遵守营销频次和退订规则</w:t>
            </w:r>
          </w:p>
        </w:tc>
      </w:tr>
      <w:tr w14:paraId="402C8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B147364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自动化授信/定价决策</w:t>
            </w:r>
          </w:p>
        </w:tc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CB3CF48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红线区域</w:t>
            </w:r>
          </w:p>
        </w:tc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7EB9BAF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须人工复核；不得仅基于自动化决策；授信按《商业银行法》审批流程执行；对公数据注意商业秘密保护</w:t>
            </w:r>
          </w:p>
        </w:tc>
      </w:tr>
      <w:tr w14:paraId="17525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145AD6F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客户心理画像＋诱导性营销</w:t>
            </w:r>
          </w:p>
        </w:tc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B3E489C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禁止</w:t>
            </w:r>
          </w:p>
        </w:tc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CBB4121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可能构成欺诈/误导，触及消保红线</w:t>
            </w:r>
          </w:p>
        </w:tc>
      </w:tr>
    </w:tbl>
    <w:p w14:paraId="6B8EF281">
      <w:pPr>
        <w:spacing w:before="0" w:after="40"/>
      </w:pPr>
    </w:p>
    <w:p w14:paraId="25C4ECB2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/>
          <w:i w:val="0"/>
          <w:sz w:val="21"/>
        </w:rPr>
        <w:t>综合判断：现行法律框架下银行DToC能做到什么程度。</w:t>
      </w:r>
      <w:r>
        <w:rPr>
          <w:rFonts w:hint="eastAsia" w:ascii="Times New Roman" w:hAnsi="Times New Roman" w:eastAsia="宋体"/>
          <w:b w:val="0"/>
          <w:i w:val="0"/>
          <w:sz w:val="21"/>
        </w:rPr>
        <w:t>大体是三块能做、三条不能碰。能做的三块：一是风控类DToC，以欺诈检测、反洗钱、信用风险预警为主，合规空间最大、商业价值最明确；二是群体级DToC，做客群层面的行为趋势预测、新产品市场模拟、Uplift增量预测和营销预算优化，不针对可识别的个人，最容易落地；三是辅助决策型个体DToC，做流失预警、产品推荐、服务预判，但定位是辅助人工决策，不是自动化决策。不能碰的三条：一是影响客户重大权益却不经人工复核的自动化决策；二是大数据杀熟和价格歧视；三是用敏感个人信息训练生成式AI。</w:t>
      </w:r>
    </w:p>
    <w:p w14:paraId="0E0616AF">
      <w:pPr>
        <w:pStyle w:val="4"/>
        <w:spacing w:before="160" w:after="120" w:line="312" w:lineRule="auto"/>
      </w:pPr>
      <w:r>
        <w:rPr>
          <w:rFonts w:hint="eastAsia" w:ascii="Times New Roman" w:hAnsi="Times New Roman" w:eastAsia="黑体"/>
          <w:b/>
          <w:i w:val="0"/>
          <w:color w:val="1F1F1F"/>
          <w:sz w:val="25"/>
        </w:rPr>
        <w:t>（三）风险清单（六要素表）</w:t>
      </w:r>
    </w:p>
    <w:p w14:paraId="6F1CEBCE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 w:val="0"/>
          <w:i w:val="0"/>
          <w:sz w:val="21"/>
        </w:rPr>
        <w:t>按"风险项/概率/影响/触发场景/应对措施/责任环节"六要素列出DToC主要风险：</w:t>
      </w:r>
    </w:p>
    <w:p w14:paraId="155CA755">
      <w:pPr>
        <w:spacing w:before="120" w:after="60"/>
        <w:jc w:val="center"/>
      </w:pPr>
      <w:r>
        <w:rPr>
          <w:rFonts w:hint="eastAsia" w:ascii="Times New Roman" w:hAnsi="Times New Roman" w:eastAsia="黑体"/>
          <w:b/>
          <w:i w:val="0"/>
          <w:sz w:val="18"/>
        </w:rPr>
        <w:t>表16 DToC主要风险清单（六要素）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1"/>
        <w:gridCol w:w="686"/>
        <w:gridCol w:w="643"/>
        <w:gridCol w:w="2925"/>
        <w:gridCol w:w="2400"/>
        <w:gridCol w:w="1511"/>
      </w:tblGrid>
      <w:tr w14:paraId="18BE4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2796ED59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风险项</w:t>
            </w:r>
          </w:p>
        </w:tc>
        <w:tc>
          <w:tcPr>
            <w:tcW w:w="68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790CD8EE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概率</w:t>
            </w:r>
          </w:p>
        </w:tc>
        <w:tc>
          <w:tcPr>
            <w:tcW w:w="64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779AB3FF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影响</w:t>
            </w:r>
          </w:p>
        </w:tc>
        <w:tc>
          <w:tcPr>
            <w:tcW w:w="292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01D74731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触发场景</w:t>
            </w:r>
          </w:p>
        </w:tc>
        <w:tc>
          <w:tcPr>
            <w:tcW w:w="2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4858B153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应对措施</w:t>
            </w:r>
          </w:p>
        </w:tc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54013E3E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责任环节</w:t>
            </w:r>
          </w:p>
        </w:tc>
      </w:tr>
      <w:tr w14:paraId="6F736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FA4F719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隐私合规违规</w:t>
            </w:r>
          </w:p>
        </w:tc>
        <w:tc>
          <w:tcPr>
            <w:tcW w:w="68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01D0300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高</w:t>
            </w:r>
          </w:p>
        </w:tc>
        <w:tc>
          <w:tcPr>
            <w:tcW w:w="64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BE5924F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高</w:t>
            </w:r>
          </w:p>
        </w:tc>
        <w:tc>
          <w:tcPr>
            <w:tcW w:w="292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2BE955B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采集使用个人信息未取得有效同意；超最小必要范围；敏感信息未单独同意；自动化决策未保障知情权与拒绝权；未提供非个性化选项或算法关闭入口</w:t>
            </w:r>
          </w:p>
        </w:tc>
        <w:tc>
          <w:tcPr>
            <w:tcW w:w="2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36A4C4D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数据最小化；分级授权与同意管理；隐私计算（联邦学习、差分隐私）；自动化决策设人工复核与拒绝通道；提供非个性化选项与关闭入口；定期合规审计</w:t>
            </w:r>
          </w:p>
        </w:tc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755B121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合规审查与授权管理（牵头）；数据治理协同</w:t>
            </w:r>
          </w:p>
        </w:tc>
      </w:tr>
      <w:tr w14:paraId="36914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A3867E5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数据质量不足导致模型偏差</w:t>
            </w:r>
          </w:p>
        </w:tc>
        <w:tc>
          <w:tcPr>
            <w:tcW w:w="68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20766A3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高</w:t>
            </w:r>
          </w:p>
        </w:tc>
        <w:tc>
          <w:tcPr>
            <w:tcW w:w="64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045FF27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中</w:t>
            </w:r>
          </w:p>
        </w:tc>
        <w:tc>
          <w:tcPr>
            <w:tcW w:w="292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6495E75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数据不完整、不准确、不及时；跨系统不一致；样本偏差致对特定客群（老年、农村客户）预测不准</w:t>
            </w:r>
          </w:p>
        </w:tc>
        <w:tc>
          <w:tcPr>
            <w:tcW w:w="2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E02180E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加强数据治理与质量监控；建立质量评估体系；定期评估模型公平性与偏差；数据不足客群采用保守策略</w:t>
            </w:r>
          </w:p>
        </w:tc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FFF0EDE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数据治理与质量监控（牵头）</w:t>
            </w:r>
          </w:p>
        </w:tc>
      </w:tr>
      <w:tr w14:paraId="1D9CD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3C60BFC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模型可解释性不足</w:t>
            </w:r>
          </w:p>
        </w:tc>
        <w:tc>
          <w:tcPr>
            <w:tcW w:w="68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8152A46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中</w:t>
            </w:r>
          </w:p>
        </w:tc>
        <w:tc>
          <w:tcPr>
            <w:tcW w:w="64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5872B93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高</w:t>
            </w:r>
          </w:p>
        </w:tc>
        <w:tc>
          <w:tcPr>
            <w:tcW w:w="292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10ED65E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复杂模型决策过程难以解释，导致监管审查困难、客户投诉无法回应、内部决策无法追溯</w:t>
            </w:r>
          </w:p>
        </w:tc>
        <w:tc>
          <w:tcPr>
            <w:tcW w:w="2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6A19F23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优先选用可解释模型（线性模型、决策树、SHAP）；建立决策日志与追溯机制；高风险决策设人工复核</w:t>
            </w:r>
          </w:p>
        </w:tc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DDC5192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模型可解释性与追溯管理（牵头）；模型风险管控</w:t>
            </w:r>
          </w:p>
        </w:tc>
      </w:tr>
      <w:tr w14:paraId="3818E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E8693A4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"大数据杀熟"争议</w:t>
            </w:r>
          </w:p>
        </w:tc>
        <w:tc>
          <w:tcPr>
            <w:tcW w:w="68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77A3052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中</w:t>
            </w:r>
          </w:p>
        </w:tc>
        <w:tc>
          <w:tcPr>
            <w:tcW w:w="64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DCFF809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高</w:t>
            </w:r>
          </w:p>
        </w:tc>
        <w:tc>
          <w:tcPr>
            <w:tcW w:w="292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DF6CD4E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基于客户行为和价格敏感度差异化定价或推荐，被感知为"大数据杀熟"，引发投诉和监管处罚</w:t>
            </w:r>
          </w:p>
        </w:tc>
        <w:tc>
          <w:tcPr>
            <w:tcW w:w="2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1112E6C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建立差异化定价合规审查机制；避免对同一产品不合理差别待遇；公开定价规则与个性化逻辑；设客户申诉通道</w:t>
            </w:r>
          </w:p>
        </w:tc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5608744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定价合规审查；业务与消保协同</w:t>
            </w:r>
          </w:p>
        </w:tc>
      </w:tr>
      <w:tr w14:paraId="6ED8F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F0101F8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实施成本超预期</w:t>
            </w:r>
          </w:p>
        </w:tc>
        <w:tc>
          <w:tcPr>
            <w:tcW w:w="68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53F1BD5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高</w:t>
            </w:r>
          </w:p>
        </w:tc>
        <w:tc>
          <w:tcPr>
            <w:tcW w:w="64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1DEF27E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中</w:t>
            </w:r>
          </w:p>
        </w:tc>
        <w:tc>
          <w:tcPr>
            <w:tcW w:w="292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AA1F754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数据治理、模型开发、系统集成与持续运维投入较大</w:t>
            </w:r>
          </w:p>
        </w:tc>
        <w:tc>
          <w:tcPr>
            <w:tcW w:w="2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218BA5E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分阶段实施，先切入高价值低复杂度场景；复用现有CDP与数据平台；考虑外部厂商合作；建立ROI跟踪机制</w:t>
            </w:r>
          </w:p>
        </w:tc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2804E4F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科技与财务联合管控</w:t>
            </w:r>
          </w:p>
        </w:tc>
      </w:tr>
      <w:tr w14:paraId="3DB5E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C25BB8D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人才缺口</w:t>
            </w:r>
          </w:p>
        </w:tc>
        <w:tc>
          <w:tcPr>
            <w:tcW w:w="68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46FCBB3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高</w:t>
            </w:r>
          </w:p>
        </w:tc>
        <w:tc>
          <w:tcPr>
            <w:tcW w:w="64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B1898F2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中</w:t>
            </w:r>
          </w:p>
        </w:tc>
        <w:tc>
          <w:tcPr>
            <w:tcW w:w="292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CCD3722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需数据工程、AI建模、因果推断、行为科学、金融业务复合型人才，市场供给不足</w:t>
            </w:r>
          </w:p>
        </w:tc>
        <w:tc>
          <w:tcPr>
            <w:tcW w:w="2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D4C7AB0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内部培养与跨部门协作；与高校研究机构合作；引入外部咨询与技术服务；建立激励保留机制</w:t>
            </w:r>
          </w:p>
        </w:tc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20FEB29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人才引进与培养；科技协同</w:t>
            </w:r>
          </w:p>
        </w:tc>
      </w:tr>
      <w:tr w14:paraId="6E81C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CDB5504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客户信任与接受度</w:t>
            </w:r>
          </w:p>
        </w:tc>
        <w:tc>
          <w:tcPr>
            <w:tcW w:w="68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43486C0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中</w:t>
            </w:r>
          </w:p>
        </w:tc>
        <w:tc>
          <w:tcPr>
            <w:tcW w:w="64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12045A6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中</w:t>
            </w:r>
          </w:p>
        </w:tc>
        <w:tc>
          <w:tcPr>
            <w:tcW w:w="292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8B6D2B9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客户对银行预测其行为感到不适，认为隐私被侵犯，导致信任下降和流失</w:t>
            </w:r>
          </w:p>
        </w:tc>
        <w:tc>
          <w:tcPr>
            <w:tcW w:w="2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6E462A5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透明告知数据使用目的；提供数据使用控制权；强调用于提升服务而非监控；开展客户沟通</w:t>
            </w:r>
          </w:p>
        </w:tc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64BCB7B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客户沟通与消保协同</w:t>
            </w:r>
          </w:p>
        </w:tc>
      </w:tr>
    </w:tbl>
    <w:p w14:paraId="1FA7B14D">
      <w:pPr>
        <w:spacing w:before="0" w:after="40"/>
      </w:pPr>
    </w:p>
    <w:p w14:paraId="779B2A33">
      <w:pPr>
        <w:pStyle w:val="4"/>
        <w:spacing w:before="160" w:after="120" w:line="312" w:lineRule="auto"/>
      </w:pPr>
      <w:r>
        <w:rPr>
          <w:rFonts w:hint="eastAsia" w:ascii="Times New Roman" w:hAnsi="Times New Roman" w:eastAsia="黑体"/>
          <w:b/>
          <w:i w:val="0"/>
          <w:color w:val="1F1F1F"/>
          <w:sz w:val="25"/>
        </w:rPr>
        <w:t>（四）引入可行度评级依据</w:t>
      </w:r>
    </w:p>
    <w:p w14:paraId="1BB87BDC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 w:val="0"/>
          <w:i w:val="0"/>
          <w:sz w:val="21"/>
        </w:rPr>
        <w:t>按短板原则，引入可行度按架构/场景改造难度、合规风险、安全风险、人才门槛四项子要素分别评级，取最低分：</w:t>
      </w:r>
    </w:p>
    <w:p w14:paraId="4173D4EC">
      <w:pPr>
        <w:spacing w:before="120" w:after="60"/>
        <w:jc w:val="center"/>
      </w:pPr>
      <w:r>
        <w:rPr>
          <w:rFonts w:hint="eastAsia" w:ascii="Times New Roman" w:hAnsi="Times New Roman" w:eastAsia="黑体"/>
          <w:b/>
          <w:i w:val="0"/>
          <w:sz w:val="18"/>
        </w:rPr>
        <w:t>表17 引入可行度四子要素评级（短板原则）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78D22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58ECB9CE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子要素</w:t>
            </w:r>
          </w:p>
        </w:tc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7D4E10EC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评级</w:t>
            </w:r>
          </w:p>
        </w:tc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5D6FBE63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依据</w:t>
            </w:r>
          </w:p>
        </w:tc>
      </w:tr>
      <w:tr w14:paraId="70BE1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AFDB40D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架构/场景改造难度</w:t>
            </w:r>
          </w:p>
        </w:tc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4325B9B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2分</w:t>
            </w:r>
          </w:p>
        </w:tc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538C2E8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需构建数据底座、特征仓库、行为建模、推演引擎、决策集成等完整技术栈，与现有核心、营销、风控系统深度集成，改造成本较高；但可基于现有数据平台和CDP增量建设，非颠覆性改造</w:t>
            </w:r>
          </w:p>
        </w:tc>
      </w:tr>
      <w:tr w14:paraId="7DF1B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7A2AA7C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合规风险</w:t>
            </w:r>
          </w:p>
        </w:tc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854AA2B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2分</w:t>
            </w:r>
          </w:p>
        </w:tc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7D2A67A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涉及大量客户敏感个人信息处理，直接触及个保法、数据安全法、金发〔2026〕8号文等；但存在隐私计算、联邦学习、数据脱敏、差分隐私及非个性化选项等可行前置管控手段，且传统ML路径不受GenAI训练限制；算法推荐规定与即将施行的《金融产品网络营销管理办法》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  <w:vertAlign w:val="superscript"/>
              </w:rPr>
              <w:t>[10]</w:t>
            </w: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进一步抬高客户级差异化触达的合规设计门槛</w:t>
            </w:r>
          </w:p>
        </w:tc>
      </w:tr>
      <w:tr w14:paraId="6C5A9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914F2A1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安全风险</w:t>
            </w:r>
          </w:p>
        </w:tc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FBB5DEE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3分</w:t>
            </w:r>
          </w:p>
        </w:tc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EA85203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系统本身面临数据泄露、模型攻击等风险，但可通过现有数据安全体系管理；不涉及新增重大攻击面；总体可控</w:t>
            </w:r>
          </w:p>
        </w:tc>
      </w:tr>
      <w:tr w14:paraId="5C414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63936D2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人才门槛</w:t>
            </w:r>
          </w:p>
        </w:tc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711EF9C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2分</w:t>
            </w:r>
          </w:p>
        </w:tc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BCE9A4C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需数据工程、AI建模、因果推断、行为科学、金融业务复合型人才，市场供给严重不足；现有团队难以独立支撑建设和运营；需专项人才引进和培养</w:t>
            </w:r>
          </w:p>
        </w:tc>
      </w:tr>
    </w:tbl>
    <w:p w14:paraId="46B83613">
      <w:pPr>
        <w:spacing w:before="0" w:after="40"/>
      </w:pPr>
    </w:p>
    <w:p w14:paraId="7B66C803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 w:val="0"/>
          <w:i w:val="0"/>
          <w:sz w:val="21"/>
        </w:rPr>
        <w:t>引入可行度综合评级：2分（四项子要素最低分为2分，合规风险和人才门槛较高，需专项立项治理才可能推进）。</w:t>
      </w:r>
    </w:p>
    <w:p w14:paraId="74793C43">
      <w:pPr>
        <w:pStyle w:val="3"/>
        <w:spacing w:before="240" w:after="120" w:line="312" w:lineRule="auto"/>
      </w:pPr>
      <w:r>
        <w:rPr>
          <w:rFonts w:hint="eastAsia" w:ascii="Times New Roman" w:hAnsi="Times New Roman" w:eastAsia="黑体"/>
          <w:b/>
          <w:i w:val="0"/>
          <w:color w:val="1F1F1F"/>
          <w:sz w:val="30"/>
        </w:rPr>
        <w:t>六、市场格局与竞争生态</w:t>
      </w:r>
    </w:p>
    <w:p w14:paraId="217DCF80">
      <w:pPr>
        <w:pStyle w:val="4"/>
        <w:spacing w:before="160" w:after="120" w:line="312" w:lineRule="auto"/>
      </w:pPr>
      <w:r>
        <w:rPr>
          <w:rFonts w:hint="eastAsia" w:ascii="Times New Roman" w:hAnsi="Times New Roman" w:eastAsia="黑体"/>
          <w:b/>
          <w:i w:val="0"/>
          <w:color w:val="1F1F1F"/>
          <w:sz w:val="25"/>
        </w:rPr>
        <w:t>（一）市场规模与行业结构（Porter五力分析）</w:t>
      </w:r>
    </w:p>
    <w:p w14:paraId="74194A66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 w:val="0"/>
          <w:i w:val="0"/>
          <w:sz w:val="21"/>
        </w:rPr>
        <w:t>DToC是数字孪生市场中的一个细分领域，目前规模不大，增长潜力较大。全球数字孪生市场2025年规模约244.8亿美元，预计2026年增至339.7亿美元，长期预测到2034年可达3847.9亿美元（复合增长率35.4%）。这组数据引自第三方调研平台CleverX的汇总分析，不是Gartner、IDC等专业市场研究机构的口径，仅作量级参考</w:t>
      </w:r>
      <w:r>
        <w:rPr>
          <w:rFonts w:ascii="Times New Roman" w:hAnsi="Times New Roman" w:eastAsia="Times New Roman"/>
          <w:b w:val="0"/>
          <w:i w:val="0"/>
          <w:sz w:val="21"/>
          <w:vertAlign w:val="superscript"/>
        </w:rPr>
        <w:t>[28]</w:t>
      </w:r>
      <w:r>
        <w:rPr>
          <w:rFonts w:hint="eastAsia" w:ascii="Times New Roman" w:hAnsi="Times New Roman" w:eastAsia="宋体"/>
          <w:b w:val="0"/>
          <w:i w:val="0"/>
          <w:sz w:val="21"/>
        </w:rPr>
        <w:t>。其中客户体验数字孪生增长较快，但在整体数字孪生市场中占比仍然较小。</w:t>
      </w:r>
    </w:p>
    <w:p w14:paraId="6A5AE79E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 w:val="0"/>
          <w:i w:val="0"/>
          <w:sz w:val="21"/>
        </w:rPr>
        <w:t>关于采用率预测，需区分Gartner官方原话与第三方博客转引：Gartner官方在2025年销售技术Hype Cycle新闻稿中确认了DToC的"创新触发期"定位及定义</w:t>
      </w:r>
      <w:r>
        <w:rPr>
          <w:rFonts w:ascii="Times New Roman" w:hAnsi="Times New Roman" w:eastAsia="Times New Roman"/>
          <w:b w:val="0"/>
          <w:i w:val="0"/>
          <w:sz w:val="21"/>
          <w:vertAlign w:val="superscript"/>
        </w:rPr>
        <w:t>[1]</w:t>
      </w:r>
      <w:r>
        <w:rPr>
          <w:rFonts w:hint="eastAsia" w:ascii="Times New Roman" w:hAnsi="Times New Roman" w:eastAsia="宋体"/>
          <w:b w:val="0"/>
          <w:i w:val="0"/>
          <w:sz w:val="21"/>
        </w:rPr>
        <w:t>；"到2027年20%的B2B销售组织将实施客户数字孪生"为TD SYNNEX博客转引</w:t>
      </w:r>
      <w:r>
        <w:rPr>
          <w:rFonts w:ascii="Times New Roman" w:hAnsi="Times New Roman" w:eastAsia="Times New Roman"/>
          <w:b w:val="0"/>
          <w:i w:val="0"/>
          <w:sz w:val="21"/>
          <w:vertAlign w:val="superscript"/>
        </w:rPr>
        <w:t>[29]</w:t>
      </w:r>
      <w:r>
        <w:rPr>
          <w:rFonts w:hint="eastAsia" w:ascii="Times New Roman" w:hAnsi="Times New Roman" w:eastAsia="宋体"/>
          <w:b w:val="0"/>
          <w:i w:val="0"/>
          <w:sz w:val="21"/>
        </w:rPr>
        <w:t>，"到2027年超过40%的大型企业将在以收入为重点的项目中采用数字孪生技术"为MindInventory博客转引</w:t>
      </w:r>
      <w:r>
        <w:rPr>
          <w:rFonts w:ascii="Times New Roman" w:hAnsi="Times New Roman" w:eastAsia="Times New Roman"/>
          <w:b w:val="0"/>
          <w:i w:val="0"/>
          <w:sz w:val="21"/>
          <w:vertAlign w:val="superscript"/>
        </w:rPr>
        <w:t>[30]</w:t>
      </w:r>
      <w:r>
        <w:rPr>
          <w:rFonts w:hint="eastAsia" w:ascii="Times New Roman" w:hAnsi="Times New Roman" w:eastAsia="宋体"/>
          <w:b w:val="0"/>
          <w:i w:val="0"/>
          <w:sz w:val="21"/>
        </w:rPr>
        <w:t>。上述预测涵盖广义数字孪生，DToC作为细分领域的实际采用率可能更低。Gartner供应链调查亦显示，仅27%的首席供应链官认为DToC重要且具有颠覆性，27%正在试点或计划实施，远低于数字供应链孪生（DSCT）的60%</w:t>
      </w:r>
      <w:r>
        <w:rPr>
          <w:rFonts w:ascii="Times New Roman" w:hAnsi="Times New Roman" w:eastAsia="Times New Roman"/>
          <w:b w:val="0"/>
          <w:i w:val="0"/>
          <w:sz w:val="21"/>
          <w:vertAlign w:val="superscript"/>
        </w:rPr>
        <w:t>[31]</w:t>
      </w:r>
      <w:r>
        <w:rPr>
          <w:rFonts w:hint="eastAsia" w:ascii="Times New Roman" w:hAnsi="Times New Roman" w:eastAsia="宋体"/>
          <w:b w:val="0"/>
          <w:i w:val="0"/>
          <w:sz w:val="21"/>
        </w:rPr>
        <w:t>，表明DToC认知度和采用率仍处低位。</w:t>
      </w:r>
    </w:p>
    <w:p w14:paraId="3FE4C62F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/>
          <w:i w:val="0"/>
          <w:sz w:val="21"/>
        </w:rPr>
        <w:t>Porter五力分析。</w:t>
      </w:r>
      <w:r>
        <w:rPr>
          <w:rFonts w:hint="eastAsia" w:ascii="Times New Roman" w:hAnsi="Times New Roman" w:eastAsia="宋体"/>
          <w:b w:val="0"/>
          <w:i w:val="0"/>
          <w:sz w:val="21"/>
        </w:rPr>
        <w:t>供应商议价能力中等：技术栈以开源组件为主，锁定程度不高，但完整方案需要深度定制和行业know-how。购买者议价能力中等偏高：市场尚在早期，供给方不少但成熟方案少，买方有选择空间。潜在进入者威胁高：CDP厂商、AI营销平台、云厂商、咨询公司、大数据厂商都在加速进入。替代品威胁高：传统客户画像加CDP加推荐系统的组合可以部分实现DToC的功能，而且更成熟、成本更低，这是当前最主要的竞争威胁。行业内竞争强度中等但趋于加剧：目前参与者不多，竞争主要集中在概念和方案层面。</w:t>
      </w:r>
    </w:p>
    <w:p w14:paraId="60D83DE5">
      <w:pPr>
        <w:pStyle w:val="4"/>
        <w:spacing w:before="160" w:after="120" w:line="312" w:lineRule="auto"/>
      </w:pPr>
      <w:r>
        <w:rPr>
          <w:rFonts w:hint="eastAsia" w:ascii="Times New Roman" w:hAnsi="Times New Roman" w:eastAsia="黑体"/>
          <w:b/>
          <w:i w:val="0"/>
          <w:color w:val="1F1F1F"/>
          <w:sz w:val="25"/>
        </w:rPr>
        <w:t>（二）主要厂商/方案格局</w:t>
      </w:r>
    </w:p>
    <w:p w14:paraId="54B04F48">
      <w:pPr>
        <w:spacing w:before="120" w:after="60"/>
        <w:jc w:val="center"/>
      </w:pPr>
      <w:r>
        <w:rPr>
          <w:rFonts w:hint="eastAsia" w:ascii="Times New Roman" w:hAnsi="Times New Roman" w:eastAsia="黑体"/>
          <w:b/>
          <w:i w:val="0"/>
          <w:sz w:val="18"/>
        </w:rPr>
        <w:t>表18 主要厂商/方案格局一览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1813"/>
        <w:gridCol w:w="1813"/>
        <w:gridCol w:w="1813"/>
        <w:gridCol w:w="1813"/>
      </w:tblGrid>
      <w:tr w14:paraId="594B0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36A309CE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厂商/机构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3508D537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国别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52CF733C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DToC相关产品/方案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05FA2AD0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核心优势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5FE6B68C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金融行业适配</w:t>
            </w:r>
          </w:p>
        </w:tc>
      </w:tr>
      <w:tr w14:paraId="54992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ACB75E8">
            <w:pPr>
              <w:spacing w:after="4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Genesys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C45165F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美国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9834C76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客户体验平台＋数字孪生能力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5E6CB51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全渠道编排、AI驱动个性化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5F10676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有金融客户基础，DToC集成在CX平台中</w:t>
            </w:r>
          </w:p>
        </w:tc>
      </w:tr>
      <w:tr w14:paraId="32558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338DA9D">
            <w:pPr>
              <w:spacing w:after="4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Etiya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6029D5B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土耳其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094D799">
            <w:pPr>
              <w:spacing w:after="4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Digital Twin of Customer (DToC)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BE500BF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实时个性化、全渠道编排，获CX创新奖项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26E22A5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主要面向电信，金融适配需评估</w:t>
            </w:r>
          </w:p>
        </w:tc>
      </w:tr>
      <w:tr w14:paraId="77018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460D6DA">
            <w:pPr>
              <w:spacing w:after="4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LatentView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547030C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美国/印度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5FB9562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DToC咨询与实施服务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A19F1D6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数据分析和AI咨询专长，端到端实施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3F173CC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有金融服务业DToC咨询经验</w:t>
            </w:r>
          </w:p>
        </w:tc>
      </w:tr>
      <w:tr w14:paraId="4379E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6A8DE0B">
            <w:pPr>
              <w:spacing w:after="4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Accenture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E707216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爱尔兰/全球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848A4E0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客户数字孪生咨询方案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EF724BD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全球咨询巨头，行业资源丰富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FD02DAE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金融咨询经验深厚</w:t>
            </w:r>
          </w:p>
        </w:tc>
      </w:tr>
      <w:tr w14:paraId="7393C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898B32A">
            <w:pPr>
              <w:spacing w:after="4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Segment (Twilio)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A2D5FE2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美国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C35A7A7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客户数据平台(CDP)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533B36B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领先CDP，实时客户数据统一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723812E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可作DToC数据底座，需额外建模层</w:t>
            </w:r>
          </w:p>
        </w:tc>
      </w:tr>
      <w:tr w14:paraId="75034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BA57040">
            <w:pPr>
              <w:spacing w:after="4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Tealium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D833485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美国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648EDF7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客户数据平台(CDP)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160F744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企业级CDP，实时数据编排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530EC84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可作DToC数据层</w:t>
            </w:r>
          </w:p>
        </w:tc>
      </w:tr>
      <w:tr w14:paraId="3530D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2002999">
            <w:pPr>
              <w:spacing w:after="4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IBM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8350E5A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美国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5168A53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Watson＋数字孪生解决方案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423BF9C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AI和企业软件巨头，方案丰富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BBB659E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金融客户基础深厚，可定制化</w:t>
            </w:r>
          </w:p>
        </w:tc>
      </w:tr>
      <w:tr w14:paraId="537D0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B2AD638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奇安信/国内大数据厂商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37D9FF5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中国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6343DBA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客户数据平台＋AI营销解决方案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499F7CA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国产化、数据安全、金融深耕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03FAA3F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国内金融适配好，完整方案尚在发展</w:t>
            </w:r>
          </w:p>
        </w:tc>
      </w:tr>
      <w:tr w14:paraId="7FE87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18D14A9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银行自研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87868D6">
            <w:pPr>
              <w:spacing w:after="4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0AF901E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基于现有数据平台和AI能力自研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11B0609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数据自主可控、业务理解深入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8E5D03B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招行、工行等已有相关探索</w:t>
            </w:r>
          </w:p>
        </w:tc>
      </w:tr>
      <w:tr w14:paraId="2F277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D260A3A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Accenture（收购Percipient）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C936B32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爱尔兰/全球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928C04E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银行核心系统数字孪生（2025年1月并购）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CA67A0C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面向核心系统改造的仿真建模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  <w:vertAlign w:val="superscript"/>
              </w:rPr>
              <w:t>[20]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56506CA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属组织/系统级数字孪生，非DToC，列此作边界澄清</w:t>
            </w:r>
          </w:p>
        </w:tc>
      </w:tr>
      <w:tr w14:paraId="61709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2C09C0B">
            <w:pPr>
              <w:spacing w:after="4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Sprinklr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3955C6B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美国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6C66CED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"Digital Twins"品牌侧AI代理（2025年）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C55ACF5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自动化承接客户服务对话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  <w:vertAlign w:val="superscript"/>
              </w:rPr>
              <w:t>[19]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24F3339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模拟对象是品牌而非客户，方向与DToC相反</w:t>
            </w:r>
          </w:p>
        </w:tc>
      </w:tr>
    </w:tbl>
    <w:p w14:paraId="180B2764">
      <w:pPr>
        <w:spacing w:before="0" w:after="40"/>
      </w:pPr>
    </w:p>
    <w:p w14:paraId="67EFE008">
      <w:pPr>
        <w:spacing w:after="160" w:line="324" w:lineRule="auto"/>
        <w:ind w:firstLine="360"/>
      </w:pPr>
      <w:r>
        <w:rPr>
          <w:rFonts w:hint="eastAsia" w:ascii="Times New Roman" w:hAnsi="Times New Roman" w:eastAsia="宋体"/>
          <w:b w:val="0"/>
          <w:i w:val="0"/>
          <w:color w:val="444444"/>
          <w:sz w:val="18"/>
        </w:rPr>
        <w:t>说明：Gartner魔力象限（Magic Quadrant）针对DToC的专门报告尚未发布，须使用合法授权原图，本报告不二次绘制替代图。下方两图为基于公开信息自绘或行内研究整理，非Gartner图表。</w:t>
      </w:r>
    </w:p>
    <w:p w14:paraId="7B718F8D">
      <w:pPr>
        <w:spacing w:after="40"/>
        <w:jc w:val="center"/>
      </w:pPr>
      <w:r>
        <w:drawing>
          <wp:inline distT="0" distB="0" distL="114300" distR="114300">
            <wp:extent cx="5579745" cy="3263265"/>
            <wp:effectExtent l="0" t="0" r="1905" b="13335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63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2DF2D">
      <w:pPr>
        <w:spacing w:after="160"/>
        <w:jc w:val="center"/>
      </w:pPr>
      <w:r>
        <w:rPr>
          <w:rFonts w:hint="eastAsia" w:ascii="Times New Roman" w:hAnsi="Times New Roman" w:eastAsia="宋体"/>
          <w:b w:val="0"/>
          <w:i w:val="0"/>
          <w:color w:val="444444"/>
          <w:sz w:val="18"/>
        </w:rPr>
        <w:t>图3 DToC生态位与产业链图谱（基于行内研究整理，仅供内部参考）</w:t>
      </w:r>
    </w:p>
    <w:p w14:paraId="519742F5">
      <w:pPr>
        <w:spacing w:after="40"/>
        <w:jc w:val="center"/>
      </w:pPr>
      <w:r>
        <w:drawing>
          <wp:inline distT="0" distB="0" distL="114300" distR="114300">
            <wp:extent cx="5579745" cy="3949065"/>
            <wp:effectExtent l="0" t="0" r="1905" b="13335"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49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88955">
      <w:pPr>
        <w:spacing w:after="160"/>
        <w:jc w:val="center"/>
      </w:pPr>
      <w:r>
        <w:rPr>
          <w:rFonts w:hint="eastAsia" w:ascii="Times New Roman" w:hAnsi="Times New Roman" w:eastAsia="宋体"/>
          <w:b w:val="0"/>
          <w:i w:val="0"/>
          <w:color w:val="444444"/>
          <w:sz w:val="18"/>
        </w:rPr>
        <w:t>图4 DToC厂商格局定位图（基于公开信息自绘，非Gartner魔力象限）</w:t>
      </w:r>
    </w:p>
    <w:p w14:paraId="778EDBBF">
      <w:pPr>
        <w:pStyle w:val="4"/>
        <w:spacing w:before="160" w:after="120" w:line="312" w:lineRule="auto"/>
      </w:pPr>
      <w:r>
        <w:rPr>
          <w:rFonts w:hint="eastAsia" w:ascii="Times New Roman" w:hAnsi="Times New Roman" w:eastAsia="黑体"/>
          <w:b/>
          <w:i w:val="0"/>
          <w:color w:val="1F1F1F"/>
          <w:sz w:val="25"/>
        </w:rPr>
        <w:t>（三）生态开放度评级依据</w:t>
      </w:r>
    </w:p>
    <w:p w14:paraId="562400BE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 w:val="0"/>
          <w:i w:val="0"/>
          <w:sz w:val="21"/>
        </w:rPr>
        <w:t>生态开放度考察的是厂商集中度和可替代路径，回答"会不会被单一厂商锁定"。撰写规范要求从开源与标准程度、供应商竞争格局、国产化适配、替代方案成本四个子维度评估。本报告对DToC的生态开放度评为3分，即主流开放标准与专有方案并存、存在中等成本的替代路径。依据如下：</w:t>
      </w:r>
    </w:p>
    <w:p w14:paraId="375FDAD4">
      <w:pPr>
        <w:spacing w:before="120" w:after="60"/>
        <w:jc w:val="center"/>
      </w:pPr>
      <w:r>
        <w:rPr>
          <w:rFonts w:hint="eastAsia" w:ascii="Times New Roman" w:hAnsi="Times New Roman" w:eastAsia="黑体"/>
          <w:b/>
          <w:i w:val="0"/>
          <w:sz w:val="18"/>
        </w:rPr>
        <w:t>表19 生态开放度评级依据（评级：3分）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1B58B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6BBD13C4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子维度</w:t>
            </w:r>
          </w:p>
        </w:tc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47CEF8B0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现状事实</w:t>
            </w:r>
          </w:p>
        </w:tc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4DF32056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指向</w:t>
            </w:r>
          </w:p>
        </w:tc>
      </w:tr>
      <w:tr w14:paraId="564FB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DEB80E0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开源与标准</w:t>
            </w:r>
          </w:p>
        </w:tc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566A31F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核心栈由Kafka、Flink、Spark、MLflow、Feast等主流开源组件构成</w:t>
            </w:r>
          </w:p>
        </w:tc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B2B3179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不存在不可替代的专有技术锁定</w:t>
            </w:r>
          </w:p>
        </w:tc>
      </w:tr>
      <w:tr w14:paraId="4C1C1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F3F9B00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供应商格局</w:t>
            </w:r>
          </w:p>
        </w:tc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C7AA27E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市场未形成寡头垄断，CDP厂商/AI营销平台/云厂商/咨询公司多路供给并存</w:t>
            </w:r>
          </w:p>
        </w:tc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860F811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买方具备议价与替换空间</w:t>
            </w:r>
          </w:p>
        </w:tc>
      </w:tr>
      <w:tr w14:paraId="48B2D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881FAAB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国产化适配</w:t>
            </w:r>
          </w:p>
        </w:tc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BF6175A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国内大数据厂商与银行自研方案均可承接核心栈</w:t>
            </w:r>
          </w:p>
        </w:tc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F95CCA9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信创环境可行</w:t>
            </w:r>
          </w:p>
        </w:tc>
      </w:tr>
      <w:tr w14:paraId="46D66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B6C125C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替代方案成本</w:t>
            </w:r>
          </w:p>
        </w:tc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F1939DD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传统画像＋CDP＋推荐系统的组合功能部分等效且更成熟、更低成本</w:t>
            </w:r>
          </w:p>
        </w:tc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571F053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存在中等成本替代路径，本维度封顶于3分档</w:t>
            </w:r>
          </w:p>
        </w:tc>
      </w:tr>
    </w:tbl>
    <w:p w14:paraId="3B0D19B0">
      <w:pPr>
        <w:spacing w:before="0" w:after="40"/>
      </w:pPr>
    </w:p>
    <w:p w14:paraId="45E4011C">
      <w:pPr>
        <w:pStyle w:val="3"/>
        <w:spacing w:before="240" w:after="120" w:line="312" w:lineRule="auto"/>
      </w:pPr>
      <w:r>
        <w:rPr>
          <w:rFonts w:hint="eastAsia" w:ascii="Times New Roman" w:hAnsi="Times New Roman" w:eastAsia="黑体"/>
          <w:b/>
          <w:i w:val="0"/>
          <w:color w:val="1F1F1F"/>
          <w:sz w:val="30"/>
        </w:rPr>
        <w:t>七、战略定位与匹配度</w:t>
      </w:r>
    </w:p>
    <w:p w14:paraId="22E45065">
      <w:pPr>
        <w:pStyle w:val="4"/>
        <w:spacing w:before="160" w:after="120" w:line="312" w:lineRule="auto"/>
      </w:pPr>
      <w:r>
        <w:rPr>
          <w:rFonts w:hint="eastAsia" w:ascii="Times New Roman" w:hAnsi="Times New Roman" w:eastAsia="黑体"/>
          <w:b/>
          <w:i w:val="0"/>
          <w:color w:val="1F1F1F"/>
          <w:sz w:val="25"/>
        </w:rPr>
        <w:t>（一）与浦发银行战略的关系</w:t>
      </w:r>
    </w:p>
    <w:p w14:paraId="5FF0BEF6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/>
          <w:i w:val="0"/>
          <w:sz w:val="21"/>
        </w:rPr>
        <w:t>命中"数智化"战略下的"客户经营"体系。</w:t>
      </w:r>
      <w:r>
        <w:rPr>
          <w:rFonts w:hint="eastAsia" w:ascii="Times New Roman" w:hAnsi="Times New Roman" w:eastAsia="宋体"/>
          <w:b w:val="0"/>
          <w:i w:val="0"/>
          <w:sz w:val="21"/>
        </w:rPr>
        <w:t>本行2025年年度报告明确，以数智贯通"客户经营、数据管理、智能运营、产品创新、风险管理"五大体系</w:t>
      </w:r>
      <w:r>
        <w:rPr>
          <w:rFonts w:ascii="Times New Roman" w:hAnsi="Times New Roman" w:eastAsia="Times New Roman"/>
          <w:b w:val="0"/>
          <w:i w:val="0"/>
          <w:sz w:val="21"/>
          <w:vertAlign w:val="superscript"/>
        </w:rPr>
        <w:t>[32]</w:t>
      </w:r>
      <w:r>
        <w:rPr>
          <w:rFonts w:hint="eastAsia" w:ascii="Times New Roman" w:hAnsi="Times New Roman" w:eastAsia="宋体"/>
          <w:b w:val="0"/>
          <w:i w:val="0"/>
          <w:sz w:val="21"/>
        </w:rPr>
        <w:t>，其中"客户经营"位列五大体系之首；同时提出"推进客户经营与一体化服务融合""践行一个客户、多款产品、一站式科技服务理念，提升全周期服务体验"</w:t>
      </w:r>
      <w:r>
        <w:rPr>
          <w:rFonts w:ascii="Times New Roman" w:hAnsi="Times New Roman" w:eastAsia="Times New Roman"/>
          <w:b w:val="0"/>
          <w:i w:val="0"/>
          <w:sz w:val="21"/>
          <w:vertAlign w:val="superscript"/>
        </w:rPr>
        <w:t>[32]</w:t>
      </w:r>
      <w:r>
        <w:rPr>
          <w:rFonts w:hint="eastAsia" w:ascii="Times New Roman" w:hAnsi="Times New Roman" w:eastAsia="宋体"/>
          <w:b w:val="0"/>
          <w:i w:val="0"/>
          <w:sz w:val="21"/>
        </w:rPr>
        <w:t>。DToC正是客户经营体系从"描述—预测"向"推演"进阶的技术路径，与上述战略表述方向一致。</w:t>
      </w:r>
    </w:p>
    <w:p w14:paraId="4FA68DBF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/>
          <w:i w:val="0"/>
          <w:sz w:val="21"/>
        </w:rPr>
        <w:t>落入已规模化落地的"数智营销"领域，属能力深化而非开辟新战线。</w:t>
      </w:r>
      <w:r>
        <w:rPr>
          <w:rFonts w:hint="eastAsia" w:ascii="Times New Roman" w:hAnsi="Times New Roman" w:eastAsia="宋体"/>
          <w:b w:val="0"/>
          <w:i w:val="0"/>
          <w:sz w:val="21"/>
        </w:rPr>
        <w:t>本行2025年在智慧营销、智慧经营、高效运营、数智风控、智能管理五大领域落地超200个人工智能场景；2026年上半年累计推进超440个AI应用建设，覆盖数智营销、数智生态、数智运营、数智风控、数智管理五大领域</w:t>
      </w:r>
      <w:r>
        <w:rPr>
          <w:rFonts w:ascii="Times New Roman" w:hAnsi="Times New Roman" w:eastAsia="Times New Roman"/>
          <w:b w:val="0"/>
          <w:i w:val="0"/>
          <w:sz w:val="21"/>
          <w:vertAlign w:val="superscript"/>
        </w:rPr>
        <w:t>[32][33]</w:t>
      </w:r>
      <w:r>
        <w:rPr>
          <w:rFonts w:hint="eastAsia" w:ascii="Times New Roman" w:hAnsi="Times New Roman" w:eastAsia="宋体"/>
          <w:b w:val="0"/>
          <w:i w:val="0"/>
          <w:sz w:val="21"/>
        </w:rPr>
        <w:t>。这说明营销智能化在本行已有基础，DToC不是另开一条战线，而是把现有营销AI从"预测谁会买"推进到"算清增量、优化投放"。这也解释了为什么容易产生"银行好像已经做了"的印象：已经做的是预测层，还没做的是推演层。</w:t>
      </w:r>
    </w:p>
    <w:p w14:paraId="67E20B67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/>
          <w:i w:val="0"/>
          <w:sz w:val="21"/>
        </w:rPr>
        <w:t>与本行AI旗舰路径的关系：命中但非点名旗舰。</w:t>
      </w:r>
      <w:r>
        <w:rPr>
          <w:rFonts w:hint="eastAsia" w:ascii="Times New Roman" w:hAnsi="Times New Roman" w:eastAsia="宋体"/>
          <w:b w:val="0"/>
          <w:i w:val="0"/>
          <w:sz w:val="21"/>
        </w:rPr>
        <w:t>本行发布《人工智能实施行动计划（2026）》，将AI能力建设提升至战略核心地位，明确提出"打造金融垂类大模型与智能体"</w:t>
      </w:r>
      <w:r>
        <w:rPr>
          <w:rFonts w:ascii="Times New Roman" w:hAnsi="Times New Roman" w:eastAsia="Times New Roman"/>
          <w:b w:val="0"/>
          <w:i w:val="0"/>
          <w:sz w:val="21"/>
          <w:vertAlign w:val="superscript"/>
        </w:rPr>
        <w:t>[32]</w:t>
      </w:r>
      <w:r>
        <w:rPr>
          <w:rFonts w:hint="eastAsia" w:ascii="Times New Roman" w:hAnsi="Times New Roman" w:eastAsia="宋体"/>
          <w:b w:val="0"/>
          <w:i w:val="0"/>
          <w:sz w:val="21"/>
        </w:rPr>
        <w:t>；2026年上半年发布"浦银智启"大模型服务矩阵，完成GLM5.1与DeepSeek-V4的部署应用，打造表单识别、财务分析、行业分析三大标杆金融垂类大模型</w:t>
      </w:r>
      <w:r>
        <w:rPr>
          <w:rFonts w:ascii="Times New Roman" w:hAnsi="Times New Roman" w:eastAsia="Times New Roman"/>
          <w:b w:val="0"/>
          <w:i w:val="0"/>
          <w:sz w:val="21"/>
          <w:vertAlign w:val="superscript"/>
        </w:rPr>
        <w:t>[33]</w:t>
      </w:r>
      <w:r>
        <w:rPr>
          <w:rFonts w:hint="eastAsia" w:ascii="Times New Roman" w:hAnsi="Times New Roman" w:eastAsia="宋体"/>
          <w:b w:val="0"/>
          <w:i w:val="0"/>
          <w:sz w:val="21"/>
        </w:rPr>
        <w:t>。可见本行AI战略点名的旗舰路径是垂类大模型与智能体，DToC未被点名，属"客户经营/数智营销"方向下的技术路径之一。这一点构成本维度评3分而非4分的核心依据，详见本章第（四）节。</w:t>
      </w:r>
    </w:p>
    <w:p w14:paraId="17EB8658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/>
          <w:i w:val="0"/>
          <w:sz w:val="21"/>
        </w:rPr>
        <w:t>与当前客户画像痛点解决的协同。</w:t>
      </w:r>
      <w:r>
        <w:rPr>
          <w:rFonts w:hint="eastAsia" w:ascii="Times New Roman" w:hAnsi="Times New Roman" w:eastAsia="宋体"/>
          <w:b w:val="0"/>
          <w:i w:val="0"/>
          <w:sz w:val="21"/>
        </w:rPr>
        <w:t>DToC的五路能力建设与第二章列举的六类画像痛点一一对应，所以DToC建设不是另起炉灶，而是在解决现有痛点的过程中，逐步积累朝DToC方向演进的能力。这一点不影响分值，但说明这项研究当下就有价值，可以据此排期。</w:t>
      </w:r>
    </w:p>
    <w:p w14:paraId="6E090064">
      <w:pPr>
        <w:pStyle w:val="4"/>
        <w:spacing w:before="160" w:after="120" w:line="312" w:lineRule="auto"/>
      </w:pPr>
      <w:r>
        <w:rPr>
          <w:rFonts w:hint="eastAsia" w:ascii="Times New Roman" w:hAnsi="Times New Roman" w:eastAsia="黑体"/>
          <w:b/>
          <w:i w:val="0"/>
          <w:color w:val="1F1F1F"/>
          <w:sz w:val="25"/>
        </w:rPr>
        <w:t>（二）与企业架构的关系</w:t>
      </w:r>
    </w:p>
    <w:p w14:paraId="00B62F10">
      <w:pPr>
        <w:spacing w:after="120" w:line="336" w:lineRule="auto"/>
        <w:ind w:firstLine="420"/>
        <w:rPr>
          <w:rFonts w:hint="default"/>
          <w:b w:val="0"/>
          <w:sz w:val="21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D</w:t>
      </w:r>
      <w:r>
        <w:rPr>
          <w:rFonts w:hint="eastAsia" w:ascii="Times New Roman" w:hAnsi="Times New Roman" w:eastAsia="Times New Roman"/>
          <w:b w:val="0"/>
          <w:sz w:val="21"/>
        </w:rPr>
        <w:t>ToC 作为客户经营智能化专项，不独立建设全套业务、数据、风控底座，建设全流程纳入浦发 5A4S 企业级架构管控</w:t>
      </w:r>
      <w:r>
        <w:rPr>
          <w:rFonts w:hint="eastAsia"/>
          <w:b w:val="0"/>
          <w:sz w:val="21"/>
          <w:lang w:eastAsia="zh-CN"/>
        </w:rPr>
        <w:t>，</w:t>
      </w:r>
      <w:r>
        <w:rPr>
          <w:rFonts w:hint="eastAsia"/>
          <w:b w:val="0"/>
          <w:sz w:val="21"/>
          <w:lang w:val="en-US" w:eastAsia="zh-CN"/>
        </w:rPr>
        <w:t>融入</w:t>
      </w:r>
      <w:r>
        <w:rPr>
          <w:rFonts w:hint="eastAsia" w:ascii="宋体" w:hAnsi="宋体" w:eastAsia="宋体" w:cs="宋体"/>
          <w:sz w:val="24"/>
          <w:szCs w:val="24"/>
        </w:rPr>
        <w:t>十大业务能力中心的企业级共享能力</w:t>
      </w:r>
      <w:r>
        <w:rPr>
          <w:rFonts w:hint="eastAsia" w:ascii="宋体" w:hAnsi="宋体" w:cs="宋体"/>
          <w:sz w:val="24"/>
          <w:szCs w:val="24"/>
          <w:lang w:eastAsia="zh-CN"/>
        </w:rPr>
        <w:t>。</w:t>
      </w:r>
      <w:r>
        <w:rPr>
          <w:rFonts w:ascii="Times New Roman" w:hAnsi="Times New Roman" w:eastAsia="Times New Roman"/>
          <w:b w:val="0"/>
          <w:sz w:val="21"/>
        </w:rPr>
        <w:t xml:space="preserve"> DToC</w:t>
      </w:r>
      <w:r>
        <w:rPr>
          <w:rFonts w:hint="eastAsia"/>
          <w:b w:val="0"/>
          <w:sz w:val="21"/>
          <w:lang w:val="en-US" w:eastAsia="zh-CN"/>
        </w:rPr>
        <w:t>主要涉及客户经营中心、数智能力中心。</w:t>
      </w:r>
    </w:p>
    <w:p w14:paraId="35E258CD">
      <w:pPr>
        <w:spacing w:after="120" w:line="336" w:lineRule="auto"/>
        <w:ind w:firstLine="420"/>
        <w:rPr>
          <w:rFonts w:hint="eastAsia"/>
          <w:b w:val="0"/>
          <w:sz w:val="21"/>
          <w:lang w:val="en-US" w:eastAsia="zh-CN"/>
        </w:rPr>
      </w:pPr>
    </w:p>
    <w:p w14:paraId="40AE7151">
      <w:pPr>
        <w:pStyle w:val="4"/>
        <w:spacing w:before="160" w:after="120" w:line="312" w:lineRule="auto"/>
      </w:pPr>
      <w:r>
        <w:rPr>
          <w:rFonts w:hint="eastAsia" w:ascii="Times New Roman" w:hAnsi="Times New Roman" w:eastAsia="黑体"/>
          <w:b/>
          <w:i w:val="0"/>
          <w:color w:val="1F1F1F"/>
          <w:sz w:val="25"/>
        </w:rPr>
        <w:t>（三）SWOT分析</w:t>
      </w:r>
    </w:p>
    <w:p w14:paraId="5AEA8A12">
      <w:pPr>
        <w:spacing w:before="120" w:after="60"/>
        <w:jc w:val="center"/>
      </w:pPr>
      <w:r>
        <w:rPr>
          <w:rFonts w:hint="eastAsia" w:ascii="Times New Roman" w:hAnsi="Times New Roman" w:eastAsia="黑体"/>
          <w:b/>
          <w:i w:val="0"/>
          <w:sz w:val="18"/>
        </w:rPr>
        <w:t>表20 SWOT分析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3"/>
        <w:gridCol w:w="7233"/>
      </w:tblGrid>
      <w:tr w14:paraId="120D7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4B63BC17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维度</w:t>
            </w:r>
          </w:p>
        </w:tc>
        <w:tc>
          <w:tcPr>
            <w:tcW w:w="72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0A3170A4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内容</w:t>
            </w:r>
          </w:p>
        </w:tc>
      </w:tr>
      <w:tr w14:paraId="630ED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0AF18AF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优势（S）</w:t>
            </w:r>
          </w:p>
        </w:tc>
        <w:tc>
          <w:tcPr>
            <w:tcW w:w="72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2230F92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1. 客户数据资产丰富，管理个人AUM余额（含市值）2026年上半年末达50,051.26亿元、较上年末增长7.30%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  <w:vertAlign w:val="superscript"/>
              </w:rPr>
              <w:t>[33]</w:t>
            </w: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；2. 数智化战略明确，"客户经营"位列数智贯通五大体系之首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  <w:vertAlign w:val="superscript"/>
              </w:rPr>
              <w:t>[32]</w:t>
            </w: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；3. 已有智慧营销规模化AI落地基础（2025年超200个场景、2026年上半年超440个应用）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  <w:vertAlign w:val="superscript"/>
              </w:rPr>
              <w:t>[32][33]</w:t>
            </w: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，可增量建设；4. 已建成5A4S企业级架构与国产千卡算力集群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  <w:vertAlign w:val="superscript"/>
              </w:rPr>
              <w:t>[32]</w:t>
            </w: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；5. 五路能力同步解决当前画像痛点，建设有当下价值</w:t>
            </w:r>
          </w:p>
        </w:tc>
      </w:tr>
      <w:tr w14:paraId="54F5B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8C21CF1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劣势（W）</w:t>
            </w:r>
          </w:p>
        </w:tc>
        <w:tc>
          <w:tcPr>
            <w:tcW w:w="72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F847ECF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1. DToC技术成熟度低，缺乏标准化方法论和成熟产品；2. 隐私合规风险高；3. 复合型人才（数据工程＋AI建模＋因果推断＋行为科学＋金融业务）不足；4. 干预事件数据未系统化记录，而这是因果推断的核心必要条件；5. 实施成本高、周期长，ROI不确定性大</w:t>
            </w:r>
          </w:p>
        </w:tc>
      </w:tr>
      <w:tr w14:paraId="60E66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59BEBF9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机会（O）</w:t>
            </w:r>
          </w:p>
        </w:tc>
        <w:tc>
          <w:tcPr>
            <w:tcW w:w="72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718943F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1. 2026年为本行数智化战略"全面深化年"，AI能力建设已提升至战略核心地位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  <w:vertAlign w:val="superscript"/>
              </w:rPr>
              <w:t>[32]</w:t>
            </w: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；2. 客户体验竞争加剧，超个性化成为差异化方向；3. 隐私计算技术（联邦学习、差分隐私、合成数据）提供合规路径；4. 同业尚未规模化部署，先行探索可建立先发优势；5. Uplift/因果推断技术本身成熟，互联网行业已验证</w:t>
            </w:r>
          </w:p>
        </w:tc>
      </w:tr>
      <w:tr w14:paraId="262E0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435D7C6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威胁（T）</w:t>
            </w:r>
          </w:p>
        </w:tc>
        <w:tc>
          <w:tcPr>
            <w:tcW w:w="72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CE792C9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1. 隐私监管趋严，算法推荐规定与2026年9月30日施行的《金融产品网络营销管理办法》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  <w:vertAlign w:val="superscript"/>
              </w:rPr>
              <w:t>[8][10]</w:t>
            </w: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抬高个性化触达合规门槛；2. 客户对数据隐私关注度提升；3. 传统CDP＋推荐系统替代方案可满足大部分需求，延迟DToC决策；4. 本行AI资源已重点投向垂类大模型与智能体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  <w:vertAlign w:val="superscript"/>
              </w:rPr>
              <w:t>[32][33]</w:t>
            </w: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，DToC面临内部资源竞争；5. "大数据杀熟"负面舆情风险</w:t>
            </w:r>
          </w:p>
        </w:tc>
      </w:tr>
    </w:tbl>
    <w:p w14:paraId="39904BBC">
      <w:pPr>
        <w:spacing w:before="0" w:after="40"/>
      </w:pPr>
    </w:p>
    <w:p w14:paraId="341E317A">
      <w:pPr>
        <w:pStyle w:val="4"/>
        <w:spacing w:before="160" w:after="120" w:line="312" w:lineRule="auto"/>
      </w:pPr>
      <w:r>
        <w:rPr>
          <w:rFonts w:hint="eastAsia" w:ascii="Times New Roman" w:hAnsi="Times New Roman" w:eastAsia="黑体"/>
          <w:b/>
          <w:i w:val="0"/>
          <w:color w:val="1F1F1F"/>
          <w:sz w:val="25"/>
        </w:rPr>
        <w:t>（四）战略匹配度评级依据</w:t>
      </w:r>
    </w:p>
    <w:p w14:paraId="7BDB33CA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 w:val="0"/>
          <w:i w:val="0"/>
          <w:sz w:val="21"/>
        </w:rPr>
        <w:t>综合以上，战略匹配度评为3分，即命中战略方向清单中的1项，属该方向下的技术路径之一。需要说明的是，与现有画像痛点的协同不改变分值，但它说明这项研究现在做就有现实意义，可以据此排期。</w:t>
      </w:r>
    </w:p>
    <w:p w14:paraId="648DB215">
      <w:pPr>
        <w:spacing w:before="120" w:after="60"/>
        <w:jc w:val="center"/>
      </w:pPr>
      <w:r>
        <w:rPr>
          <w:rFonts w:hint="eastAsia" w:ascii="Times New Roman" w:hAnsi="Times New Roman" w:eastAsia="黑体"/>
          <w:b/>
          <w:i w:val="0"/>
          <w:sz w:val="18"/>
        </w:rPr>
        <w:t>表21 战略匹配度评级依据（评级：3分）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15233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7E91301B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判定项</w:t>
            </w:r>
          </w:p>
        </w:tc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48E7B33D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要点</w:t>
            </w:r>
          </w:p>
        </w:tc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40E205DC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对分值的影响</w:t>
            </w:r>
          </w:p>
        </w:tc>
      </w:tr>
      <w:tr w14:paraId="137F6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35A6799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战略方向命中</w:t>
            </w:r>
          </w:p>
        </w:tc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2FA2AD2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命中本行"数智化"战略下"客户经营"体系与"数智营销"领域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  <w:vertAlign w:val="superscript"/>
              </w:rPr>
              <w:t>[32][33]</w:t>
            </w: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，属该方向下的技术路径之一</w:t>
            </w:r>
          </w:p>
        </w:tc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ABB090A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满足3分档的基本判据</w:t>
            </w:r>
          </w:p>
        </w:tc>
      </w:tr>
      <w:tr w14:paraId="0067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D87864B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非旗舰的原因</w:t>
            </w:r>
          </w:p>
        </w:tc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F9E626D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本行《人工智能实施行动计划（2026）》点名的AI旗舰路径为"金融垂类大模型与智能体"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  <w:vertAlign w:val="superscript"/>
              </w:rPr>
              <w:t>[32]</w:t>
            </w: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，DToC未被点名；同方向下另有并列技术路径</w:t>
            </w:r>
          </w:p>
        </w:tc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655136D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不足以评4分及以上</w:t>
            </w:r>
          </w:p>
        </w:tc>
      </w:tr>
      <w:tr w14:paraId="19DF3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E7D033E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其他战略协同</w:t>
            </w:r>
          </w:p>
        </w:tc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CCD0570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与AI战略、数据战略存在协同，但非其核心方向</w:t>
            </w:r>
          </w:p>
        </w:tc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461A4A1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不产生升档效应</w:t>
            </w:r>
          </w:p>
        </w:tc>
      </w:tr>
      <w:tr w14:paraId="1DBEB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CF957E2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现实加分项</w:t>
            </w:r>
          </w:p>
        </w:tc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9FF59BA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五路能力建设同步解决第二章所述六类现存画像痛点</w:t>
            </w:r>
          </w:p>
        </w:tc>
        <w:tc>
          <w:tcPr>
            <w:tcW w:w="302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A788158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支撑"研究层"内排期的现实理由</w:t>
            </w:r>
          </w:p>
        </w:tc>
      </w:tr>
    </w:tbl>
    <w:p w14:paraId="252F7775">
      <w:pPr>
        <w:spacing w:before="0" w:after="40"/>
      </w:pPr>
    </w:p>
    <w:p w14:paraId="187E1B30">
      <w:pPr>
        <w:pStyle w:val="3"/>
        <w:spacing w:before="240" w:after="120" w:line="312" w:lineRule="auto"/>
      </w:pPr>
      <w:r>
        <w:rPr>
          <w:rFonts w:hint="eastAsia" w:ascii="Times New Roman" w:hAnsi="Times New Roman" w:eastAsia="黑体"/>
          <w:b/>
          <w:i w:val="0"/>
          <w:color w:val="1F1F1F"/>
          <w:sz w:val="30"/>
        </w:rPr>
        <w:t>八、综合评估结论</w:t>
      </w:r>
    </w:p>
    <w:p w14:paraId="669BBFE4">
      <w:pPr>
        <w:pStyle w:val="4"/>
        <w:spacing w:before="160" w:after="120" w:line="312" w:lineRule="auto"/>
      </w:pPr>
      <w:r>
        <w:rPr>
          <w:rFonts w:hint="eastAsia" w:ascii="Times New Roman" w:hAnsi="Times New Roman" w:eastAsia="黑体"/>
          <w:b/>
          <w:i w:val="0"/>
          <w:color w:val="1F1F1F"/>
          <w:sz w:val="25"/>
        </w:rPr>
        <w:t>（一）六维评级汇总</w:t>
      </w:r>
    </w:p>
    <w:p w14:paraId="18B94AFA">
      <w:pPr>
        <w:spacing w:before="120" w:after="60"/>
        <w:jc w:val="center"/>
      </w:pPr>
      <w:r>
        <w:rPr>
          <w:rFonts w:hint="eastAsia" w:ascii="Times New Roman" w:hAnsi="Times New Roman" w:eastAsia="黑体"/>
          <w:b/>
          <w:i w:val="0"/>
          <w:sz w:val="18"/>
        </w:rPr>
        <w:t>表22 六维评级汇总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4"/>
        <w:gridCol w:w="1179"/>
        <w:gridCol w:w="5743"/>
      </w:tblGrid>
      <w:tr w14:paraId="393E9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12BC460B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评估维度</w:t>
            </w:r>
          </w:p>
        </w:tc>
        <w:tc>
          <w:tcPr>
            <w:tcW w:w="11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1E4B61E9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分值</w:t>
            </w:r>
          </w:p>
        </w:tc>
        <w:tc>
          <w:tcPr>
            <w:tcW w:w="574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3D9945C9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评级依据（一句话）</w:t>
            </w:r>
          </w:p>
        </w:tc>
      </w:tr>
      <w:tr w14:paraId="75171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D5973FD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技术成熟度</w:t>
            </w:r>
          </w:p>
        </w:tc>
        <w:tc>
          <w:tcPr>
            <w:tcW w:w="11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AEA41B0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2分</w:t>
            </w:r>
          </w:p>
        </w:tc>
        <w:tc>
          <w:tcPr>
            <w:tcW w:w="574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677ADEE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Gartner列为创新触发期，TRL 3—4级，个别实验性验证，缺乏成熟产品和标准化方法论；但Uplift/因果推断组件技术成熟（评分口径见第三章第（六）节）</w:t>
            </w:r>
          </w:p>
        </w:tc>
      </w:tr>
      <w:tr w14:paraId="45D4F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DB1FD38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战略匹配度</w:t>
            </w:r>
          </w:p>
        </w:tc>
        <w:tc>
          <w:tcPr>
            <w:tcW w:w="11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8AD8379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3分</w:t>
            </w:r>
          </w:p>
        </w:tc>
        <w:tc>
          <w:tcPr>
            <w:tcW w:w="574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DD5C7AE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命中本行"客户经营/数智营销"方向，但AI旗舰路径为垂类大模型与智能体，DToC非点名旗舰</w:t>
            </w:r>
          </w:p>
        </w:tc>
      </w:tr>
      <w:tr w14:paraId="3C69B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136581A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价值贡献度</w:t>
            </w:r>
          </w:p>
        </w:tc>
        <w:tc>
          <w:tcPr>
            <w:tcW w:w="11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0989615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3分</w:t>
            </w:r>
          </w:p>
        </w:tc>
        <w:tc>
          <w:tcPr>
            <w:tcW w:w="574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D805B31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推演能力可提升营销效率，但依据为示意测算而非实测，审慎取3分（理论可评4分）、POC实测后复评</w:t>
            </w:r>
          </w:p>
        </w:tc>
      </w:tr>
      <w:tr w14:paraId="3E2E5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C009458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引入可行度</w:t>
            </w:r>
          </w:p>
        </w:tc>
        <w:tc>
          <w:tcPr>
            <w:tcW w:w="11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1908403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2分</w:t>
            </w:r>
          </w:p>
        </w:tc>
        <w:tc>
          <w:tcPr>
            <w:tcW w:w="574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0641712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合规风险与人才门槛较高，但传统ML路径不受GenAI限制，存在隐私计算等前置管控手段</w:t>
            </w:r>
          </w:p>
        </w:tc>
      </w:tr>
      <w:tr w14:paraId="5645F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0F487F4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战略紧迫度</w:t>
            </w:r>
          </w:p>
        </w:tc>
        <w:tc>
          <w:tcPr>
            <w:tcW w:w="11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B8923F0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3分</w:t>
            </w:r>
          </w:p>
        </w:tc>
        <w:tc>
          <w:tcPr>
            <w:tcW w:w="574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9064CB5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3—5年关键窗口，互联网行业已验证推演能力、银行业空白，但无明确监管强制采用时限</w:t>
            </w:r>
          </w:p>
        </w:tc>
      </w:tr>
      <w:tr w14:paraId="14471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E8499CA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生态开放度</w:t>
            </w:r>
          </w:p>
        </w:tc>
        <w:tc>
          <w:tcPr>
            <w:tcW w:w="11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D60DE02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3分</w:t>
            </w:r>
          </w:p>
        </w:tc>
        <w:tc>
          <w:tcPr>
            <w:tcW w:w="574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A8AEADC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技术栈以开源为主，多厂商可选，存在中等成本替代路径，国产化路径清晰</w:t>
            </w:r>
          </w:p>
        </w:tc>
      </w:tr>
    </w:tbl>
    <w:p w14:paraId="32B46CBE">
      <w:pPr>
        <w:spacing w:before="0" w:after="40"/>
      </w:pPr>
    </w:p>
    <w:p w14:paraId="7083A6F4">
      <w:pPr>
        <w:spacing w:after="40"/>
        <w:jc w:val="center"/>
      </w:pPr>
      <w:r>
        <w:drawing>
          <wp:inline distT="0" distB="0" distL="114300" distR="114300">
            <wp:extent cx="5579745" cy="4277995"/>
            <wp:effectExtent l="0" t="0" r="1905" b="8255"/>
            <wp:docPr id="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DA8E4">
      <w:pPr>
        <w:spacing w:after="160"/>
        <w:jc w:val="center"/>
      </w:pPr>
      <w:r>
        <w:rPr>
          <w:rFonts w:hint="eastAsia" w:ascii="Times New Roman" w:hAnsi="Times New Roman" w:eastAsia="宋体"/>
          <w:b w:val="0"/>
          <w:i w:val="0"/>
          <w:color w:val="444444"/>
          <w:sz w:val="18"/>
        </w:rPr>
        <w:t>图5 DToC六维评估雷达图（自绘）</w:t>
      </w:r>
    </w:p>
    <w:p w14:paraId="70075E50">
      <w:pPr>
        <w:spacing w:after="160" w:line="324" w:lineRule="auto"/>
        <w:ind w:firstLine="360"/>
      </w:pPr>
      <w:r>
        <w:rPr>
          <w:rFonts w:hint="eastAsia" w:ascii="Times New Roman" w:hAnsi="Times New Roman" w:eastAsia="宋体"/>
          <w:b w:val="0"/>
          <w:i w:val="0"/>
          <w:color w:val="444444"/>
          <w:sz w:val="18"/>
        </w:rPr>
        <w:t>注：雷达图六个顶点自正上方起顺时针依次为技术成熟度、战略匹配度、价值贡献度、引入可行度、战略紧迫度、生态开放度；各顶点旁数字为对应得分（1—5分制）。六维分值不做加权求和，综合结论按"处置档位映射规则"的组合判据推导。</w:t>
      </w:r>
    </w:p>
    <w:p w14:paraId="6CAF419F">
      <w:pPr>
        <w:pStyle w:val="4"/>
        <w:spacing w:before="160" w:after="120" w:line="312" w:lineRule="auto"/>
      </w:pPr>
      <w:r>
        <w:rPr>
          <w:rFonts w:hint="eastAsia" w:ascii="Times New Roman" w:hAnsi="Times New Roman" w:eastAsia="黑体"/>
          <w:b/>
          <w:i w:val="0"/>
          <w:color w:val="1F1F1F"/>
          <w:sz w:val="25"/>
        </w:rPr>
        <w:t>（二）处置档位推导</w:t>
      </w:r>
    </w:p>
    <w:p w14:paraId="1C0A8031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 w:val="0"/>
          <w:i w:val="0"/>
          <w:sz w:val="21"/>
        </w:rPr>
        <w:t>根据处置档位映射规则的组合判据：战略匹配度3分、价值贡献度3分、技术成熟度2分、引入可行度2分。对照各档位核心判据：布局层要求战略匹配度、价值贡献度均不低于4分，论证层还要求技术成熟度达到4至5分，DToC均不满足。研究层的判据是：四个维度中至少有一维处于3分附近的关键不确定，且趋势明确但尚待判明。DToC的战略匹配度与价值贡献度均为3分，技术成熟度与引入可行度为2分，存在多个关键不确定维度，技术趋势本身是明确的，符合研究层特征。</w:t>
      </w:r>
    </w:p>
    <w:p w14:paraId="19AE74A5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/>
          <w:i w:val="0"/>
          <w:sz w:val="21"/>
        </w:rPr>
        <w:t>综合结论：DToC处置档位为"深入研究（研究层）"，战略紧迫度3分，在层内排期。</w:t>
      </w:r>
      <w:r>
        <w:rPr>
          <w:rFonts w:hint="eastAsia" w:ascii="Times New Roman" w:hAnsi="Times New Roman" w:eastAsia="宋体"/>
          <w:b w:val="0"/>
          <w:i w:val="0"/>
          <w:sz w:val="21"/>
        </w:rPr>
        <w:t>核心建议：不建设完整DToC平台（当前技术不成熟、银行业无落地案例、合规风险高），而是以DToC为远景方向，按五路能力框架逐步建设（见第九章第（一）节），每路能力同时解决一个当前客户画像痛点。POC从Uplift增量预测切入，开展为期6个月的验证，首选场景为"理财到期客户续投干预推演"。POC验证通过后按五路能力框架逐步扩展（Uplift→反事实评估→市场级模拟，同步完善数据底座、决策集成和合规能力），3—5年后形成接近DToC愿景的能力；验证不通过则及时止损（成功/止损标准见第九章第（二）节：回溯验证偏差&gt;40%，或A/B测试增量提升&lt;10%），用较小投入换一个明确结论，比盲目投入大规模建平台风险小得多。同步持续跟踪Gartner对DToC的技术定位更新、《金融产品网络营销管理办法》执行细则</w:t>
      </w:r>
      <w:r>
        <w:rPr>
          <w:rFonts w:ascii="Times New Roman" w:hAnsi="Times New Roman" w:eastAsia="Times New Roman"/>
          <w:b w:val="0"/>
          <w:i w:val="0"/>
          <w:sz w:val="21"/>
          <w:vertAlign w:val="superscript"/>
        </w:rPr>
        <w:t>[10]</w:t>
      </w:r>
      <w:r>
        <w:rPr>
          <w:rFonts w:hint="eastAsia" w:ascii="Times New Roman" w:hAnsi="Times New Roman" w:eastAsia="宋体"/>
          <w:b w:val="0"/>
          <w:i w:val="0"/>
          <w:sz w:val="21"/>
        </w:rPr>
        <w:t>及同业探索进展。</w:t>
      </w:r>
    </w:p>
    <w:p w14:paraId="10A3AF1A">
      <w:pPr>
        <w:pStyle w:val="3"/>
        <w:spacing w:before="240" w:after="120" w:line="312" w:lineRule="auto"/>
      </w:pPr>
      <w:r>
        <w:rPr>
          <w:rFonts w:hint="eastAsia" w:ascii="Times New Roman" w:hAnsi="Times New Roman" w:eastAsia="黑体"/>
          <w:b/>
          <w:i w:val="0"/>
          <w:color w:val="1F1F1F"/>
          <w:sz w:val="30"/>
        </w:rPr>
        <w:t>九、实施建议</w:t>
      </w:r>
    </w:p>
    <w:p w14:paraId="5F6E3348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 w:val="0"/>
          <w:i w:val="0"/>
          <w:sz w:val="21"/>
        </w:rPr>
        <w:t>本章依次说明四件事：以什么能力主线推进，分几步走、每步的里程碑是什么，启动前需要具备哪些条件，以及核心组件该自建还是外购。</w:t>
      </w:r>
    </w:p>
    <w:p w14:paraId="2F7E2FC9">
      <w:pPr>
        <w:pStyle w:val="4"/>
        <w:spacing w:before="160" w:after="120" w:line="312" w:lineRule="auto"/>
      </w:pPr>
      <w:r>
        <w:rPr>
          <w:rFonts w:hint="eastAsia" w:ascii="Times New Roman" w:hAnsi="Times New Roman" w:eastAsia="黑体"/>
          <w:b/>
          <w:i w:val="0"/>
          <w:color w:val="1F1F1F"/>
          <w:sz w:val="25"/>
        </w:rPr>
        <w:t>（一）总体思路：以五路能力为主线的渐进演进</w:t>
      </w:r>
    </w:p>
    <w:p w14:paraId="314A4796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 w:val="0"/>
          <w:i w:val="0"/>
          <w:sz w:val="21"/>
        </w:rPr>
        <w:t>完整的DToC平台目前还不成熟，但可以把这个远景方向拆成五路能力，分步建设。本报告参照Gartner对DToC的定义（模拟、仿效、预测三个特征）和数字孪生通用架构，结合银行业客户智能的实际情况，提出下面的五路能力框架，作为后续实施工作的总纲。这个框架是本项目自己提出的分析框架，不是Gartner或其他权威机构发布的行业标准，实际执行时可以合并、拆分或调整。它的思路是：每一路能力都对应解决一个第二章列举的画像痛点（标签庞杂、不会归因、决策靠经验、数据与决策两张皮、合规靠人工），业务部门当下就能受益；同时每建成一路，就离DToC的远景近一步。换句话说，是在解决当前痛点的过程中让能力自然演进，不是为建DToC而建能力。</w:t>
      </w:r>
    </w:p>
    <w:p w14:paraId="31136E81">
      <w:pPr>
        <w:spacing w:before="120" w:after="60"/>
        <w:jc w:val="center"/>
      </w:pPr>
      <w:r>
        <w:rPr>
          <w:rFonts w:hint="eastAsia" w:ascii="Times New Roman" w:hAnsi="Times New Roman" w:eastAsia="黑体"/>
          <w:b/>
          <w:i w:val="0"/>
          <w:sz w:val="18"/>
        </w:rPr>
        <w:t>表23 五路能力建设框架总表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1"/>
        <w:gridCol w:w="1511"/>
        <w:gridCol w:w="1511"/>
        <w:gridCol w:w="1527"/>
        <w:gridCol w:w="1511"/>
        <w:gridCol w:w="1511"/>
      </w:tblGrid>
      <w:tr w14:paraId="3F2EB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0A557882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能力路</w:t>
            </w:r>
          </w:p>
        </w:tc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5453B4C1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定位</w:t>
            </w:r>
          </w:p>
        </w:tc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47D18D3E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解决的当前痛点</w:t>
            </w:r>
          </w:p>
        </w:tc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569F7CCF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建设内容</w:t>
            </w:r>
          </w:p>
        </w:tc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138296D1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当下价值</w:t>
            </w:r>
          </w:p>
        </w:tc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32D7E5B8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远期价值（DToC拼图）</w:t>
            </w:r>
          </w:p>
        </w:tc>
      </w:tr>
      <w:tr w14:paraId="5853D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3B79584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第一路：数据底座能力</w:t>
            </w:r>
          </w:p>
        </w:tc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605A61D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基础</w:t>
            </w:r>
          </w:p>
        </w:tc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102B8BE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标签庞杂；干预事件数据缺失；身份不统一</w:t>
            </w:r>
          </w:p>
        </w:tc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0FFC23F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①标签治理；②干预事件数据采集（核心必要）；③OneID身份解析；④特征仓库；⑤准实时数据流（增强）</w:t>
            </w:r>
          </w:p>
        </w:tc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BBBB2D6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标签少而精；可算清营销真实增量</w:t>
            </w:r>
          </w:p>
        </w:tc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C72CE34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构成动态镜像的数据基础</w:t>
            </w:r>
          </w:p>
        </w:tc>
      </w:tr>
      <w:tr w14:paraId="3EC85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84D0C7C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第二路：行为建模能力</w:t>
            </w:r>
          </w:p>
        </w:tc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7E0CF18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核心</w:t>
            </w:r>
          </w:p>
        </w:tc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C979234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模型分散重复建设；只会预测不会归因</w:t>
            </w:r>
          </w:p>
        </w:tc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FCB2213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①统一建模引擎；②Uplift/因果推断算法库（Causal Forest、X-Learner、DML）；③模型矩阵（流失/响应/Uplift/序列/图神经网络）；④可解释性（SHAP/LIME）</w:t>
            </w:r>
          </w:p>
        </w:tc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517A7EB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预算从"大水漫灌"变"精准滴灌"；模型复用</w:t>
            </w:r>
          </w:p>
        </w:tc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F85E465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构成DToC的建模内核</w:t>
            </w:r>
          </w:p>
        </w:tc>
      </w:tr>
      <w:tr w14:paraId="298F2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CC88504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第三路：场景推演能力</w:t>
            </w:r>
          </w:p>
        </w:tc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A6988AD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核心增量</w:t>
            </w:r>
          </w:p>
        </w:tc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E32D9D5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决策靠经验；产品靠试错；预算靠博弈</w:t>
            </w:r>
          </w:p>
        </w:tc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4C38F9B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①增量效果归因；②参数化推演；③What-if场景模拟；④反事实评估；⑤多策略对比；⑥A/B测试虚拟预演</w:t>
            </w:r>
          </w:p>
        </w:tc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2EE4B34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新品上线前模拟接受度与资金来源；预算按增量收益优化</w:t>
            </w:r>
          </w:p>
        </w:tc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2F4F90B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DToC区别于CDP的关键所在</w:t>
            </w:r>
          </w:p>
        </w:tc>
      </w:tr>
      <w:tr w14:paraId="41CEA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83B3C8C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第四路：决策集成能力</w:t>
            </w:r>
          </w:p>
        </w:tc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52E649B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闭环</w:t>
            </w:r>
          </w:p>
        </w:tc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53B26E5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数据与决策两张皮；效果不回流</w:t>
            </w:r>
          </w:p>
        </w:tc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51297A5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①统一决策服务层（标准化API）；②人工复核工作台（个保法第二十四条）；③闭环反馈；④决策审计日志</w:t>
            </w:r>
          </w:p>
        </w:tc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3678FD3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模型结果一键推送业务系统；闭环让模型越用越准</w:t>
            </w:r>
          </w:p>
        </w:tc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D25C666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让推演结果落到业务系统</w:t>
            </w:r>
          </w:p>
        </w:tc>
      </w:tr>
      <w:tr w14:paraId="09F9B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1B96614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第五路：合规与隐私计算能力</w:t>
            </w:r>
          </w:p>
        </w:tc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B699514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保障</w:t>
            </w:r>
          </w:p>
        </w:tc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A3227C3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合规靠人工；数据使用不透明</w:t>
            </w:r>
          </w:p>
        </w:tc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F7EE47F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①自动化脱敏；②合成数据；③模型可解释性；④人工复核；⑤客户权利保障自动化；⑥数据血缘追踪</w:t>
            </w:r>
          </w:p>
        </w:tc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3999E44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合规审查自动化；合成数据可训练而不碰真实信息</w:t>
            </w:r>
          </w:p>
        </w:tc>
        <w:tc>
          <w:tcPr>
            <w:tcW w:w="15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83E1B30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DToC的合规保障</w:t>
            </w:r>
          </w:p>
        </w:tc>
      </w:tr>
    </w:tbl>
    <w:p w14:paraId="68F288A6">
      <w:pPr>
        <w:spacing w:before="0" w:after="40"/>
      </w:pPr>
    </w:p>
    <w:p w14:paraId="08FC72AD">
      <w:pPr>
        <w:spacing w:after="40"/>
        <w:jc w:val="center"/>
      </w:pPr>
      <w:r>
        <w:drawing>
          <wp:inline distT="0" distB="0" distL="114300" distR="114300">
            <wp:extent cx="5579745" cy="3619500"/>
            <wp:effectExtent l="0" t="0" r="1905" b="0"/>
            <wp:docPr id="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1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C0650">
      <w:pPr>
        <w:spacing w:after="160"/>
        <w:jc w:val="center"/>
      </w:pPr>
      <w:r>
        <w:rPr>
          <w:rFonts w:hint="eastAsia" w:ascii="Times New Roman" w:hAnsi="Times New Roman" w:eastAsia="宋体"/>
          <w:b w:val="0"/>
          <w:i w:val="0"/>
          <w:color w:val="444444"/>
          <w:sz w:val="18"/>
        </w:rPr>
        <w:t>图6 DToC能力架构分层视图</w:t>
      </w:r>
    </w:p>
    <w:p w14:paraId="4BBBBC1E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/>
          <w:i w:val="0"/>
          <w:sz w:val="21"/>
        </w:rPr>
        <w:t>推演能力的四个进阶台阶（与第三路能力对应）。</w:t>
      </w:r>
      <w:r>
        <w:rPr>
          <w:rFonts w:hint="eastAsia" w:ascii="Times New Roman" w:hAnsi="Times New Roman" w:eastAsia="宋体"/>
          <w:b w:val="0"/>
          <w:i w:val="0"/>
          <w:sz w:val="21"/>
        </w:rPr>
        <w:t>推演能力建不成一步到位，可以分成四个台阶：第一步A/B测试基础设施（系统化实验设计与因果数据积累，多数银行已有雏形，无需专门建设）；第二步Uplift增量预测（识别"因干预才转化"的营销敏感人群，技术成熟、6个月可出效果，是POC切入点）；第三步反事实评估（模拟不同策略下的结果对比，需第二步数据积累，12—18个月）；第四步市场级系统模拟（全量客群系统级动态推演，技术复杂、需3—5年积累，POC不建议触碰）。完整的DToC平台对应第四步，目前对银行来说过于超前，不宜作为当前建设目标。</w:t>
      </w:r>
    </w:p>
    <w:p w14:paraId="09C15C13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 w:val="0"/>
          <w:i w:val="0"/>
          <w:sz w:val="21"/>
        </w:rPr>
        <w:t>POC阶段五路能力的建设优先级和投入比例建议：第一路轻量版（25%，重点补干预事件数据＋标签治理，不建实时流）、第二路Uplift扩展（25%）、第三路基础推演引擎（30%，核心）、第四路轻量对接（10%）、第五路用现有能力（10%）。</w:t>
      </w:r>
    </w:p>
    <w:p w14:paraId="3DC82C2B">
      <w:pPr>
        <w:pStyle w:val="4"/>
        <w:spacing w:before="160" w:after="120" w:line="312" w:lineRule="auto"/>
      </w:pPr>
      <w:r>
        <w:rPr>
          <w:rFonts w:hint="eastAsia" w:ascii="Times New Roman" w:hAnsi="Times New Roman" w:eastAsia="黑体"/>
          <w:b/>
          <w:i w:val="0"/>
          <w:color w:val="1F1F1F"/>
          <w:sz w:val="25"/>
        </w:rPr>
        <w:t>（二）分阶段实施路径与里程碑</w:t>
      </w:r>
    </w:p>
    <w:p w14:paraId="1707DE48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 w:val="0"/>
          <w:i w:val="0"/>
          <w:sz w:val="21"/>
        </w:rPr>
        <w:t>按"可行性评估→POC验证→有限试点"三个阶段推进，每个阶段设置可考核里程碑，任一阶段未达标准即触发调整或止损（阈值全行内统一）：</w:t>
      </w:r>
    </w:p>
    <w:p w14:paraId="3794D244">
      <w:pPr>
        <w:spacing w:before="120" w:after="60"/>
        <w:jc w:val="center"/>
      </w:pPr>
      <w:r>
        <w:rPr>
          <w:rFonts w:hint="eastAsia" w:ascii="Times New Roman" w:hAnsi="Times New Roman" w:eastAsia="黑体"/>
          <w:b/>
          <w:i w:val="0"/>
          <w:sz w:val="18"/>
        </w:rPr>
        <w:t>表24 分阶段实施路径与里程碑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9"/>
        <w:gridCol w:w="1446"/>
        <w:gridCol w:w="3204"/>
        <w:gridCol w:w="1813"/>
      </w:tblGrid>
      <w:tr w14:paraId="31984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09785B88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阶段</w:t>
            </w:r>
          </w:p>
        </w:tc>
        <w:tc>
          <w:tcPr>
            <w:tcW w:w="144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2CF9EBCF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时间窗口</w:t>
            </w:r>
          </w:p>
        </w:tc>
        <w:tc>
          <w:tcPr>
            <w:tcW w:w="32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3FDCAC48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核心任务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3B7C5D62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可考核里程碑</w:t>
            </w:r>
          </w:p>
        </w:tc>
      </w:tr>
      <w:tr w14:paraId="3CD28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16BFC37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第一阶段：可行性研究与数据就绪评估</w:t>
            </w:r>
          </w:p>
        </w:tc>
        <w:tc>
          <w:tcPr>
            <w:tcW w:w="144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4DCA78C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0—3个月</w:t>
            </w:r>
          </w:p>
        </w:tc>
        <w:tc>
          <w:tcPr>
            <w:tcW w:w="32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8430A22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1. 完成技术可行性与合规路径研究；2. 按数据就绪度清单（本章第（三）节）评估行内现状，前1—2个月先行摸底行内基线数据（近2年理财到期客户自然续投率、营销活动干预增量、标签使用率、干预事件数据覆盖率），重点评估干预事件数据可用性；3. 选定POC场景（建议理财到期客户续投干预推演）；4. 组建POC核心团队（科技与零售业务部联合）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A284939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产出《DToC可行性研究报告》《合规路径白皮书》《数据就绪度评估报告》；行内基线数据摸底完成；场景与团队确定；通过行AI治理委员会审议立项</w:t>
            </w:r>
          </w:p>
        </w:tc>
      </w:tr>
      <w:tr w14:paraId="20C6D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6D37A14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第二阶段：POC概念验证</w:t>
            </w:r>
          </w:p>
        </w:tc>
        <w:tc>
          <w:tcPr>
            <w:tcW w:w="144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ACA3F3A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3—9个月</w:t>
            </w:r>
          </w:p>
        </w:tc>
        <w:tc>
          <w:tcPr>
            <w:tcW w:w="32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201CC7D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1. 补干预事件数据采集与历史数据整理（核心必要）；2. 标签治理（精简出POC所需高频标签）；3. 基于现有CDP和数据平台搭建Uplift增量预测模型与基础推演引擎；4. 历史数据回溯验证；5. 建立模型评估、公平性检测与合规审查机制；6. 完成POC效果评估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148CFBF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Uplift模型回溯验证吻合度≥70%；推演引擎模拟与实际偏差≤25%；A/B测试增量续投金额较传统投放提升≥20%（10%—20%为调整复验区，&lt;10%触发止损）；至少1个场景验证业务价值；合规审查无红线问题</w:t>
            </w:r>
          </w:p>
        </w:tc>
      </w:tr>
      <w:tr w14:paraId="22361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ED53D10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第三阶段：试点部署（视POC结果决定）</w:t>
            </w:r>
          </w:p>
        </w:tc>
        <w:tc>
          <w:tcPr>
            <w:tcW w:w="144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2A7FB99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9—24个月</w:t>
            </w:r>
          </w:p>
        </w:tc>
        <w:tc>
          <w:tcPr>
            <w:tcW w:w="32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3DF88E9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1. 按五路能力框架扩展：完善数据底座（特征仓库、OneID）、行为建模（反事实评估）、场景推演（多策略对比）、决策集成（统一服务层、闭环反馈）、合规能力（合成数据、自动脱敏）；2. 选1—2个业务条线有限规模试点；3. 建立运营体系与SOP；4. 持续评估ROI与合规风险</w:t>
            </w:r>
          </w:p>
        </w:tc>
        <w:tc>
          <w:tcPr>
            <w:tcW w:w="18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BD7C19D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五路能力轻量版全部上线；至少2个业务场景规模化应用；年业务收益可量化且达预期；年度合规审计通过；客户投诉率无显著上升</w:t>
            </w:r>
          </w:p>
        </w:tc>
      </w:tr>
    </w:tbl>
    <w:p w14:paraId="161CC6D3">
      <w:pPr>
        <w:spacing w:before="0" w:after="40"/>
      </w:pPr>
    </w:p>
    <w:p w14:paraId="3EC39FC4">
      <w:pPr>
        <w:pStyle w:val="4"/>
        <w:spacing w:before="160" w:after="120" w:line="312" w:lineRule="auto"/>
      </w:pPr>
      <w:r>
        <w:rPr>
          <w:rFonts w:hint="eastAsia" w:ascii="Times New Roman" w:hAnsi="Times New Roman" w:eastAsia="黑体"/>
          <w:b/>
          <w:i w:val="0"/>
          <w:color w:val="1F1F1F"/>
          <w:sz w:val="25"/>
        </w:rPr>
        <w:t>（三）前提条件</w:t>
      </w:r>
    </w:p>
    <w:p w14:paraId="038819DD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 w:val="0"/>
          <w:i w:val="0"/>
          <w:sz w:val="21"/>
        </w:rPr>
        <w:t>POC启动前，组织、数据、合规三方面的就绪情况都要评估一遍，建议把评估结果作为立项审议的必备材料逐项确认。</w:t>
      </w:r>
    </w:p>
    <w:p w14:paraId="24131478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/>
          <w:i w:val="0"/>
          <w:sz w:val="21"/>
        </w:rPr>
        <w:t>数据就绪度评估清单。</w:t>
      </w:r>
      <w:r>
        <w:rPr>
          <w:rFonts w:hint="eastAsia" w:ascii="Times New Roman" w:hAnsi="Times New Roman" w:eastAsia="宋体"/>
          <w:b w:val="0"/>
          <w:i w:val="0"/>
          <w:sz w:val="21"/>
        </w:rPr>
        <w:t>数据就绪是最靠前的硬条件，建议在POC启动前用下面的清单逐项评估行内现状，每项标注"已具备/部分具备/不具备"。其中干预事件数据是必需项，要重点评估；实时流处理能力属于加分项。还有一项硬条件容易被忽略，就是历史干预分配是否随机：如果长期靠人工经验挑选投放客户，历史数据里就没有可比的对照组，因果模型无法训练，这种情况下要在POC首月安排一次小规模随机对照（holdout）实验。</w:t>
      </w:r>
    </w:p>
    <w:p w14:paraId="072C81C2">
      <w:pPr>
        <w:spacing w:before="120" w:after="60"/>
        <w:jc w:val="center"/>
      </w:pPr>
      <w:r>
        <w:rPr>
          <w:rFonts w:hint="eastAsia" w:ascii="Times New Roman" w:hAnsi="Times New Roman" w:eastAsia="黑体"/>
          <w:b/>
          <w:i w:val="0"/>
          <w:sz w:val="18"/>
        </w:rPr>
        <w:t>表27 数据就绪度评估清单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</w:tblGrid>
      <w:tr w14:paraId="4883C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5ECB9C3B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检查项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0A1B6E60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优先级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10F34B2B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评估标准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5CBAA9F3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不具备时的影响</w:t>
            </w:r>
          </w:p>
        </w:tc>
      </w:tr>
      <w:tr w14:paraId="3A773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36CEB3C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干预事件数据采集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6FB8958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核心必要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D6752B6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具备系统化干预事件记录能力，覆盖推送/外呼/优惠/利率调整等；记录时间、渠道、内容、客户反应；历史至少2年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59C6840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无干预事件数据则因果推断模型无法训练，POC无法启动（最核心必要条件）</w:t>
            </w:r>
          </w:p>
        </w:tc>
      </w:tr>
      <w:tr w14:paraId="5F75D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C94CFFD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客户特征数据（标签）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CA3C427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核心必要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8929E42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标签覆盖人口属性、交易行为、产品持有、渠道偏好、风险等级；更新≤T+1；有明确业务定义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51F0556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标签不足则细分粒度不够；未治理则业务用不起来，可POC中同步治理</w:t>
            </w:r>
          </w:p>
        </w:tc>
      </w:tr>
      <w:tr w14:paraId="022A4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7A3B5AC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身份解析覆盖率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4D91B94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核心必要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14B1A42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跨渠道（APP/网银/柜台/客服）身份匹配率≥90%；支持OneID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FFE6AA8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行为数据碎片化，无法构建完整镜像</w:t>
            </w:r>
          </w:p>
        </w:tc>
      </w:tr>
      <w:tr w14:paraId="3DC94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6FEA1A1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数据分类分级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53F0596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核心必要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636CA93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已完成个人信息分类分级（一般/敏感/核心），资产目录覆盖率≥80%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08EDF27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无法确定哪些数据可用、哪些需脱敏，合规风险高</w:t>
            </w:r>
          </w:p>
        </w:tc>
      </w:tr>
      <w:tr w14:paraId="23CE2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ACA64CE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数据脱敏机制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A6514FF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核心必要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CAA9B4B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支持动态脱敏（查询时）与静态脱敏（训练数据）；敏感数据默认脱敏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58BE2BD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直接使用原始个人信息训练模型，违反金发〔2026〕8号文</w:t>
            </w:r>
          </w:p>
        </w:tc>
      </w:tr>
      <w:tr w14:paraId="2C30E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717C251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客户同意管理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2970888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核心必要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9537005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具备授权管理系统，可追溯授权范围、时间、撤回状态；支持按用途分类授权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903F50A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超出授权范围使用数据，违反个保法</w:t>
            </w:r>
          </w:p>
        </w:tc>
      </w:tr>
      <w:tr w14:paraId="007D5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0C6F231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数据质量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CAEC8DB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重要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1454C40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完整性≥95%（关键字段非空率）；准确性≥90%；及时性满足T+1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B749799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垃圾进垃圾出，模型效果差</w:t>
            </w:r>
          </w:p>
        </w:tc>
      </w:tr>
      <w:tr w14:paraId="1380B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59F8535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特征仓库（Feature Store）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EEB9631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增强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3C78BA5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具备集中式特征管理，支持复用与在线/离线一致性；已有特征≥200个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B7E91C2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特征重复开发，POC周期延长；可轻量建设</w:t>
            </w:r>
          </w:p>
        </w:tc>
      </w:tr>
      <w:tr w14:paraId="5A73D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BE1866C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实时流处理能力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7D388FC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增强（非POC必要）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A8D3B45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具备Kafka/Flink等实时流引擎，支持秒级接入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B337518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POC用T+1即可，仅扩展实时触发场景时需要</w:t>
            </w:r>
          </w:p>
        </w:tc>
      </w:tr>
      <w:tr w14:paraId="64CC8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D281053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数据安全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A04F059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重要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880E360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传输与存储加密、访问控制（RBAC＋ABAC）、审计日志保留≥6个月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9505D39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数据泄露风险，违反数据安全法</w:t>
            </w:r>
          </w:p>
        </w:tc>
      </w:tr>
      <w:tr w14:paraId="2B709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9006C8B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合成数据能力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B93E9AA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增强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02F5542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具备生成合成客户数据的能力（GAN/扩散模型）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4314CF9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无法用合成数据规避个保法限制；POC可用脱敏数据替代</w:t>
            </w:r>
          </w:p>
        </w:tc>
      </w:tr>
    </w:tbl>
    <w:p w14:paraId="6F848A6C">
      <w:pPr>
        <w:spacing w:before="0" w:after="40"/>
      </w:pPr>
    </w:p>
    <w:p w14:paraId="0E7D060B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 w:val="0"/>
          <w:i w:val="0"/>
          <w:sz w:val="21"/>
        </w:rPr>
        <w:t>清单怎么用：上述6项必需项（干预事件数据、客户特征数据、身份解析、数据分类分级、数据脱敏、客户同意管理）中，若有2项以上不具备，建议暂缓DToC POC，先补数据基础；若必需项基本具备而加分项不具备，可以在POC中同步建设，或者先放一放。</w:t>
      </w:r>
    </w:p>
    <w:p w14:paraId="192BF3BB">
      <w:pPr>
        <w:pStyle w:val="4"/>
        <w:spacing w:before="160" w:after="120" w:line="312" w:lineRule="auto"/>
      </w:pPr>
      <w:r>
        <w:rPr>
          <w:rFonts w:hint="eastAsia" w:ascii="Times New Roman" w:hAnsi="Times New Roman" w:eastAsia="黑体"/>
          <w:b/>
          <w:i w:val="0"/>
          <w:color w:val="1F1F1F"/>
          <w:sz w:val="25"/>
        </w:rPr>
        <w:t>（四）自建还是外购</w:t>
      </w:r>
    </w:p>
    <w:p w14:paraId="3965A7A1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 w:val="0"/>
          <w:i w:val="0"/>
          <w:sz w:val="21"/>
        </w:rPr>
        <w:t>DToC建设既不宜全部自研，也不宜整套买厂商，应按组件的战略价值和行内已有能力分层决定：涉及核心竞争力的组件必须自研，通用基础设施优先复用或采用开源方案，隐私计算这类门槛较高的技术可以采购成熟产品以控制风险。所有外采组件都要在合同中要求开放API和数据导出能力，避免被厂商锁定。</w:t>
      </w:r>
    </w:p>
    <w:p w14:paraId="0CC49C34">
      <w:pPr>
        <w:spacing w:before="120" w:after="60"/>
        <w:jc w:val="center"/>
      </w:pPr>
      <w:r>
        <w:rPr>
          <w:rFonts w:hint="eastAsia" w:ascii="Times New Roman" w:hAnsi="Times New Roman" w:eastAsia="黑体"/>
          <w:b/>
          <w:i w:val="0"/>
          <w:sz w:val="18"/>
        </w:rPr>
        <w:t>表29 自建还是外购分层决策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</w:tblGrid>
      <w:tr w14:paraId="792BA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23E3BB78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组件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7C8F9806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决策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0B4F515B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具体方案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0C8F5415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决策理由</w:t>
            </w:r>
          </w:p>
        </w:tc>
      </w:tr>
      <w:tr w14:paraId="03780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A798E79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数据底座（CDP、数据仓库、ETL）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CE3DC1E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复用行内已有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0715CE2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不新建，基于行内现有CDP和大数据平台扩展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E554792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行内已有成熟数据平台，新建属重复投资；DToC是数据应用层</w:t>
            </w:r>
          </w:p>
        </w:tc>
      </w:tr>
      <w:tr w14:paraId="438BB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1D23DA1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干预事件数据采集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6953C02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自研＋行内系统改造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85BE87B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基于营销、客服、APP推送系统日志统一采集整理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28738B6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数据分散在行内各系统，需统一采集规范，自研改造最可控</w:t>
            </w:r>
          </w:p>
        </w:tc>
      </w:tr>
      <w:tr w14:paraId="3D0B1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AC3422F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特征仓库（Feature Store）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535B684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开源＋自研封装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E6AA9AC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基于Feast开源组件，行内封装适配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8306C1D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核心基础设施，开源方案成熟，避免厂商锁定</w:t>
            </w:r>
          </w:p>
        </w:tc>
      </w:tr>
      <w:tr w14:paraId="54FD4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68A3655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AI网关/推理服务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7222B9D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开源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B9BED49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基于LiteLLM、vLLM等开源框架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2C13172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通用基础设施，开源方案成熟</w:t>
            </w:r>
          </w:p>
        </w:tc>
      </w:tr>
      <w:tr w14:paraId="3622C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188ADB8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Uplift/因果推断引擎（核心）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FC0D54C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自研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75E6C0A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基于EconML、DoWhy、CausalML等开源库封装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5B4E3C9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DToC核心竞争力，涉及行内客户数据和业务逻辑，必须自主可控</w:t>
            </w:r>
          </w:p>
        </w:tc>
      </w:tr>
      <w:tr w14:paraId="6AB39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4BC3D90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场景推演引擎（核心）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D6055EF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自研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FC80FFE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行内自主开发，不依赖厂商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EB2D2C8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DToC区别于通用CDP/AI平台的关键，必须自研</w:t>
            </w:r>
          </w:p>
        </w:tc>
      </w:tr>
      <w:tr w14:paraId="58CB2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030BEEF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数据脱敏/隐私计算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B6C3C3A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买厂商＋开源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2BECD2C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联邦学习平台采购成熟厂商产品；差分隐私、动态脱敏用开源组件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712CFEA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技术门槛高，成熟厂商产品经过验证，自研周期长风险大</w:t>
            </w:r>
          </w:p>
        </w:tc>
      </w:tr>
      <w:tr w14:paraId="3D476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7ACAD8B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模型监控/可解释性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38CC789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开源＋自研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5D0CFFF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基于Evidently、MLflow、SHAP等开源工具封装监控面板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263964D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合规要求，开源工具成熟</w:t>
            </w:r>
          </w:p>
        </w:tc>
      </w:tr>
      <w:tr w14:paraId="55188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470DACB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前端展示/报表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2649AB6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低代码或买厂商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BBA8950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用行内已有BI工具或低代码平台搭建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EF1A34F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非核心竞争力，用现有工具快速搭建</w:t>
            </w:r>
          </w:p>
        </w:tc>
      </w:tr>
      <w:tr w14:paraId="3C298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26B4142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客户同意管理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1B9CC2C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复用行内已有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0E79DDB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基于行内现有客户授权管理系统扩展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976AE48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合规基础设施，行内已有系统</w:t>
            </w:r>
          </w:p>
        </w:tc>
      </w:tr>
    </w:tbl>
    <w:p w14:paraId="4D78B3E3">
      <w:pPr>
        <w:spacing w:before="0" w:after="40"/>
      </w:pPr>
    </w:p>
    <w:p w14:paraId="452CB428">
      <w:pPr>
        <w:pStyle w:val="3"/>
        <w:spacing w:before="240" w:after="120" w:line="312" w:lineRule="auto"/>
      </w:pPr>
      <w:r>
        <w:rPr>
          <w:rFonts w:hint="eastAsia" w:ascii="Times New Roman" w:hAnsi="Times New Roman" w:eastAsia="黑体"/>
          <w:b/>
          <w:i w:val="0"/>
          <w:color w:val="1F1F1F"/>
          <w:sz w:val="30"/>
        </w:rPr>
        <w:t>附录一 研究方法与数据来源</w:t>
      </w:r>
    </w:p>
    <w:p w14:paraId="5680A1DF">
      <w:pPr>
        <w:pStyle w:val="4"/>
        <w:spacing w:before="160" w:after="120" w:line="312" w:lineRule="auto"/>
      </w:pPr>
      <w:r>
        <w:rPr>
          <w:rFonts w:hint="eastAsia" w:ascii="Times New Roman" w:hAnsi="Times New Roman" w:eastAsia="黑体"/>
          <w:b/>
          <w:i w:val="0"/>
          <w:color w:val="1F1F1F"/>
          <w:sz w:val="25"/>
        </w:rPr>
        <w:t>A.1 研究方法</w:t>
      </w:r>
    </w:p>
    <w:p w14:paraId="16AFA2D3">
      <w:pPr>
        <w:spacing w:after="80" w:line="336" w:lineRule="auto"/>
        <w:ind w:firstLine="420"/>
      </w:pPr>
      <w:r>
        <w:rPr>
          <w:rFonts w:hint="eastAsia" w:ascii="Times New Roman" w:hAnsi="Times New Roman" w:eastAsia="宋体"/>
          <w:b/>
          <w:i w:val="0"/>
          <w:sz w:val="21"/>
        </w:rPr>
        <w:t>文献研究：</w:t>
      </w:r>
      <w:r>
        <w:rPr>
          <w:rFonts w:hint="eastAsia" w:ascii="Times New Roman" w:hAnsi="Times New Roman" w:eastAsia="宋体"/>
          <w:b w:val="0"/>
          <w:i w:val="0"/>
          <w:sz w:val="21"/>
        </w:rPr>
        <w:t>系统检索Gartner、IDC等第三方研究机构关于数字孪生和客户数字孪生的研究报告，以及学术数据库中客户行为建模、因果推断、Uplift Modeling、数字孪生金融应用相关论文。</w:t>
      </w:r>
    </w:p>
    <w:p w14:paraId="58C119E7">
      <w:pPr>
        <w:spacing w:after="80" w:line="336" w:lineRule="auto"/>
        <w:ind w:firstLine="420"/>
      </w:pPr>
      <w:r>
        <w:rPr>
          <w:rFonts w:hint="eastAsia" w:ascii="Times New Roman" w:hAnsi="Times New Roman" w:eastAsia="宋体"/>
          <w:b/>
          <w:i w:val="0"/>
          <w:sz w:val="21"/>
        </w:rPr>
        <w:t>案例调研：</w:t>
      </w:r>
      <w:r>
        <w:rPr>
          <w:rFonts w:hint="eastAsia" w:ascii="Times New Roman" w:hAnsi="Times New Roman" w:eastAsia="宋体"/>
          <w:b w:val="0"/>
          <w:i w:val="0"/>
          <w:sz w:val="21"/>
        </w:rPr>
        <w:t>收集国内外DToC厂商产品信息、银行业数字孪生相关项目案例，进行实名化整理与分析。</w:t>
      </w:r>
    </w:p>
    <w:p w14:paraId="6DBBC97B">
      <w:pPr>
        <w:spacing w:after="80" w:line="336" w:lineRule="auto"/>
        <w:ind w:firstLine="420"/>
      </w:pPr>
      <w:r>
        <w:rPr>
          <w:rFonts w:hint="eastAsia" w:ascii="Times New Roman" w:hAnsi="Times New Roman" w:eastAsia="宋体"/>
          <w:b/>
          <w:i w:val="0"/>
          <w:sz w:val="21"/>
        </w:rPr>
        <w:t>联网核实：</w:t>
      </w:r>
      <w:r>
        <w:rPr>
          <w:rFonts w:hint="eastAsia" w:ascii="Times New Roman" w:hAnsi="Times New Roman" w:eastAsia="宋体"/>
          <w:b w:val="0"/>
          <w:i w:val="0"/>
          <w:sz w:val="21"/>
        </w:rPr>
        <w:t>通过公开渠道核实监管文件原文、厂商产品发布信息、行业数据、银行公开披露的技术项目与本行（浦发银行）定期报告披露的战略与经营信息等关键事实。</w:t>
      </w:r>
    </w:p>
    <w:p w14:paraId="13C7825F">
      <w:pPr>
        <w:spacing w:after="80" w:line="336" w:lineRule="auto"/>
        <w:ind w:firstLine="420"/>
      </w:pPr>
      <w:r>
        <w:rPr>
          <w:rFonts w:hint="eastAsia" w:ascii="Times New Roman" w:hAnsi="Times New Roman" w:eastAsia="宋体"/>
          <w:b/>
          <w:i w:val="0"/>
          <w:sz w:val="21"/>
        </w:rPr>
        <w:t>专家研判：</w:t>
      </w:r>
      <w:r>
        <w:rPr>
          <w:rFonts w:hint="eastAsia" w:ascii="Times New Roman" w:hAnsi="Times New Roman" w:eastAsia="宋体"/>
          <w:b w:val="0"/>
          <w:i w:val="0"/>
          <w:sz w:val="21"/>
        </w:rPr>
        <w:t>基于银行业科技、数据和客户管理实践经验，对技术成熟度、引入可行度、价值贡献度等维度进行综合研判。</w:t>
      </w:r>
    </w:p>
    <w:p w14:paraId="3C3E041E">
      <w:pPr>
        <w:pStyle w:val="4"/>
        <w:spacing w:before="160" w:after="120" w:line="312" w:lineRule="auto"/>
      </w:pPr>
      <w:r>
        <w:rPr>
          <w:rFonts w:hint="eastAsia" w:ascii="Times New Roman" w:hAnsi="Times New Roman" w:eastAsia="黑体"/>
          <w:b/>
          <w:i w:val="0"/>
          <w:color w:val="1F1F1F"/>
          <w:sz w:val="25"/>
        </w:rPr>
        <w:t>A.2 数据来源</w:t>
      </w:r>
    </w:p>
    <w:p w14:paraId="2CEBA0AF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 w:val="0"/>
          <w:i w:val="0"/>
          <w:sz w:val="21"/>
        </w:rPr>
        <w:t>主要数据来源渠道（除注明者外均为公开可查证信源）：Gartner研究报告（Hype Cycle、Top Strategic Technology Trends）、国家金融监督管理总局等监管机构官方文件、厂商官方网站与产品文档、行业分析报告（CleverX、McKinsey等）、银行公开披露的技术项目信息、浦发银行2025年年度报告及2026年半年度报告等定期报告、公开新闻报道。</w:t>
      </w:r>
    </w:p>
    <w:p w14:paraId="71218266">
      <w:pPr>
        <w:pStyle w:val="4"/>
        <w:spacing w:before="160" w:after="120" w:line="312" w:lineRule="auto"/>
      </w:pPr>
      <w:r>
        <w:rPr>
          <w:rFonts w:hint="eastAsia" w:ascii="Times New Roman" w:hAnsi="Times New Roman" w:eastAsia="黑体"/>
          <w:b/>
          <w:i w:val="0"/>
          <w:color w:val="1F1F1F"/>
          <w:sz w:val="25"/>
        </w:rPr>
        <w:t>A.3 数据核实与局限性</w:t>
      </w:r>
    </w:p>
    <w:p w14:paraId="2637CBFB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 w:val="0"/>
          <w:i w:val="0"/>
          <w:sz w:val="21"/>
        </w:rPr>
        <w:t>核心事实和关键数据（Gartner技术定位、监管文件条款、本行定期报告披露的战略与经营数据、厂商官方产品信息）均经公开来源核实。需说明以下局限：</w:t>
      </w:r>
    </w:p>
    <w:p w14:paraId="358327E0">
      <w:pPr>
        <w:spacing w:after="80" w:line="336" w:lineRule="auto"/>
        <w:ind w:firstLine="420"/>
      </w:pPr>
      <w:r>
        <w:rPr>
          <w:rFonts w:hint="eastAsia" w:ascii="Times New Roman" w:hAnsi="Times New Roman" w:eastAsia="宋体"/>
          <w:b w:val="0"/>
          <w:i w:val="0"/>
          <w:sz w:val="21"/>
        </w:rPr>
        <w:t>部分厂商产品声明（Etiya DToC获奖、LatentView DToC方案等）属单一厂商来源，未经第三方独立验证。</w:t>
      </w:r>
    </w:p>
    <w:p w14:paraId="1DB7C891">
      <w:pPr>
        <w:spacing w:after="80" w:line="336" w:lineRule="auto"/>
        <w:ind w:firstLine="420"/>
      </w:pPr>
      <w:r>
        <w:rPr>
          <w:rFonts w:hint="eastAsia" w:ascii="Times New Roman" w:hAnsi="Times New Roman" w:eastAsia="宋体"/>
          <w:b w:val="0"/>
          <w:i w:val="0"/>
          <w:sz w:val="21"/>
        </w:rPr>
        <w:t>本报告同业案例仅保留银行官方披露、权威财经媒体和可核实的公开信息。</w:t>
      </w:r>
    </w:p>
    <w:p w14:paraId="6D1EE544">
      <w:pPr>
        <w:spacing w:after="80" w:line="336" w:lineRule="auto"/>
        <w:ind w:firstLine="420"/>
      </w:pPr>
      <w:r>
        <w:rPr>
          <w:rFonts w:hint="eastAsia" w:ascii="Times New Roman" w:hAnsi="Times New Roman" w:eastAsia="宋体"/>
          <w:b/>
          <w:i w:val="0"/>
          <w:sz w:val="21"/>
        </w:rPr>
        <w:t>图3、图6基于行内研究整理，仅供内部参考，不作为对外引用的独立证据。</w:t>
      </w:r>
    </w:p>
    <w:p w14:paraId="6E0EB650">
      <w:pPr>
        <w:spacing w:after="80" w:line="336" w:lineRule="auto"/>
        <w:ind w:firstLine="420"/>
      </w:pPr>
      <w:r>
        <w:rPr>
          <w:rFonts w:hint="eastAsia" w:ascii="Times New Roman" w:hAnsi="Times New Roman" w:eastAsia="宋体"/>
          <w:b/>
          <w:i w:val="0"/>
          <w:sz w:val="21"/>
        </w:rPr>
        <w:t>价值贡献度审慎取3分（理论上可评4分）系本报告自设的审慎约束：</w:t>
      </w:r>
      <w:r>
        <w:rPr>
          <w:rFonts w:hint="eastAsia" w:ascii="Times New Roman" w:hAnsi="Times New Roman" w:eastAsia="宋体"/>
          <w:b w:val="0"/>
          <w:i w:val="0"/>
          <w:sz w:val="21"/>
        </w:rPr>
        <w:t>因效益依据为示意测算而非实测，故未给更高分值，待POC实测后复评。该约束非撰写规范要求，特此披露。</w:t>
      </w:r>
    </w:p>
    <w:p w14:paraId="75927624">
      <w:pPr>
        <w:spacing w:after="80" w:line="336" w:lineRule="auto"/>
        <w:ind w:firstLine="420"/>
      </w:pPr>
      <w:r>
        <w:rPr>
          <w:rFonts w:hint="eastAsia" w:ascii="Times New Roman" w:hAnsi="Times New Roman" w:eastAsia="宋体"/>
          <w:b/>
          <w:i w:val="0"/>
          <w:sz w:val="21"/>
        </w:rPr>
        <w:t>其他局限：</w:t>
      </w:r>
      <w:r>
        <w:rPr>
          <w:rFonts w:hint="eastAsia" w:ascii="Times New Roman" w:hAnsi="Times New Roman" w:eastAsia="宋体"/>
          <w:b w:val="0"/>
          <w:i w:val="0"/>
          <w:sz w:val="21"/>
        </w:rPr>
        <w:t>部分效益数据为同类平台经验估算，非本行实测，须经POC验证；五路能力框架为本报告分析性框架，非行业标准；Gartner付费报告原图未取得，相关分析基于公开摘要；DToC合规路径仍在探索中，本报告合规建议基于现有法规解读，不构成法律意见。</w:t>
      </w:r>
    </w:p>
    <w:p w14:paraId="3221EF1E">
      <w:pPr>
        <w:spacing w:after="80" w:line="336" w:lineRule="auto"/>
        <w:ind w:firstLine="420"/>
      </w:pPr>
      <w:r>
        <w:rPr>
          <w:rFonts w:hint="eastAsia" w:ascii="Times New Roman" w:hAnsi="Times New Roman" w:eastAsia="宋体"/>
          <w:b/>
          <w:i w:val="0"/>
          <w:sz w:val="21"/>
        </w:rPr>
        <w:t>技术成熟度评分口径：</w:t>
      </w:r>
      <w:r>
        <w:rPr>
          <w:rFonts w:hint="eastAsia" w:ascii="Times New Roman" w:hAnsi="Times New Roman" w:eastAsia="宋体"/>
          <w:b w:val="0"/>
          <w:i w:val="0"/>
          <w:sz w:val="21"/>
        </w:rPr>
        <w:t>Gartner创新触发期（五阶段最早档，对应规范1分档"创新萌芽期"）与TRL 3—4级、个别实验性验证（对应2分档）两个信号不一致；本报告取2分的三点理由（TRL已达3—4、已有可核实个别验证、创新触发期不否定组件就绪度）；若严格就低评1分，亦不改变第八章研究层结论（研究层判据关注"至少一维处于3分附近的关键不确定"）。</w:t>
      </w:r>
    </w:p>
    <w:p w14:paraId="1ABDC668">
      <w:pPr>
        <w:pStyle w:val="3"/>
        <w:spacing w:before="240" w:after="120" w:line="312" w:lineRule="auto"/>
      </w:pPr>
      <w:r>
        <w:rPr>
          <w:rFonts w:hint="eastAsia" w:ascii="Times New Roman" w:hAnsi="Times New Roman" w:eastAsia="黑体"/>
          <w:b/>
          <w:i w:val="0"/>
          <w:color w:val="1F1F1F"/>
          <w:sz w:val="30"/>
        </w:rPr>
        <w:t>附录二 名词解释</w:t>
      </w:r>
    </w:p>
    <w:p w14:paraId="77D57152">
      <w:pPr>
        <w:spacing w:before="120" w:after="60"/>
        <w:jc w:val="center"/>
      </w:pPr>
      <w:r>
        <w:rPr>
          <w:rFonts w:hint="eastAsia" w:ascii="Times New Roman" w:hAnsi="Times New Roman" w:eastAsia="黑体"/>
          <w:b/>
          <w:i w:val="0"/>
          <w:sz w:val="18"/>
        </w:rPr>
        <w:t>表30 名词解释术语表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</w:tblGrid>
      <w:tr w14:paraId="57B3D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12217704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术语/缩写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69A9C2DC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中文全称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1C640E76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英文全称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</w:tcPr>
          <w:p w14:paraId="7C5C5678">
            <w:pPr>
              <w:spacing w:after="40" w:line="276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 w:val="0"/>
                <w:sz w:val="18"/>
              </w:rPr>
              <w:t>简明释义</w:t>
            </w:r>
          </w:p>
        </w:tc>
      </w:tr>
      <w:tr w14:paraId="2F4A1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97A2C74">
            <w:pPr>
              <w:spacing w:after="4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DToC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4E7FF20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客户数字孪生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2E997CE">
            <w:pPr>
              <w:spacing w:after="4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Digital Twin of Customer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9DBACBE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为客户创建动态虚拟镜像，支持行为模拟、因果推演和场景预测的技术体系；核心是因果推演而非实时更新</w:t>
            </w:r>
          </w:p>
        </w:tc>
      </w:tr>
      <w:tr w14:paraId="70275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F49D110">
            <w:pPr>
              <w:spacing w:after="4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CDP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797F41C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客户数据平台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9CF0C6E">
            <w:pPr>
              <w:spacing w:after="4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Customer Data Platform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01F1F5D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统一采集、清洗、整合和管理客户数据的平台，为DToC提供数据底座</w:t>
            </w:r>
          </w:p>
        </w:tc>
      </w:tr>
      <w:tr w14:paraId="16BA0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B339AC6">
            <w:pPr>
              <w:spacing w:after="4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Uplift Modeling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54FC571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增量提升建模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6E54DE1">
            <w:pPr>
              <w:spacing w:after="4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Uplift Modeling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3C622F7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识别"因干预才转化"人群的因果推断方法，用于优化营销资源分配；DToC推演能力的入门技术</w:t>
            </w:r>
          </w:p>
        </w:tc>
      </w:tr>
      <w:tr w14:paraId="3E61C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1CADDC1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因果推断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A182867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因果推断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F5945B7">
            <w:pPr>
              <w:spacing w:after="4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Causal Inference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035538A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研究变量间因果关系的统计方法，区别于相关性分析；含Causal Forest、DML、X-Learner等</w:t>
            </w:r>
          </w:p>
        </w:tc>
      </w:tr>
      <w:tr w14:paraId="5868B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D8D2F2B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反事实推理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51D267E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反事实推理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A142DD4">
            <w:pPr>
              <w:spacing w:after="4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Counterfactual Reasoning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4C73149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模拟"若采取不同行动结果会怎样"的推理方法，属推演能力进阶技术</w:t>
            </w:r>
          </w:p>
        </w:tc>
      </w:tr>
      <w:tr w14:paraId="08A3C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84C31F4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反事实评估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7024D56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反事实评估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7AE2D8B">
            <w:pPr>
              <w:spacing w:after="4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Counterfactual Evaluation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8F7BB3B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推断"同一对象若未接受干预会怎样"，据此评价干预真实效果</w:t>
            </w:r>
          </w:p>
        </w:tc>
      </w:tr>
      <w:tr w14:paraId="739A1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459D69F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干预事件数据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984FF48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干预事件数据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67C6522">
            <w:pPr>
              <w:spacing w:after="4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Intervention Event Data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2817754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银行对客户做了什么干预、时间、渠道、内容及客户反应的数据；因果推断的核心训练数据</w:t>
            </w:r>
          </w:p>
        </w:tc>
      </w:tr>
      <w:tr w14:paraId="0D916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E7C4391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选择偏差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22E9704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选择偏差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A6D2C88">
            <w:pPr>
              <w:spacing w:after="4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Selection Bias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AA3CEA9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干预组与对照组在干预前即存在系统性差异，导致直接比较会误估干预效果</w:t>
            </w:r>
          </w:p>
        </w:tc>
      </w:tr>
      <w:tr w14:paraId="0F496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0F6449B">
            <w:pPr>
              <w:spacing w:after="4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PSM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57262B7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倾向得分匹配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0CB90A0">
            <w:pPr>
              <w:spacing w:after="4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Propensity Score Matching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61F9CF4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匹配倾向得分相近的干预组与对照组样本以构造可比对照、估计干预效果</w:t>
            </w:r>
          </w:p>
        </w:tc>
      </w:tr>
      <w:tr w14:paraId="2F87B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A509CBA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合成数据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426B3D5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合成数据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27BF793">
            <w:pPr>
              <w:spacing w:after="4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Synthetic Data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83CD153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与真实数据统计分布一致但不含真实个人信息的数据，可用于训练以规避个保法限制</w:t>
            </w:r>
          </w:p>
        </w:tc>
      </w:tr>
      <w:tr w14:paraId="23093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BC5E778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联邦学习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3D3C5E8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联邦学习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A275A98">
            <w:pPr>
              <w:spacing w:after="4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Federated Learning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911D5A9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不共享原始数据前提下多方协作训练模型的分布式机器学习方法</w:t>
            </w:r>
          </w:p>
        </w:tc>
      </w:tr>
      <w:tr w14:paraId="3EB4D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1D13B86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差分隐私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B24915E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差分隐私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D1DC366">
            <w:pPr>
              <w:spacing w:after="4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Differential Privacy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2B0DA33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通过添加噪声确保单个个体信息无法被推断的隐私保护技术</w:t>
            </w:r>
          </w:p>
        </w:tc>
      </w:tr>
      <w:tr w14:paraId="4A4C6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5FDA506">
            <w:pPr>
              <w:spacing w:after="4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DTO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FB95D1D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组织数字孪生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74BAFFD">
            <w:pPr>
              <w:spacing w:after="4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Digital Twin of an Organization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EE8F48A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以组织/系统为对象的数字孪生，与DToC分属不同技术路线</w:t>
            </w:r>
          </w:p>
        </w:tc>
      </w:tr>
      <w:tr w14:paraId="2AA76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C601CA6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处置档位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E8694C0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处置档位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7E0E2C0">
            <w:pPr>
              <w:spacing w:after="4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Disposition Tier</w:t>
            </w:r>
          </w:p>
        </w:tc>
        <w:tc>
          <w:tcPr>
            <w:tcW w:w="2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4FB8FF8">
            <w:pPr>
              <w:spacing w:after="40" w:line="276" w:lineRule="auto"/>
            </w:pPr>
            <w:r>
              <w:rPr>
                <w:rFonts w:hint="eastAsia" w:ascii="Times New Roman" w:hAnsi="Times New Roman" w:eastAsia="宋体"/>
                <w:b w:val="0"/>
                <w:i w:val="0"/>
                <w:sz w:val="18"/>
              </w:rPr>
              <w:t>前沿技术储备库四层处置结论：提前布局/系统论证/深入研究/动态观察</w:t>
            </w:r>
          </w:p>
        </w:tc>
      </w:tr>
    </w:tbl>
    <w:p w14:paraId="2D1D76C5">
      <w:pPr>
        <w:spacing w:before="0" w:after="40"/>
      </w:pPr>
    </w:p>
    <w:p w14:paraId="2A00C313">
      <w:pPr>
        <w:pStyle w:val="3"/>
        <w:spacing w:before="240" w:after="120" w:line="312" w:lineRule="auto"/>
      </w:pPr>
      <w:r>
        <w:rPr>
          <w:rFonts w:hint="eastAsia" w:ascii="Times New Roman" w:hAnsi="Times New Roman" w:eastAsia="黑体"/>
          <w:b/>
          <w:i w:val="0"/>
          <w:color w:val="1F1F1F"/>
          <w:sz w:val="30"/>
        </w:rPr>
        <w:t>附录三 参考文献</w:t>
      </w:r>
    </w:p>
    <w:p w14:paraId="49CE61C3">
      <w:pPr>
        <w:spacing w:after="120" w:line="336" w:lineRule="auto"/>
        <w:ind w:firstLine="420"/>
      </w:pPr>
      <w:r>
        <w:rPr>
          <w:rFonts w:hint="eastAsia" w:ascii="Times New Roman" w:hAnsi="Times New Roman" w:eastAsia="宋体"/>
          <w:b w:val="0"/>
          <w:i w:val="0"/>
          <w:sz w:val="21"/>
        </w:rPr>
        <w:t>以下信源按正文首次引用顺序编号，并标注来源类型与核实状态。除注明者外均为公开可查证信源。</w:t>
      </w:r>
    </w:p>
    <w:p w14:paraId="2DD2B81F">
      <w:pPr>
        <w:spacing w:after="60" w:line="300" w:lineRule="auto"/>
        <w:ind w:left="440" w:hanging="440"/>
      </w:pPr>
      <w:r>
        <w:rPr>
          <w:rFonts w:hint="eastAsia" w:ascii="Times New Roman" w:hAnsi="Times New Roman" w:eastAsia="宋体"/>
          <w:b w:val="0"/>
          <w:i w:val="0"/>
          <w:color w:val="333333"/>
          <w:sz w:val="18"/>
        </w:rPr>
        <w:t>[1] Gartner. Gartner Hype Cycle Reveals How AI and Digital Advancements Are Primed to Aid Sales Transformations. 2025-10-30.（公开可查证）https://www.gartner.com/en/newsroom/press-releases/2025-10-30-gartner-hype-cycle-reveals-how-ai-and-digital-advancements-are-primed-to-aid-sales-transformations</w:t>
      </w:r>
    </w:p>
    <w:p w14:paraId="0C0D1CF2">
      <w:pPr>
        <w:spacing w:after="60" w:line="300" w:lineRule="auto"/>
        <w:ind w:left="440" w:hanging="440"/>
      </w:pPr>
      <w:r>
        <w:rPr>
          <w:rFonts w:hint="eastAsia" w:ascii="Times New Roman" w:hAnsi="Times New Roman" w:eastAsia="宋体"/>
          <w:b w:val="0"/>
          <w:i w:val="0"/>
          <w:color w:val="333333"/>
          <w:sz w:val="18"/>
        </w:rPr>
        <w:t>[2] Uber Engineering. Reinforcement Learning for Modeling Marketplace Balance（司机收入+0.52%、乘客取消率-2.2%）. 2025-07-02.（公开可查证，关键数据已对照原文核实）https://www.uber.com/us/en/blog/reinforcement-learning-for-modeling-marketplace-balance/</w:t>
      </w:r>
    </w:p>
    <w:p w14:paraId="5C1961F9">
      <w:pPr>
        <w:spacing w:after="60" w:line="300" w:lineRule="auto"/>
        <w:ind w:left="440" w:hanging="440"/>
      </w:pPr>
      <w:r>
        <w:rPr>
          <w:rFonts w:hint="eastAsia" w:ascii="Times New Roman" w:hAnsi="Times New Roman" w:eastAsia="宋体"/>
          <w:b w:val="0"/>
          <w:i w:val="0"/>
          <w:color w:val="333333"/>
          <w:sz w:val="18"/>
        </w:rPr>
        <w:t>[3] Gomez-Uribe C A, Hunt N. The Netflix Recommender System: Algorithms, Business Value, and Innovation. ACM TMIS, 2015, 6(4).（公开可查证；推荐系统贡献约80%观看时长）https://dl.acm.org/doi/10.1145/2843948</w:t>
      </w:r>
    </w:p>
    <w:p w14:paraId="04B4A8A6">
      <w:pPr>
        <w:spacing w:after="60" w:line="300" w:lineRule="auto"/>
        <w:ind w:left="440" w:hanging="440"/>
      </w:pPr>
      <w:r>
        <w:rPr>
          <w:rFonts w:hint="eastAsia" w:ascii="Times New Roman" w:hAnsi="Times New Roman" w:eastAsia="宋体"/>
          <w:b w:val="0"/>
          <w:i w:val="0"/>
          <w:color w:val="333333"/>
          <w:sz w:val="18"/>
        </w:rPr>
        <w:t>[4] 董彦燊（哈啰出行）. 因果推断在哈啰出行的实践探索（Tree-based Uplift模型用于酒店营销补贴）. 2022.（公开可查证；公开材料未披露具体效率提升百分比）（企业技术团队公开分享，非正式披露材料；公开材料未披露具体效率提升百分比）https://zhuanlan.zhihu.com/p/473864327</w:t>
      </w:r>
    </w:p>
    <w:p w14:paraId="730FB893">
      <w:pPr>
        <w:spacing w:after="60" w:line="300" w:lineRule="auto"/>
        <w:ind w:left="440" w:hanging="440"/>
      </w:pPr>
      <w:r>
        <w:rPr>
          <w:rFonts w:hint="eastAsia" w:ascii="Times New Roman" w:hAnsi="Times New Roman" w:eastAsia="宋体"/>
          <w:b w:val="0"/>
          <w:i w:val="0"/>
          <w:color w:val="333333"/>
          <w:sz w:val="18"/>
        </w:rPr>
        <w:t>[5] Davenport T H. Competing on Analytics. Harvard Business Review, 2006-01.（公开可查证；Capital One为test-and-learn实验文化代表案例）https://hbr.org/2006/01/competing-on-analytics</w:t>
      </w:r>
    </w:p>
    <w:p w14:paraId="2A8AA6FD">
      <w:pPr>
        <w:spacing w:after="60" w:line="300" w:lineRule="auto"/>
        <w:ind w:left="440" w:hanging="440"/>
      </w:pPr>
      <w:r>
        <w:rPr>
          <w:rFonts w:ascii="Times New Roman" w:hAnsi="Times New Roman" w:eastAsia="宋体"/>
          <w:b w:val="0"/>
          <w:i w:val="0"/>
          <w:color w:val="333333"/>
          <w:sz w:val="18"/>
        </w:rPr>
        <w:t>[6] 全国人大常委会. 中华人民共和国个人信息保护法. 2021-08-20通过，2021-11-01施行.（公开可查证）https://www.cac.gov.cn/2021-08/20/c_1631050028355286.htm</w:t>
      </w:r>
    </w:p>
    <w:p w14:paraId="45AFB3CE">
      <w:pPr>
        <w:spacing w:after="60" w:line="300" w:lineRule="auto"/>
        <w:ind w:left="440" w:hanging="440"/>
      </w:pPr>
      <w:r>
        <w:rPr>
          <w:rFonts w:ascii="Times New Roman" w:hAnsi="Times New Roman" w:eastAsia="宋体"/>
          <w:b w:val="0"/>
          <w:i w:val="0"/>
          <w:color w:val="333333"/>
          <w:sz w:val="18"/>
        </w:rPr>
        <w:t>[7] 全国人大常委会. 中华人民共和国数据安全法. 2021-06-10通过，2021-09-01施行.（公开可查证）https://www.cac.gov.cn/2021-06/11/c_1624994566919140.htm</w:t>
      </w:r>
    </w:p>
    <w:p w14:paraId="2B07FF28">
      <w:pPr>
        <w:spacing w:after="60" w:line="300" w:lineRule="auto"/>
        <w:ind w:left="440" w:hanging="440"/>
      </w:pPr>
      <w:r>
        <w:rPr>
          <w:rFonts w:hint="eastAsia" w:ascii="Times New Roman" w:hAnsi="Times New Roman" w:eastAsia="宋体"/>
          <w:b w:val="0"/>
          <w:i w:val="0"/>
          <w:color w:val="333333"/>
          <w:sz w:val="18"/>
        </w:rPr>
        <w:t>[8] 国家互联网信息办公室等四部门. 互联网信息服务算法推荐管理规定. 2022-03-01施行.（公开可查证，第17、21条原文已核实）https://www.cac.gov.cn/2022-01/04/c_1642894606364259.htm</w:t>
      </w:r>
    </w:p>
    <w:p w14:paraId="22215FB4">
      <w:pPr>
        <w:spacing w:after="60" w:line="300" w:lineRule="auto"/>
        <w:ind w:left="440" w:hanging="440"/>
      </w:pPr>
      <w:r>
        <w:rPr>
          <w:rFonts w:hint="eastAsia" w:ascii="Times New Roman" w:hAnsi="Times New Roman" w:eastAsia="宋体"/>
          <w:b w:val="0"/>
          <w:i w:val="0"/>
          <w:color w:val="333333"/>
          <w:sz w:val="18"/>
        </w:rPr>
        <w:t>[9] 中国政府网. 网络数据安全管理条例（国务院令第790号）. 2024-10-20.（公开可查证）https://www.gov.cn/gongbao/2024/issue_11646/202410/content_6980863.html</w:t>
      </w:r>
    </w:p>
    <w:p w14:paraId="3348E38F">
      <w:pPr>
        <w:spacing w:after="60" w:line="300" w:lineRule="auto"/>
        <w:ind w:left="440" w:hanging="440"/>
      </w:pPr>
      <w:r>
        <w:rPr>
          <w:rFonts w:hint="eastAsia" w:ascii="Times New Roman" w:hAnsi="Times New Roman" w:eastAsia="宋体"/>
          <w:b w:val="0"/>
          <w:i w:val="0"/>
          <w:color w:val="333333"/>
          <w:sz w:val="18"/>
        </w:rPr>
        <w:t>[10] 金融产品网络营销管理办法. 2026-04-24印发，2026-09-30施行.（部分核实：要点经Lexology专业解读转引，全文以正式刊发文本为准）https://www.lexology.com/library/detail.aspx?g=e65768cb-c8e9-43b7-bf88-c441c4f7ede2</w:t>
      </w:r>
    </w:p>
    <w:p w14:paraId="5984F5B5">
      <w:pPr>
        <w:spacing w:after="60" w:line="300" w:lineRule="auto"/>
        <w:ind w:left="440" w:hanging="440"/>
      </w:pPr>
      <w:r>
        <w:rPr>
          <w:rFonts w:hint="eastAsia" w:ascii="Times New Roman" w:hAnsi="Times New Roman" w:eastAsia="宋体"/>
          <w:b w:val="0"/>
          <w:i w:val="0"/>
          <w:color w:val="333333"/>
          <w:sz w:val="18"/>
        </w:rPr>
        <w:t>[11] 国家金融监督管理总局. 关于银行业保险业人工智能安全开发应用的指导意见（金发〔2026〕8号）. 2026-06-18.（公开可查证）https://www.nfra.gov.cn/cn/view/pages/ItemDetail.html?docId=1261784</w:t>
      </w:r>
    </w:p>
    <w:p w14:paraId="4542D6F1">
      <w:pPr>
        <w:spacing w:after="60" w:line="300" w:lineRule="auto"/>
        <w:ind w:left="440" w:hanging="440"/>
      </w:pPr>
      <w:r>
        <w:rPr>
          <w:rFonts w:hint="eastAsia" w:ascii="Times New Roman" w:hAnsi="Times New Roman" w:eastAsia="宋体"/>
          <w:b w:val="0"/>
          <w:i w:val="0"/>
          <w:color w:val="333333"/>
          <w:sz w:val="18"/>
        </w:rPr>
        <w:t>[12] LatentView. Digital Twin of Customer (DToC). 2026-03-25.（公开可查证，厂商官方来源）（厂商口径，未获独立第三方验证；其量化数字不作为效益承诺依据）https://www.latentview.com/glossary/digital-twin-of-customer-DToC/</w:t>
      </w:r>
    </w:p>
    <w:p w14:paraId="37C5C720">
      <w:pPr>
        <w:spacing w:after="60" w:line="300" w:lineRule="auto"/>
        <w:ind w:left="440" w:hanging="440"/>
      </w:pPr>
      <w:r>
        <w:rPr>
          <w:rFonts w:hint="eastAsia" w:ascii="Times New Roman" w:hAnsi="Times New Roman" w:eastAsia="宋体"/>
          <w:b w:val="0"/>
          <w:i w:val="0"/>
          <w:color w:val="333333"/>
          <w:sz w:val="18"/>
        </w:rPr>
        <w:t>[13] Delve AI. Digital Twin of a Customer (DToC): How It Can Help Marketers. 2026-07-07.（公开可查证，厂商官方来源）（厂商口径）https://www.delve.ai/blog/digital-twin-of-a-customer</w:t>
      </w:r>
    </w:p>
    <w:p w14:paraId="7F371749">
      <w:pPr>
        <w:spacing w:after="60" w:line="300" w:lineRule="auto"/>
        <w:ind w:left="440" w:hanging="440"/>
      </w:pPr>
      <w:r>
        <w:rPr>
          <w:rFonts w:hint="eastAsia" w:ascii="Times New Roman" w:hAnsi="Times New Roman" w:eastAsia="宋体"/>
          <w:b w:val="0"/>
          <w:i w:val="0"/>
          <w:color w:val="333333"/>
          <w:sz w:val="18"/>
        </w:rPr>
        <w:t>[14] Genesys. Digital twin of a customer. 2026-07-19.（公开可查证，厂商官方来源）（厂商口径）https://www.genesys.com/en-gb/definitions/what-is-a-digital-twin-of-a-customer</w:t>
      </w:r>
    </w:p>
    <w:p w14:paraId="5AD84CDD">
      <w:pPr>
        <w:spacing w:after="60" w:line="300" w:lineRule="auto"/>
        <w:ind w:left="440" w:hanging="440"/>
      </w:pPr>
      <w:r>
        <w:rPr>
          <w:rFonts w:hint="eastAsia" w:ascii="Times New Roman" w:hAnsi="Times New Roman" w:eastAsia="宋体"/>
          <w:b w:val="0"/>
          <w:i w:val="0"/>
          <w:color w:val="333333"/>
          <w:sz w:val="18"/>
        </w:rPr>
        <w:t>[15] ICEMD（ESIC商学院）. Customer Digital Twins for simulating journeys: A practical guide. 2025-12-30.（公开可查证，含银行金融应用分析）https://icemd.esic.edu/knowledge/articulos/gemelos-digitales-del-cliente-customer-digital-twins-para-simular-journeys-la-guia-practica-aplicable-e-innovadora/</w:t>
      </w:r>
    </w:p>
    <w:p w14:paraId="2DFE2484">
      <w:pPr>
        <w:spacing w:after="60" w:line="300" w:lineRule="auto"/>
        <w:ind w:left="440" w:hanging="440"/>
      </w:pPr>
      <w:r>
        <w:rPr>
          <w:rFonts w:hint="eastAsia" w:ascii="Times New Roman" w:hAnsi="Times New Roman" w:eastAsia="宋体"/>
          <w:b w:val="0"/>
          <w:i w:val="0"/>
          <w:color w:val="333333"/>
          <w:sz w:val="18"/>
        </w:rPr>
        <w:t>[16] Cognizant. How Digital Twins of Customers (DToCs) can Leverage Customer Experience. 2026-06-24.（公开可查证；Gartner专家认为5—10年内变革企业）（厂商洞察；转引Gartner专家观点，非Gartner原文）https://www.cognizant.com/ch/en/insights/blog/articles/customerexperience-digital-twins</w:t>
      </w:r>
    </w:p>
    <w:p w14:paraId="7FB10B31">
      <w:pPr>
        <w:spacing w:after="60" w:line="300" w:lineRule="auto"/>
        <w:ind w:left="440" w:hanging="440"/>
      </w:pPr>
      <w:r>
        <w:rPr>
          <w:rFonts w:hint="eastAsia" w:ascii="Times New Roman" w:hAnsi="Times New Roman" w:eastAsia="宋体"/>
          <w:b w:val="0"/>
          <w:i w:val="0"/>
          <w:color w:val="333333"/>
          <w:sz w:val="18"/>
        </w:rPr>
        <w:t>[17] Gartner. Hype Cycle for CRM Technologies, 2025（G00827302）：DToC处于On the Rise，效益评级"高"，渗透率1%—5%.（部分核实：原文为订阅内容，经第三方转引页面核实）（Gartner原文为订阅内容，本条经第三方转引页面核实）https://poly.ai/files/gartner-hype-cycle-for-crm</w:t>
      </w:r>
    </w:p>
    <w:p w14:paraId="5CC66937">
      <w:pPr>
        <w:spacing w:after="60" w:line="300" w:lineRule="auto"/>
        <w:ind w:left="440" w:hanging="440"/>
      </w:pPr>
      <w:r>
        <w:rPr>
          <w:rFonts w:hint="eastAsia" w:ascii="Times New Roman" w:hAnsi="Times New Roman" w:eastAsia="宋体"/>
          <w:b w:val="0"/>
          <w:i w:val="0"/>
          <w:color w:val="333333"/>
          <w:sz w:val="18"/>
        </w:rPr>
        <w:t>[18] Consumer Goods Technology. Coca-Cola Scaling GenAI Marketing Campaigns With Digital Twins. 2024-08-02.（公开可查证；属内容生产型数字孪生，仅作边界参照）（行业媒体报道；属产品/内容数字孪生，仅作边界参照）https://consumergoods.com/coca-cola-scaling-genai-marketing-campaigns-digital-twins</w:t>
      </w:r>
    </w:p>
    <w:p w14:paraId="39759278">
      <w:pPr>
        <w:spacing w:after="60" w:line="300" w:lineRule="auto"/>
        <w:ind w:left="440" w:hanging="440"/>
      </w:pPr>
      <w:r>
        <w:rPr>
          <w:rFonts w:hint="eastAsia" w:ascii="Times New Roman" w:hAnsi="Times New Roman" w:eastAsia="宋体"/>
          <w:b w:val="0"/>
          <w:i w:val="0"/>
          <w:color w:val="333333"/>
          <w:sz w:val="18"/>
        </w:rPr>
        <w:t>[19] VentureBeat. Sprinklr launches "Digital Twins," AI versions of brands.（公开可查证，原文未标注发布日期）（行业媒体报道；原文未标注发布日期）https://venturebeat.com/ai/sprinklr-launches-digital-twins-ai-versions-of-brands/</w:t>
      </w:r>
    </w:p>
    <w:p w14:paraId="51E59AED">
      <w:pPr>
        <w:spacing w:after="60" w:line="300" w:lineRule="auto"/>
        <w:ind w:left="440" w:hanging="440"/>
      </w:pPr>
      <w:r>
        <w:rPr>
          <w:rFonts w:hint="eastAsia" w:ascii="Times New Roman" w:hAnsi="Times New Roman" w:eastAsia="宋体"/>
          <w:b w:val="0"/>
          <w:i w:val="0"/>
          <w:color w:val="333333"/>
          <w:sz w:val="18"/>
        </w:rPr>
        <w:t>[20] BusinessWire. Accenture Acquires Digital Twin Technology for Banks to Enhance Core Modernization Capabilities. 2025-01-03.（公开可查证）https://www.businesswire.com/news/home/20250103552551/en/Accenture-Acquires-Digital-Twin-Technology-for-Banks-to-Enhance-Core-Modernization-Capabilities</w:t>
      </w:r>
    </w:p>
    <w:p w14:paraId="64098144">
      <w:pPr>
        <w:spacing w:after="60" w:line="300" w:lineRule="auto"/>
        <w:ind w:left="440" w:hanging="440"/>
      </w:pPr>
      <w:r>
        <w:rPr>
          <w:rFonts w:ascii="Times New Roman" w:hAnsi="Times New Roman" w:eastAsia="宋体"/>
          <w:b w:val="0"/>
          <w:i w:val="0"/>
          <w:color w:val="333333"/>
          <w:sz w:val="18"/>
        </w:rPr>
        <w:t>[21] Etiya. Etiya's Digital Twin of Customer (DToC) Wins the CX Catalyst Award. 2025-12-05.（公开可查证，厂商官方来源）https://www.etiya.com/en/our-company/news-and-media/news/etiya-dtoc-cx-catalyst-award</w:t>
      </w:r>
    </w:p>
    <w:p w14:paraId="5BC80790">
      <w:pPr>
        <w:spacing w:after="60" w:line="300" w:lineRule="auto"/>
        <w:ind w:left="440" w:hanging="440"/>
      </w:pPr>
      <w:r>
        <w:rPr>
          <w:rFonts w:hint="eastAsia"/>
          <w:b w:val="0"/>
          <w:i w:val="0"/>
          <w:color w:val="333333"/>
          <w:sz w:val="18"/>
          <w:lang w:val="en-US" w:eastAsia="zh-CN"/>
        </w:rPr>
        <w:t xml:space="preserve"> </w:t>
      </w:r>
      <w:r>
        <w:rPr>
          <w:rFonts w:hint="eastAsia" w:ascii="Times New Roman" w:hAnsi="Times New Roman" w:eastAsia="宋体"/>
          <w:b w:val="0"/>
          <w:i w:val="0"/>
          <w:color w:val="333333"/>
          <w:sz w:val="18"/>
        </w:rPr>
        <w:t>[22] 每日经济新闻. 对话俞吴杰：近观招商银行如何修炼数字"内功". 2024-12-09.（公开可查证，经今日头条平台转发）（财经媒体报道；经今日头条平台转载，建议以每日经济新闻原站为准）http://m.toutiao.com/group/7446389963979096591/</w:t>
      </w:r>
    </w:p>
    <w:p w14:paraId="257C367B">
      <w:pPr>
        <w:spacing w:after="60" w:line="300" w:lineRule="auto"/>
        <w:ind w:left="440" w:hanging="440"/>
      </w:pPr>
      <w:r>
        <w:rPr>
          <w:rFonts w:hint="eastAsia" w:ascii="Times New Roman" w:hAnsi="Times New Roman" w:eastAsia="宋体"/>
          <w:b w:val="0"/>
          <w:i w:val="0"/>
          <w:color w:val="333333"/>
          <w:sz w:val="18"/>
        </w:rPr>
        <w:t>[23] 中国工商银行. 中国工商银行2025年经营发展向新向优（"工银智涌"落地500余个场景）. 2026-03-27.（公开可查证，银行官方披露）http://wap.icbc.com.cn/page/1211022925424381952.html</w:t>
      </w:r>
    </w:p>
    <w:p w14:paraId="769E6C39">
      <w:pPr>
        <w:spacing w:after="60" w:line="300" w:lineRule="auto"/>
        <w:ind w:left="440" w:hanging="440"/>
      </w:pPr>
      <w:r>
        <w:rPr>
          <w:rFonts w:hint="eastAsia" w:ascii="Times New Roman" w:hAnsi="Times New Roman" w:eastAsia="宋体"/>
          <w:b w:val="0"/>
          <w:i w:val="0"/>
          <w:color w:val="333333"/>
          <w:sz w:val="18"/>
        </w:rPr>
        <w:t>[24] 新浪财经. 工行数字化转型如何重塑现金运营？（金库三维数字孪生底座）. 2025-12-01.（公开可查证）（财经媒体报道，非银行官方披露）https://finance.sina.com.cn/roll/2025-12-01/doc-infzfwnn4436826.shtml</w:t>
      </w:r>
    </w:p>
    <w:p w14:paraId="6752ABDD">
      <w:pPr>
        <w:spacing w:after="60" w:line="300" w:lineRule="auto"/>
        <w:ind w:left="440" w:hanging="440"/>
      </w:pPr>
      <w:r>
        <w:rPr>
          <w:rFonts w:hint="eastAsia" w:ascii="Times New Roman" w:hAnsi="Times New Roman" w:eastAsia="宋体"/>
          <w:b w:val="0"/>
          <w:i w:val="0"/>
          <w:color w:val="333333"/>
          <w:sz w:val="18"/>
        </w:rPr>
        <w:t>[25] CX Dive. Digital twins of the customer are "no silver bullet," experts say. 2026-01-26.（公开可查证）https://www.customerexperiencedive.com/news/digital-twins-customer-experience-no-magic-bullet/809927/</w:t>
      </w:r>
    </w:p>
    <w:p w14:paraId="2D12FA96">
      <w:pPr>
        <w:spacing w:after="60" w:line="300" w:lineRule="auto"/>
        <w:ind w:left="440" w:hanging="440"/>
      </w:pPr>
      <w:r>
        <w:rPr>
          <w:rFonts w:hint="eastAsia" w:ascii="Times New Roman" w:hAnsi="Times New Roman" w:eastAsia="宋体"/>
          <w:b w:val="0"/>
          <w:i w:val="0"/>
          <w:color w:val="333333"/>
          <w:sz w:val="18"/>
        </w:rPr>
        <w:t>[26] McKinsey &amp; Company. The value of getting personalization right—or wrong—is multiplying. 2021-11-12.（公开可查证；行业基准，非金融业专属）https://www.mckinsey.com/capabilities/growth-marketing-and-sales/our-insights/the-value-of-getting-personalization-right-or-wrong-is-multiplying</w:t>
      </w:r>
    </w:p>
    <w:p w14:paraId="4579D6B3">
      <w:pPr>
        <w:spacing w:after="60" w:line="300" w:lineRule="auto"/>
        <w:ind w:left="440" w:hanging="440"/>
      </w:pPr>
      <w:r>
        <w:rPr>
          <w:rFonts w:hint="eastAsia" w:ascii="Times New Roman" w:hAnsi="Times New Roman" w:eastAsia="宋体"/>
          <w:b w:val="0"/>
          <w:i w:val="0"/>
          <w:color w:val="333333"/>
          <w:sz w:val="18"/>
        </w:rPr>
        <w:t>[27] 中国人民银行. 金融领域科技伦理指引（JR/T 0258—2022）. 2022-10-09发布并实施.（公开可查证；标准备案信息见全国标准信息公共服务平台，归口及主管部门均为中国人民银行）https://std.samr.gov.cn/hb/search/stdHBDetailedCNF?id=EB8741137DC1D95CE05397BE0A0AEDB5</w:t>
      </w:r>
    </w:p>
    <w:p w14:paraId="2B7AE9A3">
      <w:pPr>
        <w:spacing w:after="60" w:line="300" w:lineRule="auto"/>
        <w:ind w:left="440" w:hanging="440"/>
      </w:pPr>
      <w:r>
        <w:rPr>
          <w:rFonts w:hint="eastAsia" w:ascii="Times New Roman" w:hAnsi="Times New Roman" w:eastAsia="宋体"/>
          <w:b w:val="0"/>
          <w:i w:val="0"/>
          <w:color w:val="333333"/>
          <w:sz w:val="18"/>
        </w:rPr>
        <w:t>[28] CleverX. What are digital twins of customers?（含2025年$24.48B、2026年$33.97B市场规模）. 2026-04-02.（公开可查证）（第三方调研平台汇总，非Gartner、IDC等专业市场研究机构口径，仅作量级参考）https://cleverx.com/guides/what-are-digital-twins-of-customers-definition-how-they-work-and-how-they-compare-to-synthetic-respo/</w:t>
      </w:r>
    </w:p>
    <w:p w14:paraId="201E7EBE">
      <w:pPr>
        <w:spacing w:after="60" w:line="300" w:lineRule="auto"/>
        <w:ind w:left="440" w:hanging="440"/>
      </w:pPr>
      <w:r>
        <w:rPr>
          <w:rFonts w:hint="eastAsia" w:ascii="Times New Roman" w:hAnsi="Times New Roman" w:eastAsia="宋体"/>
          <w:b w:val="0"/>
          <w:i w:val="0"/>
          <w:color w:val="333333"/>
          <w:sz w:val="18"/>
        </w:rPr>
        <w:t>[29] TD SYNNEX. Entenda o conceito de Gêmeo Digital do Cliente (DToC)（转引Gartner：2027年20%的B2B销售组织将实施DToC）. 2026.（公开可查证，第三方转引，非Gartner原文）（第三方转引Gartner，非Gartner原文）https://blog-pt.lac.tdsynnex.com/entenda-o-conceito-de-gemeo-digital-do-cliente-DToC</w:t>
      </w:r>
    </w:p>
    <w:p w14:paraId="2E159098">
      <w:pPr>
        <w:spacing w:after="60" w:line="300" w:lineRule="auto"/>
        <w:ind w:left="440" w:hanging="440"/>
      </w:pPr>
      <w:r>
        <w:rPr>
          <w:rFonts w:hint="eastAsia" w:ascii="Times New Roman" w:hAnsi="Times New Roman" w:eastAsia="宋体"/>
          <w:b w:val="0"/>
          <w:i w:val="0"/>
          <w:color w:val="333333"/>
          <w:sz w:val="18"/>
        </w:rPr>
        <w:t>[30] MindInventory. Digital Twin Statistics 2026（转引Gartner：2027年40%大型企业采用数字孪生）. 2026-08-11.（公开可查证，第三方转引，非Gartner原文）（第三方转引Gartner，非Gartner原文）https://www.mindinventory.com/blog/digital-twin-statistics/</w:t>
      </w:r>
    </w:p>
    <w:p w14:paraId="7F5E89BB">
      <w:pPr>
        <w:spacing w:after="60" w:line="300" w:lineRule="auto"/>
        <w:ind w:left="440" w:hanging="440"/>
      </w:pPr>
      <w:r>
        <w:rPr>
          <w:rFonts w:hint="eastAsia" w:ascii="Times New Roman" w:hAnsi="Times New Roman" w:eastAsia="宋体"/>
          <w:b w:val="0"/>
          <w:i w:val="0"/>
          <w:color w:val="333333"/>
          <w:sz w:val="18"/>
        </w:rPr>
        <w:t>[31] Gartner. Supply Chains Building a Digital Twin of the Customer（27% CSCO认为重要，27%试点或计划实施）.（公开可查证）https://emt.gartnerweb.com/ngw/globalassets/en/supply-chain/documents/digital-twin-of-the-customer.pdf</w:t>
      </w:r>
    </w:p>
    <w:p w14:paraId="5E5D4E50">
      <w:pPr>
        <w:spacing w:after="60" w:line="300" w:lineRule="auto"/>
        <w:ind w:left="440" w:hanging="440"/>
      </w:pPr>
      <w:r>
        <w:rPr>
          <w:rFonts w:hint="eastAsia" w:ascii="Times New Roman" w:hAnsi="Times New Roman" w:eastAsia="宋体"/>
          <w:b w:val="0"/>
          <w:i w:val="0"/>
          <w:color w:val="333333"/>
          <w:sz w:val="18"/>
        </w:rPr>
        <w:t>[32] 上海浦东发展银行. 2025年年度报告. 2026-03-31.（公开可查证，本行定期报告；含"数智化"战略、五大赛道、三超建设、五数与五大体系、5A4S企业级架构、《人工智能实施行动计划（2026）》等）https://static.sse.com.cn/disclosure/listedinfo/announcement/c/new/2026-03-31/600000_20260331_ZWFN.pdf</w:t>
      </w:r>
    </w:p>
    <w:p w14:paraId="59443D89">
      <w:pPr>
        <w:spacing w:after="60" w:line="300" w:lineRule="auto"/>
        <w:ind w:left="440" w:hanging="440"/>
      </w:pPr>
      <w:r>
        <w:rPr>
          <w:rFonts w:hint="eastAsia" w:ascii="Times New Roman" w:hAnsi="Times New Roman" w:eastAsia="宋体"/>
          <w:b w:val="0"/>
          <w:i w:val="0"/>
          <w:color w:val="333333"/>
          <w:sz w:val="18"/>
        </w:rPr>
        <w:t>[33] 上海浦东发展银行. 2026年上半年主要经营情况公告. 2026-07-20.（公开可查证，本行定期报告；含超440个AI应用、数智营销等五大领域）https://news.spdb.com.cn/investor_relation/company_report/202607/P020260720684954815602.pdf</w:t>
      </w:r>
    </w:p>
    <w:p w14:paraId="6889FF21">
      <w:pPr>
        <w:spacing w:after="60" w:line="300" w:lineRule="auto"/>
        <w:ind w:left="440" w:hanging="440"/>
      </w:pPr>
      <w:r>
        <w:rPr>
          <w:rFonts w:hint="eastAsia" w:ascii="Times New Roman" w:hAnsi="Times New Roman" w:eastAsia="宋体"/>
          <w:b w:val="0"/>
          <w:i w:val="0"/>
          <w:color w:val="333333"/>
          <w:sz w:val="18"/>
        </w:rPr>
        <w:t>[34] 浦发银行. 浦发银行发布2025年年报：数智化战略走深走实 高质量发展稳中有进. 2026-04-21.（公开可查证，本行官网；含推进企架工程实施、重点领域架构重塑等）https://news.spdb.com.cn/about_spd/xwdt_1632/202604/t20260421_16563391.shtml</w:t>
      </w:r>
    </w:p>
    <w:sectPr>
      <w:pgSz w:w="12240" w:h="15840"/>
      <w:pgMar w:top="1361" w:right="1587" w:bottom="1361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2D388C"/>
    <w:rsid w:val="0D13751B"/>
    <w:rsid w:val="0DEB1BAB"/>
    <w:rsid w:val="0F4C2412"/>
    <w:rsid w:val="13FC0117"/>
    <w:rsid w:val="152754B3"/>
    <w:rsid w:val="17725E86"/>
    <w:rsid w:val="1A236719"/>
    <w:rsid w:val="1E20616F"/>
    <w:rsid w:val="234904BA"/>
    <w:rsid w:val="2D5E35E4"/>
    <w:rsid w:val="2F065CE2"/>
    <w:rsid w:val="2F6D3FB3"/>
    <w:rsid w:val="324A4137"/>
    <w:rsid w:val="34390907"/>
    <w:rsid w:val="38FA125D"/>
    <w:rsid w:val="3B5570E7"/>
    <w:rsid w:val="3BAA5C47"/>
    <w:rsid w:val="3E4D1B6F"/>
    <w:rsid w:val="3E7C38CA"/>
    <w:rsid w:val="3F984734"/>
    <w:rsid w:val="468646D7"/>
    <w:rsid w:val="47266AC9"/>
    <w:rsid w:val="4880045B"/>
    <w:rsid w:val="4A527BD5"/>
    <w:rsid w:val="4B510508"/>
    <w:rsid w:val="4E656129"/>
    <w:rsid w:val="4E791BD4"/>
    <w:rsid w:val="505F4DFA"/>
    <w:rsid w:val="524A460B"/>
    <w:rsid w:val="57A93052"/>
    <w:rsid w:val="61F01D56"/>
    <w:rsid w:val="63D00091"/>
    <w:rsid w:val="75644ADD"/>
    <w:rsid w:val="759271DD"/>
    <w:rsid w:val="7AA5597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62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7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9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39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42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61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5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4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4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3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53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Quote Char"/>
    <w:basedOn w:val="132"/>
    <w:link w:val="136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136">
    <w:name w:val="Quote"/>
    <w:basedOn w:val="1"/>
    <w:next w:val="1"/>
    <w:link w:val="13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37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38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39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40">
    <w:name w:val="Intense Quote"/>
    <w:basedOn w:val="1"/>
    <w:next w:val="1"/>
    <w:link w:val="155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45">
    <w:name w:val="Footer Char"/>
    <w:basedOn w:val="132"/>
    <w:link w:val="24"/>
    <w:uiPriority w:val="99"/>
  </w:style>
  <w:style w:type="character" w:customStyle="1" w:styleId="146">
    <w:name w:val="Header Char"/>
    <w:basedOn w:val="132"/>
    <w:link w:val="25"/>
    <w:uiPriority w:val="99"/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9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0">
    <w:name w:val="Book Title"/>
    <w:basedOn w:val="132"/>
    <w:qFormat/>
    <w:uiPriority w:val="33"/>
    <w:rPr>
      <w:b/>
      <w:bCs/>
      <w:smallCaps/>
      <w:spacing w:val="5"/>
    </w:rPr>
  </w:style>
  <w:style w:type="character" w:customStyle="1" w:styleId="151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53">
    <w:name w:val="Body Text 2 Char"/>
    <w:basedOn w:val="132"/>
    <w:link w:val="28"/>
    <w:uiPriority w:val="99"/>
  </w:style>
  <w:style w:type="character" w:customStyle="1" w:styleId="154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Intense Quote Char"/>
    <w:basedOn w:val="132"/>
    <w:link w:val="140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customStyle="1" w:styleId="156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57">
    <w:name w:val="Body Text Char"/>
    <w:basedOn w:val="132"/>
    <w:link w:val="19"/>
    <w:uiPriority w:val="99"/>
  </w:style>
  <w:style w:type="character" w:customStyle="1" w:styleId="158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9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Body Text 3 Char"/>
    <w:basedOn w:val="132"/>
    <w:link w:val="17"/>
    <w:uiPriority w:val="99"/>
    <w:rPr>
      <w:sz w:val="16"/>
      <w:szCs w:val="16"/>
    </w:rPr>
  </w:style>
  <w:style w:type="character" w:customStyle="1" w:styleId="162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63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38</Pages>
  <Words>4020</Words>
  <Characters>4352</Characters>
  <TotalTime>5</TotalTime>
  <ScaleCrop>false</ScaleCrop>
  <LinksUpToDate>false</LinksUpToDate>
  <CharactersWithSpaces>4368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2026-09-01T17:38:00Z</dcterms:created>
  <dc:creator>leftn</dc:creator>
  <cp:lastModifiedBy>J.SL</cp:lastModifiedBy>
  <dcterms:modified xsi:type="dcterms:W3CDTF">2026-09-01T09:58:26Z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eyJoZGlkIjoiMTM0NWIzYjIzMDkyOWExZjM0YmY5MDI3NDQ1NjkwYTciLCJ1c2VySWQiOiIxMDI2Nzc2MTIzIn0=</vt:lpwstr>
  </property>
  <property fmtid="{D5CDD505-2E9C-101B-9397-08002B2CF9AE}" pid="3" name="KSOProductBuildVer">
    <vt:lpwstr>2052-12.1.0.28043</vt:lpwstr>
  </property>
  <property fmtid="{D5CDD505-2E9C-101B-9397-08002B2CF9AE}" pid="4" name="ICV">
    <vt:lpwstr>F1EB6B2869484872A07E2B2282469064_12</vt:lpwstr>
  </property>
</Properties>
</file>