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88CC" w14:textId="77777777" w:rsidR="001F025E" w:rsidRPr="00197615" w:rsidRDefault="00000000">
      <w:pPr>
        <w:spacing w:before="120" w:after="360"/>
        <w:jc w:val="center"/>
        <w:rPr>
          <w:rFonts w:ascii="宋体" w:eastAsia="宋体" w:hAnsi="宋体" w:hint="eastAsia"/>
        </w:rPr>
      </w:pPr>
      <w:r w:rsidRPr="00197615">
        <w:rPr>
          <w:rFonts w:ascii="宋体" w:eastAsia="宋体" w:hAnsi="宋体" w:cs="黑体"/>
          <w:b/>
          <w:bCs/>
          <w:sz w:val="44"/>
          <w:szCs w:val="44"/>
        </w:rPr>
        <w:t>前沿技术趋势扫描与专题研究工作推进方案</w:t>
      </w:r>
    </w:p>
    <w:p w14:paraId="6F8CCF82" w14:textId="77777777" w:rsidR="00197615" w:rsidRPr="00F473F3" w:rsidRDefault="00197615" w:rsidP="00197615">
      <w:pPr>
        <w:spacing w:before="120" w:after="360"/>
        <w:jc w:val="center"/>
        <w:rPr>
          <w:rFonts w:ascii="黑体" w:eastAsia="黑体" w:hAnsi="黑体" w:cs="黑体" w:hint="eastAsia"/>
          <w:b/>
          <w:bCs/>
          <w:sz w:val="36"/>
          <w:szCs w:val="36"/>
        </w:rPr>
      </w:pPr>
    </w:p>
    <w:p w14:paraId="5C6AAB56" w14:textId="43E97DD3" w:rsidR="001F025E" w:rsidRDefault="00000000">
      <w:pPr>
        <w:pStyle w:val="1"/>
        <w:rPr>
          <w:rFonts w:hint="eastAsia"/>
        </w:rPr>
      </w:pPr>
      <w:r>
        <w:t>一、总体目标</w:t>
      </w:r>
    </w:p>
    <w:p w14:paraId="033BE90C" w14:textId="4F0AD92A" w:rsidR="001F025E" w:rsidRDefault="00000000">
      <w:pPr>
        <w:spacing w:after="120" w:line="360" w:lineRule="auto"/>
        <w:ind w:firstLine="560"/>
        <w:jc w:val="both"/>
        <w:rPr>
          <w:rFonts w:hint="eastAsia"/>
        </w:rPr>
      </w:pPr>
      <w:r>
        <w:rPr>
          <w:color w:val="000000"/>
        </w:rPr>
        <w:t>“十五五”期间，</w:t>
      </w:r>
      <w:r w:rsidR="00197615">
        <w:rPr>
          <w:rFonts w:hint="eastAsia"/>
          <w:color w:val="000000"/>
        </w:rPr>
        <w:t>科技</w:t>
      </w:r>
      <w:r>
        <w:rPr>
          <w:color w:val="000000"/>
        </w:rPr>
        <w:t>规划处</w:t>
      </w:r>
      <w:r w:rsidR="00197615">
        <w:rPr>
          <w:rFonts w:hint="eastAsia"/>
          <w:color w:val="000000"/>
        </w:rPr>
        <w:t>将牵头</w:t>
      </w:r>
      <w:r>
        <w:rPr>
          <w:color w:val="000000"/>
        </w:rPr>
        <w:t>建立前瞻性、体系化、决策导向的前沿技术研判能力，依托Gartner等权威咨询资源与多源情报渠道动态感知和研判技术发展趋势，对需深入论证的具体技术组织相关专业单位协同研究，推动技术洞察从零散跟踪向常态研判升级、从信息搬运向价值研判升级，打造支撑科技决策的“前沿技术雷达”与“技术储备库”，建立“年度研判+季度跟踪”的稳定输出机制</w:t>
      </w:r>
      <w:r w:rsidR="00197615">
        <w:rPr>
          <w:rFonts w:hint="eastAsia"/>
          <w:color w:val="000000"/>
        </w:rPr>
        <w:t>，为</w:t>
      </w:r>
      <w:r>
        <w:rPr>
          <w:color w:val="000000"/>
        </w:rPr>
        <w:t>科技规划编制、重大科技投资决策与新技术验证立项</w:t>
      </w:r>
      <w:r w:rsidR="00197615">
        <w:rPr>
          <w:rFonts w:hint="eastAsia"/>
          <w:color w:val="000000"/>
        </w:rPr>
        <w:t>提供有力支撑</w:t>
      </w:r>
      <w:r>
        <w:rPr>
          <w:color w:val="000000"/>
        </w:rPr>
        <w:t>。</w:t>
      </w:r>
    </w:p>
    <w:p w14:paraId="2C682CEE" w14:textId="77777777" w:rsidR="001F025E" w:rsidRDefault="00000000">
      <w:pPr>
        <w:pStyle w:val="1"/>
        <w:rPr>
          <w:rFonts w:hint="eastAsia"/>
        </w:rPr>
      </w:pPr>
      <w:r>
        <w:t>二、重点任务与工作机制</w:t>
      </w:r>
    </w:p>
    <w:p w14:paraId="462A3A18" w14:textId="77777777" w:rsidR="001F025E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DB5714" wp14:editId="5DA874ED">
            <wp:extent cx="4381500" cy="3171825"/>
            <wp:effectExtent l="0" t="0" r="0" b="0"/>
            <wp:docPr id="1" name="图1 筛选漏斗" descr="图1 筛选漏斗" title="图1 筛选漏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71F9" w14:textId="77777777" w:rsidR="001F025E" w:rsidRDefault="00000000">
      <w:pPr>
        <w:spacing w:before="60" w:after="200"/>
        <w:jc w:val="center"/>
        <w:rPr>
          <w:rFonts w:hint="eastAsia"/>
        </w:rPr>
      </w:pPr>
      <w:r>
        <w:rPr>
          <w:color w:val="595959"/>
          <w:sz w:val="22"/>
          <w:szCs w:val="22"/>
        </w:rPr>
        <w:t>图1　前沿技术从情报采集到提前布局的筛选漏斗</w:t>
      </w:r>
    </w:p>
    <w:p w14:paraId="683853B1" w14:textId="77777777" w:rsidR="001F025E" w:rsidRDefault="00000000">
      <w:pPr>
        <w:pStyle w:val="2"/>
        <w:rPr>
          <w:rFonts w:hint="eastAsia"/>
        </w:rPr>
      </w:pPr>
      <w:r>
        <w:lastRenderedPageBreak/>
        <w:t>（一）多源情报采集与知识库管理</w:t>
      </w:r>
    </w:p>
    <w:p w14:paraId="53EF9F44" w14:textId="77777777" w:rsidR="001F025E" w:rsidRDefault="00000000">
      <w:pPr>
        <w:spacing w:after="120" w:line="360" w:lineRule="auto"/>
        <w:ind w:firstLine="560"/>
        <w:jc w:val="both"/>
        <w:rPr>
          <w:rFonts w:hint="eastAsia"/>
        </w:rPr>
      </w:pPr>
      <w:r>
        <w:rPr>
          <w:color w:val="000000"/>
        </w:rPr>
        <w:t>以权威咨询机构为主干，多渠道并行采集，紧扣人工智能、量子科技、数据要素等战略方向布设扫描网络。各渠道来源、采集重点与节奏如下表。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3540"/>
        <w:gridCol w:w="2700"/>
        <w:gridCol w:w="1500"/>
      </w:tblGrid>
      <w:tr w:rsidR="001F025E" w14:paraId="0872A936" w14:textId="77777777">
        <w:trPr>
          <w:tblHeader/>
        </w:trPr>
        <w:tc>
          <w:tcPr>
            <w:tcW w:w="16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DD81C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渠道类别</w:t>
            </w:r>
          </w:p>
        </w:tc>
        <w:tc>
          <w:tcPr>
            <w:tcW w:w="3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86CEF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主要来源与抓手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7E098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采集重点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1003E8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节奏</w:t>
            </w:r>
          </w:p>
        </w:tc>
      </w:tr>
      <w:tr w:rsidR="001F025E" w14:paraId="6F1ED894" w14:textId="77777777">
        <w:tc>
          <w:tcPr>
            <w:tcW w:w="16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22C7F" w14:textId="6E39FB4B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权威咨询</w:t>
            </w:r>
          </w:p>
        </w:tc>
        <w:tc>
          <w:tcPr>
            <w:tcW w:w="3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1E099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Gartner 等，分析师咨询、研究订阅、专题检索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22CF7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成熟度曲线、关键技术评估、厂商研判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3E256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实时+月度</w:t>
            </w:r>
          </w:p>
        </w:tc>
      </w:tr>
      <w:tr w:rsidR="001F025E" w14:paraId="16B859FC" w14:textId="77777777">
        <w:tc>
          <w:tcPr>
            <w:tcW w:w="16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78FB8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监管政策</w:t>
            </w:r>
          </w:p>
        </w:tc>
        <w:tc>
          <w:tcPr>
            <w:tcW w:w="3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13353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人民银行、金融监管总局政策与法规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ADACF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合规约束、政策窗口、强制性技术要求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90102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实时跟踪</w:t>
            </w:r>
          </w:p>
        </w:tc>
      </w:tr>
      <w:tr w:rsidR="001F025E" w14:paraId="2EA7312B" w14:textId="77777777">
        <w:tc>
          <w:tcPr>
            <w:tcW w:w="16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0CB20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行业协会与标准</w:t>
            </w:r>
          </w:p>
        </w:tc>
        <w:tc>
          <w:tcPr>
            <w:tcW w:w="3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D5567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金融与信息技术行业协会、标准化机构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234E7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标准演进、行业共识、技术路线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42548" w14:textId="23A671B9" w:rsidR="001F025E" w:rsidRDefault="00197615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季度</w:t>
            </w:r>
          </w:p>
        </w:tc>
      </w:tr>
      <w:tr w:rsidR="001F025E" w14:paraId="1BF9EDE7" w14:textId="77777777">
        <w:tc>
          <w:tcPr>
            <w:tcW w:w="16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61BAE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学术与专利</w:t>
            </w:r>
          </w:p>
        </w:tc>
        <w:tc>
          <w:tcPr>
            <w:tcW w:w="3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0D2FA" w14:textId="136832C7" w:rsidR="001F025E" w:rsidRDefault="00197615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各类公开信源</w:t>
            </w:r>
            <w:r>
              <w:rPr>
                <w:sz w:val="24"/>
                <w:szCs w:val="24"/>
              </w:rPr>
              <w:t>、专利数据库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1AA8D2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前沿突破、技术拐点、专利布局信号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CB5EA0" w14:textId="1C28DE81" w:rsidR="001F025E" w:rsidRDefault="00197615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季度</w:t>
            </w:r>
          </w:p>
        </w:tc>
      </w:tr>
      <w:tr w:rsidR="001F025E" w14:paraId="6BEBAEBC" w14:textId="77777777">
        <w:tc>
          <w:tcPr>
            <w:tcW w:w="16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87F39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峰会与厂商生态</w:t>
            </w:r>
          </w:p>
        </w:tc>
        <w:tc>
          <w:tcPr>
            <w:tcW w:w="3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A59269" w14:textId="423EDCCA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重要技术峰会、头部厂商技术大会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EEA4C8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工程化进展、产品化方向、引入门槛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44FF1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按会期</w:t>
            </w:r>
          </w:p>
        </w:tc>
      </w:tr>
      <w:tr w:rsidR="001F025E" w14:paraId="72CD4C3A" w14:textId="77777777">
        <w:tc>
          <w:tcPr>
            <w:tcW w:w="16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B4880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同业公开实践</w:t>
            </w:r>
          </w:p>
        </w:tc>
        <w:tc>
          <w:tcPr>
            <w:tcW w:w="35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9270D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同业年报与科技披露、公开案例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9BDB50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落地场景、应用成熟度、价值验证（参考）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971BD" w14:textId="77777777" w:rsidR="001F025E" w:rsidRDefault="00000000">
            <w:pPr>
              <w:spacing w:line="300" w:lineRule="auto"/>
              <w:rPr>
                <w:rFonts w:hint="eastAsia"/>
              </w:rPr>
            </w:pPr>
            <w:bookmarkStart w:id="0" w:name="OLE_LINK1"/>
            <w:r>
              <w:rPr>
                <w:sz w:val="24"/>
                <w:szCs w:val="24"/>
              </w:rPr>
              <w:t>季度</w:t>
            </w:r>
            <w:bookmarkEnd w:id="0"/>
          </w:p>
        </w:tc>
      </w:tr>
    </w:tbl>
    <w:p w14:paraId="48F254EA" w14:textId="77777777" w:rsidR="001F025E" w:rsidRDefault="001F025E">
      <w:pPr>
        <w:spacing w:after="80"/>
        <w:rPr>
          <w:rFonts w:hint="eastAsia"/>
        </w:rPr>
      </w:pPr>
    </w:p>
    <w:p w14:paraId="13B07AFD" w14:textId="77777777" w:rsidR="001F025E" w:rsidRDefault="00000000">
      <w:pPr>
        <w:spacing w:after="120" w:line="360" w:lineRule="auto"/>
        <w:ind w:firstLine="560"/>
        <w:jc w:val="both"/>
        <w:rPr>
          <w:rFonts w:hint="eastAsia"/>
        </w:rPr>
      </w:pPr>
      <w:r>
        <w:rPr>
          <w:color w:val="000000"/>
        </w:rPr>
        <w:t>采集到知识资产的形成遵循“采集—归集—入库—更新”四环节循环（见图2）。</w:t>
      </w:r>
    </w:p>
    <w:p w14:paraId="746AF78D" w14:textId="77777777" w:rsidR="001F025E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9AA00F" wp14:editId="20FB31DF">
            <wp:extent cx="5905500" cy="1819275"/>
            <wp:effectExtent l="0" t="0" r="0" b="0"/>
            <wp:docPr id="126208194" name="图2 采集流程" descr="图2 采集流程" title="图2 采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CC8A" w14:textId="77777777" w:rsidR="001F025E" w:rsidRDefault="00000000">
      <w:pPr>
        <w:spacing w:before="60" w:after="200"/>
        <w:jc w:val="center"/>
        <w:rPr>
          <w:rFonts w:hint="eastAsia"/>
        </w:rPr>
      </w:pPr>
      <w:r>
        <w:rPr>
          <w:color w:val="595959"/>
          <w:sz w:val="22"/>
          <w:szCs w:val="22"/>
        </w:rPr>
        <w:t>图2　采集—归集—入库—更新流程</w:t>
      </w:r>
    </w:p>
    <w:p w14:paraId="61E8A306" w14:textId="77777777" w:rsidR="00197615" w:rsidRDefault="00000000">
      <w:pPr>
        <w:spacing w:after="120" w:line="360" w:lineRule="auto"/>
        <w:ind w:firstLine="560"/>
        <w:jc w:val="both"/>
        <w:rPr>
          <w:rFonts w:hint="eastAsia"/>
          <w:color w:val="000000"/>
        </w:rPr>
      </w:pPr>
      <w:r w:rsidRPr="00197615">
        <w:rPr>
          <w:b/>
          <w:bCs/>
          <w:color w:val="000000"/>
        </w:rPr>
        <w:lastRenderedPageBreak/>
        <w:t>采集环节</w:t>
      </w:r>
      <w:r>
        <w:rPr>
          <w:color w:val="000000"/>
        </w:rPr>
        <w:t>按战略方向设定采集主题与清单，按统一模板记录原始情报；</w:t>
      </w:r>
      <w:r w:rsidRPr="00197615">
        <w:rPr>
          <w:b/>
          <w:bCs/>
          <w:color w:val="000000"/>
        </w:rPr>
        <w:t>归集环节</w:t>
      </w:r>
      <w:r>
        <w:rPr>
          <w:color w:val="000000"/>
        </w:rPr>
        <w:t>去重、清洗并核验来源，按“战略方向×技术属性（新兴／关键／未来）×企业级架构维度（业务／应用／数据／安全／技术）”三维分类标引，形成结构化条目；</w:t>
      </w:r>
      <w:r w:rsidRPr="00197615">
        <w:rPr>
          <w:b/>
          <w:bCs/>
          <w:color w:val="000000"/>
        </w:rPr>
        <w:t>入库环节</w:t>
      </w:r>
      <w:r>
        <w:rPr>
          <w:color w:val="000000"/>
        </w:rPr>
        <w:t>统一元数据与标签纳入科技前沿知识库，并触发长名单纳入判断；</w:t>
      </w:r>
      <w:r w:rsidRPr="00197615">
        <w:rPr>
          <w:b/>
          <w:bCs/>
          <w:color w:val="000000"/>
        </w:rPr>
        <w:t>更新环节</w:t>
      </w:r>
      <w:r>
        <w:rPr>
          <w:color w:val="000000"/>
        </w:rPr>
        <w:t>按季度复核入库技术的成熟度演进、应用进展与行业动向，动态调入调出并保留版本留痕。</w:t>
      </w:r>
    </w:p>
    <w:p w14:paraId="38C19303" w14:textId="77777777" w:rsidR="00197615" w:rsidRDefault="00000000">
      <w:pPr>
        <w:spacing w:after="120" w:line="360" w:lineRule="auto"/>
        <w:ind w:firstLine="560"/>
        <w:jc w:val="both"/>
        <w:rPr>
          <w:rFonts w:hint="eastAsia"/>
          <w:color w:val="000000"/>
        </w:rPr>
      </w:pPr>
      <w:r>
        <w:rPr>
          <w:color w:val="000000"/>
        </w:rPr>
        <w:t>知识库统一采用标准条目卡结构（见附录1），字段含技术名称、所属战略方向、架构维度、技术属性、定义、颠覆性趋势（“从X到Y”）、对我行价值、当前局限性、成熟度、关注度、来源出处与时间、处置档位、责任人与更新日期，形成可检索、可复用的部门知识资产。</w:t>
      </w:r>
    </w:p>
    <w:p w14:paraId="01634683" w14:textId="77777777" w:rsidR="001F025E" w:rsidRDefault="00000000">
      <w:pPr>
        <w:pStyle w:val="2"/>
        <w:rPr>
          <w:rFonts w:hint="eastAsia"/>
        </w:rPr>
      </w:pPr>
      <w:r>
        <w:t>（二）前沿技术长名单与分层储备</w:t>
      </w:r>
    </w:p>
    <w:p w14:paraId="5894B0A2" w14:textId="77777777" w:rsidR="001F025E" w:rsidRDefault="00000000">
      <w:pPr>
        <w:spacing w:after="120" w:line="360" w:lineRule="auto"/>
        <w:ind w:firstLine="560"/>
        <w:jc w:val="both"/>
        <w:rPr>
          <w:rFonts w:hint="eastAsia"/>
        </w:rPr>
      </w:pPr>
      <w:r>
        <w:rPr>
          <w:color w:val="000000"/>
        </w:rPr>
        <w:t>在常态扫描基础上建立动态更新的前沿技术长名单，台账含技术名称、所属方向、技术属性、来源、成熟度、关注度、处置状态、责任人与最近更新日期，于月度采集例会确定新增与调整。长名单技术按分层分级、动态滚动原则纳入储备库，分观察、研究、论证、布局四层，分别对应动态观察、深入研究、系统论证、提前布局四档处置（见图3）。</w:t>
      </w:r>
    </w:p>
    <w:p w14:paraId="5B4914A9" w14:textId="77777777" w:rsidR="001F025E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B50A5B" wp14:editId="3F5B36CD">
            <wp:extent cx="5905500" cy="3409950"/>
            <wp:effectExtent l="0" t="0" r="0" b="0"/>
            <wp:docPr id="321548688" name="图3 储备库分层" descr="图3 储备库分层" title="图3 储备库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8C96" w14:textId="77777777" w:rsidR="001F025E" w:rsidRDefault="00000000">
      <w:pPr>
        <w:spacing w:before="60" w:after="200"/>
        <w:jc w:val="center"/>
        <w:rPr>
          <w:rFonts w:hint="eastAsia"/>
        </w:rPr>
      </w:pPr>
      <w:r>
        <w:rPr>
          <w:color w:val="595959"/>
          <w:sz w:val="22"/>
          <w:szCs w:val="22"/>
        </w:rPr>
        <w:t>图3　前沿技术储备库分层与动态滚动管理</w:t>
      </w:r>
    </w:p>
    <w:p w14:paraId="0DD0AEA5" w14:textId="77777777" w:rsidR="00197615" w:rsidRDefault="00000000">
      <w:pPr>
        <w:spacing w:after="120" w:line="360" w:lineRule="auto"/>
        <w:ind w:firstLine="560"/>
        <w:jc w:val="both"/>
        <w:rPr>
          <w:rFonts w:hint="eastAsia"/>
          <w:color w:val="000000"/>
        </w:rPr>
      </w:pPr>
      <w:r>
        <w:rPr>
          <w:color w:val="000000"/>
        </w:rPr>
        <w:t>新出现、影响待判的技术纳入</w:t>
      </w:r>
      <w:r w:rsidRPr="00197615">
        <w:rPr>
          <w:b/>
          <w:bCs/>
          <w:color w:val="000000"/>
        </w:rPr>
        <w:t>观察层</w:t>
      </w:r>
      <w:r>
        <w:rPr>
          <w:color w:val="000000"/>
        </w:rPr>
        <w:t>持续跟踪；趋势明确、与我行有潜在关联的进入</w:t>
      </w:r>
      <w:r w:rsidRPr="00197615">
        <w:rPr>
          <w:b/>
          <w:bCs/>
          <w:color w:val="000000"/>
        </w:rPr>
        <w:t>研究层</w:t>
      </w:r>
      <w:r>
        <w:rPr>
          <w:color w:val="000000"/>
        </w:rPr>
        <w:t>开展深入研究；应用前景明确、需系统验证的进入</w:t>
      </w:r>
      <w:r w:rsidRPr="00197615">
        <w:rPr>
          <w:b/>
          <w:bCs/>
          <w:color w:val="000000"/>
        </w:rPr>
        <w:t>论证层</w:t>
      </w:r>
      <w:r>
        <w:rPr>
          <w:color w:val="000000"/>
        </w:rPr>
        <w:t>组织专题论证；价值与可行性已确认、需提前准备的进入</w:t>
      </w:r>
      <w:r w:rsidRPr="00197615">
        <w:rPr>
          <w:b/>
          <w:bCs/>
          <w:color w:val="000000"/>
        </w:rPr>
        <w:t>布局层</w:t>
      </w:r>
      <w:r>
        <w:rPr>
          <w:color w:val="000000"/>
        </w:rPr>
        <w:t>、明确资源前置。</w:t>
      </w:r>
    </w:p>
    <w:p w14:paraId="32E00D44" w14:textId="7531AD42" w:rsidR="001F025E" w:rsidRDefault="00000000">
      <w:pPr>
        <w:spacing w:after="120" w:line="360" w:lineRule="auto"/>
        <w:ind w:firstLine="560"/>
        <w:jc w:val="both"/>
        <w:rPr>
          <w:rFonts w:hint="eastAsia"/>
        </w:rPr>
      </w:pPr>
      <w:r>
        <w:rPr>
          <w:color w:val="000000"/>
        </w:rPr>
        <w:t>技术由长名单纳入储备库后，经雷达研判确定所处层级与处置档位；各层按季度跟踪成熟度演进与应用进展，趋势证伪、价值不足或不再契合的及时降层或调出，已转入验证立项或落地的移出储备库，实现动态滚动管理。</w:t>
      </w:r>
    </w:p>
    <w:p w14:paraId="5869BB13" w14:textId="77777777" w:rsidR="001F025E" w:rsidRDefault="00000000">
      <w:pPr>
        <w:pStyle w:val="2"/>
        <w:rPr>
          <w:rFonts w:hint="eastAsia"/>
        </w:rPr>
      </w:pPr>
      <w:r>
        <w:t>（三）研判评估与专题研究</w:t>
      </w:r>
    </w:p>
    <w:p w14:paraId="445CAD13" w14:textId="77777777" w:rsidR="00197615" w:rsidRDefault="00000000">
      <w:pPr>
        <w:spacing w:after="120" w:line="360" w:lineRule="auto"/>
        <w:ind w:firstLine="560"/>
        <w:jc w:val="both"/>
        <w:rPr>
          <w:rFonts w:hint="eastAsia"/>
          <w:color w:val="000000"/>
        </w:rPr>
      </w:pPr>
      <w:r>
        <w:rPr>
          <w:color w:val="000000"/>
        </w:rPr>
        <w:t>建立本行视角的“前沿技术雷达”评估框架，借鉴技术成熟度曲线、技术就绪度等成熟方法，从技术成熟度（所处发展阶段）、与我行契合度（与战略方向、业务场景、技术架构的匹配）、潜在业务价值（对效率、风控、客户体验与新业务的预期贡献）、引入风险与门槛（合规、安全、成本、人</w:t>
      </w:r>
      <w:r>
        <w:rPr>
          <w:color w:val="000000"/>
        </w:rPr>
        <w:lastRenderedPageBreak/>
        <w:t>才、供应链等约束）四个维度系统研判，据此明确处置档位。</w:t>
      </w:r>
    </w:p>
    <w:p w14:paraId="6B3AABC8" w14:textId="19C8B88D" w:rsidR="001F025E" w:rsidRDefault="00000000">
      <w:pPr>
        <w:spacing w:after="120" w:line="360" w:lineRule="auto"/>
        <w:ind w:firstLine="560"/>
        <w:jc w:val="both"/>
        <w:rPr>
          <w:rFonts w:hint="eastAsia"/>
        </w:rPr>
      </w:pPr>
      <w:r>
        <w:rPr>
          <w:color w:val="000000"/>
        </w:rPr>
        <w:t>在此基础上，从长名单中遴选与我行未来发展贴近、应用前景明确，或涉及重大外部变量与关键议题的技术点立项专题研究，按“立项—研究—评审—入库”推进：立项明确议题、范围、协同单位与周期；研究形成“背景研判—影响分析—对策建议”的完整逻辑链；评审由研判力量与组长把关、核验来源并校核结论；定稿后归入研究成果库。</w:t>
      </w:r>
    </w:p>
    <w:p w14:paraId="44DCF65E" w14:textId="77777777" w:rsidR="001F025E" w:rsidRDefault="00000000">
      <w:pPr>
        <w:pStyle w:val="2"/>
        <w:rPr>
          <w:rFonts w:hint="eastAsia"/>
        </w:rPr>
      </w:pPr>
      <w:r>
        <w:t>（四）成果输出与转化</w:t>
      </w:r>
    </w:p>
    <w:p w14:paraId="6BE43E66" w14:textId="77777777" w:rsidR="001F025E" w:rsidRDefault="00000000">
      <w:pPr>
        <w:spacing w:after="120" w:line="360" w:lineRule="auto"/>
        <w:ind w:firstLine="560"/>
        <w:jc w:val="both"/>
        <w:rPr>
          <w:rFonts w:hint="eastAsia"/>
        </w:rPr>
      </w:pPr>
      <w:r>
        <w:rPr>
          <w:color w:val="000000"/>
        </w:rPr>
        <w:t>落实“年度研判+季度跟踪”的输出节奏：每季度首月内发布上季度技术动态简报，每年第四季度形成《前沿技术趋势研判报告》并于年底报送，专题研究报告随题完成即报，呈报材料随报告与简报同步报送行领导与管理层。各项成果沿“情报—知识库—长名单—储备库—研判—简报／年度报告—呈报”主链逐级派生，专题研究报告由长名单与储备库遴选派生并沉淀入研究成果库，其依据输入、产出环节与所处阶段见图4。</w:t>
      </w:r>
    </w:p>
    <w:p w14:paraId="2E3ACF7C" w14:textId="77777777" w:rsidR="001F025E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95225F9" wp14:editId="4F879095">
            <wp:extent cx="5334000" cy="4867275"/>
            <wp:effectExtent l="0" t="0" r="0" b="0"/>
            <wp:docPr id="975523884" name="图4 成果溯源" descr="图4 成果溯源" title="图4 成果溯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886A" w14:textId="77777777" w:rsidR="001F025E" w:rsidRDefault="00000000">
      <w:pPr>
        <w:spacing w:before="60" w:after="200"/>
        <w:jc w:val="center"/>
        <w:rPr>
          <w:rFonts w:hint="eastAsia"/>
        </w:rPr>
      </w:pPr>
      <w:r>
        <w:rPr>
          <w:color w:val="595959"/>
          <w:sz w:val="22"/>
          <w:szCs w:val="22"/>
        </w:rPr>
        <w:t>图4　成果溯源：输入—产出—阶段</w:t>
      </w:r>
    </w:p>
    <w:p w14:paraId="441BFF1C" w14:textId="77777777" w:rsidR="001F025E" w:rsidRDefault="00000000">
      <w:pPr>
        <w:spacing w:after="120" w:line="360" w:lineRule="auto"/>
        <w:ind w:firstLine="560"/>
        <w:jc w:val="both"/>
        <w:rPr>
          <w:rFonts w:hint="eastAsia"/>
        </w:rPr>
      </w:pPr>
      <w:r>
        <w:rPr>
          <w:color w:val="000000"/>
        </w:rPr>
        <w:t>同步建立衔接机制：科技规划编制启动时提供技术趋势输入，重大科技投资决策评审前提供相应技术研判结论，新技术验证立项环节提供候选技术清单与处置建议，推动研究成果从“产出”向“决策赋能”延伸。</w:t>
      </w:r>
    </w:p>
    <w:p w14:paraId="01169C48" w14:textId="77777777" w:rsidR="001F025E" w:rsidRDefault="00000000">
      <w:pPr>
        <w:pStyle w:val="1"/>
        <w:rPr>
          <w:rFonts w:hint="eastAsia"/>
        </w:rPr>
      </w:pPr>
      <w:r>
        <w:t>三、实施步骤</w:t>
      </w:r>
    </w:p>
    <w:p w14:paraId="5B763818" w14:textId="77777777" w:rsidR="001F025E" w:rsidRDefault="00000000">
      <w:pPr>
        <w:spacing w:after="120" w:line="360" w:lineRule="auto"/>
        <w:ind w:firstLine="560"/>
        <w:jc w:val="both"/>
        <w:rPr>
          <w:rFonts w:hint="eastAsia"/>
        </w:rPr>
      </w:pPr>
      <w:r>
        <w:rPr>
          <w:color w:val="000000"/>
        </w:rPr>
        <w:t>2026年下半年，组建研判工作机制、明确分工，搭建多源情报渠道，完成“前沿技术雷达”评估框架设计并试运行，建立前沿技术长名单与分层储备库，发布首批季度技术动态简报、开展首批专题研究试点，年内形成首份《前沿技术趋势研判报告》并初步建立常态化呈报渠道。</w:t>
      </w:r>
    </w:p>
    <w:p w14:paraId="6152C490" w14:textId="77777777" w:rsidR="001F025E" w:rsidRDefault="00000000">
      <w:pPr>
        <w:spacing w:after="120" w:line="360" w:lineRule="auto"/>
        <w:ind w:firstLine="560"/>
        <w:jc w:val="both"/>
        <w:rPr>
          <w:rFonts w:hint="eastAsia"/>
        </w:rPr>
      </w:pPr>
      <w:r>
        <w:rPr>
          <w:color w:val="000000"/>
        </w:rPr>
        <w:lastRenderedPageBreak/>
        <w:t>2027—2028年，建立前沿技术情报汇聚与知识管理平台，实现储备库动态滚动更新；季度简报常态化输出，重点方向形成深度研判；专题研究常态化运行、研究成果库基本建成；研判成果稳定衔接科技规划编制与重大投资决策。</w:t>
      </w:r>
    </w:p>
    <w:p w14:paraId="3F4BB76E" w14:textId="77777777" w:rsidR="001F025E" w:rsidRDefault="00000000">
      <w:pPr>
        <w:spacing w:after="120" w:line="360" w:lineRule="auto"/>
        <w:ind w:firstLine="560"/>
        <w:jc w:val="both"/>
        <w:rPr>
          <w:rFonts w:hint="eastAsia"/>
        </w:rPr>
      </w:pPr>
      <w:r>
        <w:rPr>
          <w:color w:val="000000"/>
        </w:rPr>
        <w:t>2029—2030年，“前沿技术雷达”机制成熟稳定运行，研判成果深度融入科技规划编制与重大投资决策，成果质量与影响力持续提升，形成有专业影响力的研究品牌。</w:t>
      </w:r>
    </w:p>
    <w:p w14:paraId="56C8DF1C" w14:textId="73032D11" w:rsidR="001F025E" w:rsidRDefault="00000000">
      <w:pPr>
        <w:pStyle w:val="1"/>
        <w:rPr>
          <w:rFonts w:hint="eastAsia"/>
        </w:rPr>
      </w:pPr>
      <w:r>
        <w:t>四、工作分工</w:t>
      </w:r>
    </w:p>
    <w:p w14:paraId="2B3DB9EC" w14:textId="5B7C474C" w:rsidR="001F025E" w:rsidRDefault="00000000">
      <w:pPr>
        <w:spacing w:after="120" w:line="360" w:lineRule="auto"/>
        <w:ind w:firstLine="560"/>
        <w:jc w:val="both"/>
        <w:rPr>
          <w:rFonts w:hint="eastAsia"/>
        </w:rPr>
      </w:pPr>
      <w:r>
        <w:rPr>
          <w:color w:val="000000"/>
        </w:rPr>
        <w:t>本项工作由</w:t>
      </w:r>
      <w:r w:rsidR="00197615">
        <w:rPr>
          <w:rFonts w:hint="eastAsia"/>
          <w:color w:val="000000"/>
        </w:rPr>
        <w:t>科技</w:t>
      </w:r>
      <w:r>
        <w:rPr>
          <w:color w:val="000000"/>
        </w:rPr>
        <w:t>规划处牵头，按5人配置</w:t>
      </w:r>
      <w:r w:rsidR="00197615">
        <w:rPr>
          <w:rFonts w:hint="eastAsia"/>
          <w:color w:val="000000"/>
        </w:rPr>
        <w:t>，</w:t>
      </w:r>
      <w:r>
        <w:rPr>
          <w:color w:val="000000"/>
        </w:rPr>
        <w:t>人员安排</w:t>
      </w:r>
      <w:r w:rsidR="00197615">
        <w:rPr>
          <w:rFonts w:hint="eastAsia"/>
          <w:color w:val="000000"/>
        </w:rPr>
        <w:t>建议</w:t>
      </w:r>
      <w:r>
        <w:rPr>
          <w:color w:val="000000"/>
        </w:rPr>
        <w:t>如下</w:t>
      </w:r>
      <w:r w:rsidR="00197615">
        <w:rPr>
          <w:rFonts w:hint="eastAsia"/>
          <w:color w:val="000000"/>
        </w:rPr>
        <w:t>：</w:t>
      </w: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4961"/>
        <w:gridCol w:w="1559"/>
      </w:tblGrid>
      <w:tr w:rsidR="00197615" w14:paraId="5338D63A" w14:textId="77777777" w:rsidTr="00197615">
        <w:trPr>
          <w:tblHeader/>
        </w:trPr>
        <w:tc>
          <w:tcPr>
            <w:tcW w:w="269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259D7" w14:textId="77777777" w:rsidR="00197615" w:rsidRDefault="00197615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任务模块</w:t>
            </w:r>
          </w:p>
        </w:tc>
        <w:tc>
          <w:tcPr>
            <w:tcW w:w="49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D7568" w14:textId="77777777" w:rsidR="00197615" w:rsidRDefault="00197615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主要职责</w:t>
            </w:r>
          </w:p>
        </w:tc>
        <w:tc>
          <w:tcPr>
            <w:tcW w:w="1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EDFC8" w14:textId="620C004D" w:rsidR="00197615" w:rsidRDefault="00197615">
            <w:pPr>
              <w:spacing w:line="300" w:lineRule="auto"/>
              <w:jc w:val="center"/>
              <w:rPr>
                <w:rFonts w:hint="eastAsia"/>
              </w:rPr>
            </w:pPr>
            <w:r w:rsidRPr="00197615">
              <w:rPr>
                <w:rFonts w:hint="eastAsia"/>
                <w:b/>
                <w:bCs/>
                <w:sz w:val="24"/>
                <w:szCs w:val="24"/>
              </w:rPr>
              <w:t>配置</w:t>
            </w:r>
          </w:p>
        </w:tc>
      </w:tr>
      <w:tr w:rsidR="00197615" w14:paraId="515FAE20" w14:textId="77777777" w:rsidTr="00197615">
        <w:tc>
          <w:tcPr>
            <w:tcW w:w="269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F3FC5" w14:textId="77777777" w:rsidR="00197615" w:rsidRDefault="00197615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总牵头与统筹</w:t>
            </w:r>
          </w:p>
        </w:tc>
        <w:tc>
          <w:tcPr>
            <w:tcW w:w="49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E3419" w14:textId="77777777" w:rsidR="00197615" w:rsidRDefault="00197615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机制运行、资源对接、成果审定、呈报把关</w:t>
            </w:r>
          </w:p>
        </w:tc>
        <w:tc>
          <w:tcPr>
            <w:tcW w:w="1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C776B" w14:textId="2D149AC5" w:rsidR="00197615" w:rsidRDefault="00197615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1人</w:t>
            </w:r>
            <w:r>
              <w:rPr>
                <w:rFonts w:hint="eastAsia"/>
                <w:sz w:val="24"/>
                <w:szCs w:val="24"/>
              </w:rPr>
              <w:t>专职</w:t>
            </w:r>
          </w:p>
        </w:tc>
      </w:tr>
      <w:tr w:rsidR="00197615" w14:paraId="7425D751" w14:textId="77777777" w:rsidTr="00197615">
        <w:tc>
          <w:tcPr>
            <w:tcW w:w="269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7E427" w14:textId="77777777" w:rsidR="00197615" w:rsidRDefault="00197615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情报采集与渠道维护</w:t>
            </w:r>
          </w:p>
        </w:tc>
        <w:tc>
          <w:tcPr>
            <w:tcW w:w="49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8A6E6" w14:textId="77777777" w:rsidR="00197615" w:rsidRDefault="00197615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多源采集、归集标引、咨询资源对接</w:t>
            </w:r>
          </w:p>
        </w:tc>
        <w:tc>
          <w:tcPr>
            <w:tcW w:w="1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2D472" w14:textId="54B2F0B6" w:rsidR="00197615" w:rsidRDefault="00197615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1人</w:t>
            </w:r>
            <w:r>
              <w:rPr>
                <w:rFonts w:hint="eastAsia"/>
                <w:sz w:val="24"/>
                <w:szCs w:val="24"/>
              </w:rPr>
              <w:t>兼职</w:t>
            </w:r>
          </w:p>
        </w:tc>
      </w:tr>
      <w:tr w:rsidR="00197615" w14:paraId="4314A0B9" w14:textId="77777777" w:rsidTr="00197615">
        <w:tc>
          <w:tcPr>
            <w:tcW w:w="269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238C8" w14:textId="77777777" w:rsidR="00197615" w:rsidRDefault="00197615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知识库与储备库维护</w:t>
            </w:r>
          </w:p>
        </w:tc>
        <w:tc>
          <w:tcPr>
            <w:tcW w:w="49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94253" w14:textId="77777777" w:rsidR="00197615" w:rsidRDefault="00197615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知识库更新、长名单与储备库台账管理</w:t>
            </w:r>
          </w:p>
        </w:tc>
        <w:tc>
          <w:tcPr>
            <w:tcW w:w="1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F36D2" w14:textId="18ED9D1A" w:rsidR="00197615" w:rsidRDefault="00197615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1人</w:t>
            </w:r>
            <w:r>
              <w:rPr>
                <w:rFonts w:hint="eastAsia"/>
                <w:sz w:val="24"/>
                <w:szCs w:val="24"/>
              </w:rPr>
              <w:t>兼职</w:t>
            </w:r>
          </w:p>
        </w:tc>
      </w:tr>
      <w:tr w:rsidR="00197615" w14:paraId="41ECD5E1" w14:textId="77777777" w:rsidTr="00197615">
        <w:tc>
          <w:tcPr>
            <w:tcW w:w="269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6ACD5" w14:textId="77777777" w:rsidR="00197615" w:rsidRDefault="00197615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研判评估与年度报告</w:t>
            </w:r>
          </w:p>
        </w:tc>
        <w:tc>
          <w:tcPr>
            <w:tcW w:w="49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10FC4" w14:textId="77777777" w:rsidR="00197615" w:rsidRDefault="00197615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雷达研判、年度报告编制</w:t>
            </w:r>
          </w:p>
        </w:tc>
        <w:tc>
          <w:tcPr>
            <w:tcW w:w="1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61A01" w14:textId="6EB0A883" w:rsidR="00197615" w:rsidRDefault="00197615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1人</w:t>
            </w:r>
            <w:r>
              <w:rPr>
                <w:rFonts w:hint="eastAsia"/>
                <w:sz w:val="24"/>
                <w:szCs w:val="24"/>
              </w:rPr>
              <w:t>兼职</w:t>
            </w:r>
          </w:p>
        </w:tc>
      </w:tr>
      <w:tr w:rsidR="00197615" w14:paraId="1E54DC1A" w14:textId="77777777" w:rsidTr="00197615">
        <w:tc>
          <w:tcPr>
            <w:tcW w:w="269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5F79A" w14:textId="77777777" w:rsidR="00197615" w:rsidRDefault="00197615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季度简报与呈报对接</w:t>
            </w:r>
          </w:p>
        </w:tc>
        <w:tc>
          <w:tcPr>
            <w:tcW w:w="49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88C3C" w14:textId="77777777" w:rsidR="00197615" w:rsidRDefault="00197615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简报编制、呈报材料与渠道对接</w:t>
            </w:r>
          </w:p>
        </w:tc>
        <w:tc>
          <w:tcPr>
            <w:tcW w:w="1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8DF6D" w14:textId="795751B2" w:rsidR="00197615" w:rsidRDefault="00197615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1人</w:t>
            </w:r>
            <w:r>
              <w:rPr>
                <w:rFonts w:hint="eastAsia"/>
                <w:sz w:val="24"/>
                <w:szCs w:val="24"/>
              </w:rPr>
              <w:t>兼职</w:t>
            </w:r>
          </w:p>
        </w:tc>
      </w:tr>
      <w:tr w:rsidR="00197615" w14:paraId="4030BEBC" w14:textId="77777777" w:rsidTr="00197615">
        <w:tc>
          <w:tcPr>
            <w:tcW w:w="269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C8FF0" w14:textId="77777777" w:rsidR="00197615" w:rsidRDefault="00197615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专题研究（按需）</w:t>
            </w:r>
          </w:p>
        </w:tc>
        <w:tc>
          <w:tcPr>
            <w:tcW w:w="496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AB066" w14:textId="77777777" w:rsidR="00197615" w:rsidRDefault="00197615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单议题研究、组织协同、成果入库</w:t>
            </w:r>
          </w:p>
        </w:tc>
        <w:tc>
          <w:tcPr>
            <w:tcW w:w="15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A4204" w14:textId="7D3608CF" w:rsidR="00197615" w:rsidRDefault="00197615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按需</w:t>
            </w:r>
            <w:r>
              <w:rPr>
                <w:rFonts w:hint="eastAsia"/>
                <w:sz w:val="24"/>
                <w:szCs w:val="24"/>
              </w:rPr>
              <w:t>组建</w:t>
            </w:r>
          </w:p>
        </w:tc>
      </w:tr>
    </w:tbl>
    <w:p w14:paraId="29121A00" w14:textId="1393A93B" w:rsidR="00197615" w:rsidRDefault="00197615">
      <w:pPr>
        <w:spacing w:after="80"/>
        <w:rPr>
          <w:rFonts w:hint="eastAsia"/>
        </w:rPr>
      </w:pPr>
    </w:p>
    <w:p w14:paraId="22D0075D" w14:textId="77777777" w:rsidR="00197615" w:rsidRDefault="00197615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30DEF8A" w14:textId="77777777" w:rsidR="001F025E" w:rsidRDefault="00000000">
      <w:pPr>
        <w:pStyle w:val="2"/>
        <w:rPr>
          <w:rFonts w:hint="eastAsia"/>
        </w:rPr>
      </w:pPr>
      <w:r>
        <w:lastRenderedPageBreak/>
        <w:t>附录1　科技前沿知识库标准条目卡（模板）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F025E" w14:paraId="34FDF00D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AB3F1A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字段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0843C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内容说明</w:t>
            </w:r>
          </w:p>
        </w:tc>
      </w:tr>
      <w:tr w:rsidR="001F025E" w14:paraId="52B93A38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EFF1D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技术名称（中英文）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DAD96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标准命名，便于检索与对齐</w:t>
            </w:r>
          </w:p>
        </w:tc>
      </w:tr>
      <w:tr w:rsidR="001F025E" w14:paraId="2F8A6923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B514F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所属战略方向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6B0ACF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人工智能／量子科技／数据要素等</w:t>
            </w:r>
          </w:p>
        </w:tc>
      </w:tr>
      <w:tr w:rsidR="001F025E" w14:paraId="2FD7A044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0378F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企业级架构维度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04C9A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业务／应用／数据／安全／技术</w:t>
            </w:r>
          </w:p>
        </w:tc>
      </w:tr>
      <w:tr w:rsidR="001F025E" w14:paraId="71675B65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C0EF7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技术属性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717C2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新兴／关键／未来</w:t>
            </w:r>
          </w:p>
        </w:tc>
      </w:tr>
      <w:tr w:rsidR="001F025E" w14:paraId="32D92849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A1D84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定义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BB131D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一句话界定技术内涵</w:t>
            </w:r>
          </w:p>
        </w:tc>
      </w:tr>
      <w:tr w:rsidR="001F025E" w14:paraId="6AB012D3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B4FCF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颠覆性趋势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61A97E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“从X到Y”式的范式迁移判断</w:t>
            </w:r>
          </w:p>
        </w:tc>
      </w:tr>
      <w:tr w:rsidR="001F025E" w14:paraId="63A5E16E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F1080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对我行价值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8F543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对效率、风控、客户体验与新业务的预期贡献</w:t>
            </w:r>
          </w:p>
        </w:tc>
      </w:tr>
      <w:tr w:rsidR="001F025E" w14:paraId="4B78FB6F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62DD9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当前局限性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9C575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成熟度、成本、合规、人才等约束</w:t>
            </w:r>
          </w:p>
        </w:tc>
      </w:tr>
      <w:tr w:rsidR="001F025E" w14:paraId="6360924A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2BAAC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成熟度／关注度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D04129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雷达评估输入，分档记录</w:t>
            </w:r>
          </w:p>
        </w:tc>
      </w:tr>
      <w:tr w:rsidR="001F025E" w14:paraId="4D1FACB9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D91D44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来源出处与时间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48142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一手来源、采集时间，可追溯</w:t>
            </w:r>
          </w:p>
        </w:tc>
      </w:tr>
      <w:tr w:rsidR="001F025E" w14:paraId="03406A26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3216B0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处置档位与层级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D43D7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动态观察／深入研究／系统论证／提前布局</w:t>
            </w:r>
          </w:p>
        </w:tc>
      </w:tr>
      <w:tr w:rsidR="001F025E" w14:paraId="44A77293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4DB84" w14:textId="77777777" w:rsidR="001F025E" w:rsidRDefault="00000000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责任人与更新日期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63B22" w14:textId="77777777" w:rsidR="001F025E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滚动维护、版本留痕</w:t>
            </w:r>
          </w:p>
        </w:tc>
      </w:tr>
    </w:tbl>
    <w:p w14:paraId="29CD95BA" w14:textId="77777777" w:rsidR="00197615" w:rsidRDefault="00197615" w:rsidP="00197615">
      <w:pPr>
        <w:spacing w:after="80"/>
        <w:rPr>
          <w:rFonts w:hint="eastAsia"/>
        </w:rPr>
      </w:pPr>
    </w:p>
    <w:p w14:paraId="5B34E705" w14:textId="41AD20BC" w:rsidR="00197615" w:rsidRDefault="00197615" w:rsidP="00197615">
      <w:pPr>
        <w:pStyle w:val="2"/>
        <w:rPr>
          <w:rFonts w:hint="eastAsia"/>
        </w:rPr>
      </w:pPr>
      <w:r>
        <w:t>附录</w:t>
      </w:r>
      <w:r>
        <w:rPr>
          <w:rFonts w:hint="eastAsia"/>
        </w:rPr>
        <w:t>2</w:t>
      </w:r>
      <w:r>
        <w:t xml:space="preserve">　布局优先级与处置档位映射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6"/>
        <w:gridCol w:w="2126"/>
        <w:gridCol w:w="2127"/>
        <w:gridCol w:w="2131"/>
      </w:tblGrid>
      <w:tr w:rsidR="00197615" w14:paraId="5EF751C0" w14:textId="77777777" w:rsidTr="00A96F11">
        <w:trPr>
          <w:tblHeader/>
        </w:trPr>
        <w:tc>
          <w:tcPr>
            <w:tcW w:w="2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FA075" w14:textId="51530146" w:rsidR="00197615" w:rsidRDefault="00197615" w:rsidP="00A96F11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时间优先级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0B62B8" w14:textId="77777777" w:rsidR="00197615" w:rsidRDefault="00197615" w:rsidP="00A96F11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含义</w:t>
            </w:r>
          </w:p>
        </w:tc>
        <w:tc>
          <w:tcPr>
            <w:tcW w:w="21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73237" w14:textId="77777777" w:rsidR="00197615" w:rsidRDefault="00197615" w:rsidP="00A96F11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对应储备库层级</w:t>
            </w:r>
          </w:p>
        </w:tc>
        <w:tc>
          <w:tcPr>
            <w:tcW w:w="213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E4E1B" w14:textId="77777777" w:rsidR="00197615" w:rsidRDefault="00197615" w:rsidP="00A96F11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对应处置档</w:t>
            </w:r>
          </w:p>
        </w:tc>
      </w:tr>
      <w:tr w:rsidR="00197615" w14:paraId="76B72F15" w14:textId="77777777" w:rsidTr="00A96F11">
        <w:tc>
          <w:tcPr>
            <w:tcW w:w="2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081AD3" w14:textId="77777777" w:rsidR="00197615" w:rsidRDefault="00197615" w:rsidP="00A96F11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现在必须开始（0–2年）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F9F5F5" w14:textId="77777777" w:rsidR="00197615" w:rsidRDefault="00197615" w:rsidP="00A96F11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近期须推进</w:t>
            </w:r>
          </w:p>
        </w:tc>
        <w:tc>
          <w:tcPr>
            <w:tcW w:w="21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D81A9" w14:textId="77777777" w:rsidR="00197615" w:rsidRDefault="00197615" w:rsidP="00A96F11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论证层／布局层</w:t>
            </w:r>
          </w:p>
        </w:tc>
        <w:tc>
          <w:tcPr>
            <w:tcW w:w="213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43F914" w14:textId="77777777" w:rsidR="00197615" w:rsidRDefault="00197615" w:rsidP="00A96F11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系统论证／提前布局</w:t>
            </w:r>
          </w:p>
        </w:tc>
      </w:tr>
      <w:tr w:rsidR="00197615" w14:paraId="2CAB4EA0" w14:textId="77777777" w:rsidTr="00A96F11">
        <w:tc>
          <w:tcPr>
            <w:tcW w:w="2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62905" w14:textId="77777777" w:rsidR="00197615" w:rsidRDefault="00197615" w:rsidP="00A96F11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3–5年关键布局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09056" w14:textId="77777777" w:rsidR="00197615" w:rsidRDefault="00197615" w:rsidP="00A96F11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中期重点布局</w:t>
            </w:r>
          </w:p>
        </w:tc>
        <w:tc>
          <w:tcPr>
            <w:tcW w:w="21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E2642" w14:textId="77777777" w:rsidR="00197615" w:rsidRDefault="00197615" w:rsidP="00A96F11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研究层</w:t>
            </w:r>
          </w:p>
        </w:tc>
        <w:tc>
          <w:tcPr>
            <w:tcW w:w="213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2E84D8" w14:textId="77777777" w:rsidR="00197615" w:rsidRDefault="00197615" w:rsidP="00A96F11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深入研究</w:t>
            </w:r>
          </w:p>
        </w:tc>
      </w:tr>
      <w:tr w:rsidR="00197615" w14:paraId="26A488D0" w14:textId="77777777" w:rsidTr="00A96F11">
        <w:tc>
          <w:tcPr>
            <w:tcW w:w="29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42937" w14:textId="77777777" w:rsidR="00197615" w:rsidRDefault="00197615" w:rsidP="00A96F11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sz w:val="24"/>
                <w:szCs w:val="24"/>
              </w:rPr>
              <w:t>长期战略（5年以上）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DDFBB2" w14:textId="77777777" w:rsidR="00197615" w:rsidRDefault="00197615" w:rsidP="00A96F11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远期持续跟踪</w:t>
            </w:r>
          </w:p>
        </w:tc>
        <w:tc>
          <w:tcPr>
            <w:tcW w:w="2127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DB7E6" w14:textId="77777777" w:rsidR="00197615" w:rsidRDefault="00197615" w:rsidP="00A96F11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观察层</w:t>
            </w:r>
          </w:p>
        </w:tc>
        <w:tc>
          <w:tcPr>
            <w:tcW w:w="213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4E365" w14:textId="77777777" w:rsidR="00197615" w:rsidRDefault="00197615" w:rsidP="00A96F11">
            <w:pPr>
              <w:spacing w:line="300" w:lineRule="auto"/>
              <w:rPr>
                <w:rFonts w:hint="eastAsia"/>
              </w:rPr>
            </w:pPr>
            <w:r>
              <w:rPr>
                <w:sz w:val="24"/>
                <w:szCs w:val="24"/>
              </w:rPr>
              <w:t>动态观察</w:t>
            </w:r>
          </w:p>
        </w:tc>
      </w:tr>
    </w:tbl>
    <w:p w14:paraId="66E34878" w14:textId="77777777" w:rsidR="001F025E" w:rsidRDefault="001F025E">
      <w:pPr>
        <w:spacing w:after="120"/>
        <w:rPr>
          <w:rFonts w:hint="eastAsia"/>
        </w:rPr>
      </w:pPr>
    </w:p>
    <w:p w14:paraId="77F6B4F7" w14:textId="77777777" w:rsidR="00197615" w:rsidRDefault="00197615">
      <w:pPr>
        <w:spacing w:after="120"/>
        <w:rPr>
          <w:rFonts w:hint="eastAsia"/>
        </w:rPr>
      </w:pPr>
    </w:p>
    <w:p w14:paraId="0A001B28" w14:textId="77777777" w:rsidR="00197615" w:rsidRDefault="00197615">
      <w:pPr>
        <w:spacing w:after="120"/>
        <w:rPr>
          <w:rFonts w:hint="eastAsia"/>
        </w:rPr>
      </w:pPr>
    </w:p>
    <w:p w14:paraId="4A399C0B" w14:textId="77777777" w:rsidR="00197615" w:rsidRDefault="00197615">
      <w:pPr>
        <w:spacing w:after="120"/>
        <w:rPr>
          <w:rFonts w:hint="eastAsia"/>
        </w:rPr>
      </w:pPr>
    </w:p>
    <w:p w14:paraId="385FFFFB" w14:textId="7719DD1B" w:rsidR="001F025E" w:rsidRDefault="00000000">
      <w:pPr>
        <w:pStyle w:val="2"/>
        <w:rPr>
          <w:rFonts w:hint="eastAsia"/>
        </w:rPr>
      </w:pPr>
      <w:r>
        <w:lastRenderedPageBreak/>
        <w:t>附录</w:t>
      </w:r>
      <w:r w:rsidR="00197615">
        <w:rPr>
          <w:rFonts w:hint="eastAsia"/>
        </w:rPr>
        <w:t>3</w:t>
      </w:r>
      <w:r>
        <w:t xml:space="preserve">　前沿技术储备库首批入库清单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380"/>
        <w:gridCol w:w="920"/>
        <w:gridCol w:w="2320"/>
        <w:gridCol w:w="2200"/>
        <w:gridCol w:w="1020"/>
      </w:tblGrid>
      <w:tr w:rsidR="001F025E" w:rsidRPr="00197615" w14:paraId="7DE379A8" w14:textId="77777777">
        <w:trPr>
          <w:tblHeader/>
        </w:trPr>
        <w:tc>
          <w:tcPr>
            <w:tcW w:w="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C1899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b/>
                <w:bCs/>
                <w:sz w:val="22"/>
                <w:szCs w:val="22"/>
              </w:rPr>
              <w:t>序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88C4F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b/>
                <w:bCs/>
                <w:sz w:val="22"/>
                <w:szCs w:val="22"/>
              </w:rPr>
              <w:t>技术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AB8DA9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b/>
                <w:bCs/>
                <w:sz w:val="22"/>
                <w:szCs w:val="22"/>
              </w:rPr>
              <w:t>维度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679DD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b/>
                <w:bCs/>
                <w:sz w:val="22"/>
                <w:szCs w:val="22"/>
              </w:rPr>
              <w:t>对我行价值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DFBAA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b/>
                <w:bCs/>
                <w:sz w:val="22"/>
                <w:szCs w:val="22"/>
              </w:rPr>
              <w:t>当前局限</w:t>
            </w:r>
          </w:p>
        </w:tc>
        <w:tc>
          <w:tcPr>
            <w:tcW w:w="1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9E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C5D49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b/>
                <w:bCs/>
                <w:sz w:val="22"/>
                <w:szCs w:val="22"/>
              </w:rPr>
              <w:t>建议处置</w:t>
            </w:r>
          </w:p>
        </w:tc>
      </w:tr>
      <w:tr w:rsidR="001F025E" w:rsidRPr="00197615" w14:paraId="76C0A41F" w14:textId="77777777">
        <w:tc>
          <w:tcPr>
            <w:tcW w:w="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BF0E75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1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A4BB0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自主型AI智能体（Agentic AI）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666B7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业务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F7B22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智能业务、自动决策、AI数字员工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39C8C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幻觉、可解释性、安全与权限</w:t>
            </w:r>
          </w:p>
        </w:tc>
        <w:tc>
          <w:tcPr>
            <w:tcW w:w="1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96E7D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提前布局</w:t>
            </w:r>
          </w:p>
        </w:tc>
      </w:tr>
      <w:tr w:rsidR="001F025E" w:rsidRPr="00197615" w14:paraId="4BD521F0" w14:textId="77777777">
        <w:tc>
          <w:tcPr>
            <w:tcW w:w="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653CFC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2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175F9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AI原生应用架构（AI-Native）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7B6EA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应用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0E03D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智能编排、流程自动化、个性化服务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7449A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不确定性高、模型治理难</w:t>
            </w:r>
          </w:p>
        </w:tc>
        <w:tc>
          <w:tcPr>
            <w:tcW w:w="1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F8384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提前布局</w:t>
            </w:r>
          </w:p>
        </w:tc>
      </w:tr>
      <w:tr w:rsidR="001F025E" w:rsidRPr="00197615" w14:paraId="59CA5562" w14:textId="77777777">
        <w:tc>
          <w:tcPr>
            <w:tcW w:w="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3DCDD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3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BCDA9C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事件驱动架构（EDA）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B61B9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应用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80C1E2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实时响应、实时风控与营销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AE67A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事件一致性与排障复杂</w:t>
            </w:r>
          </w:p>
        </w:tc>
        <w:tc>
          <w:tcPr>
            <w:tcW w:w="1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89508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系统论证</w:t>
            </w:r>
          </w:p>
        </w:tc>
      </w:tr>
      <w:tr w:rsidR="001F025E" w:rsidRPr="00197615" w14:paraId="2D8B1345" w14:textId="77777777">
        <w:tc>
          <w:tcPr>
            <w:tcW w:w="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3A65A5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4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5A4B00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WebAssembly（WASM／Edge）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C1399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应用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88AD4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低延迟、低成本、边缘金融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2D456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生态不成熟、适配成本高</w:t>
            </w:r>
          </w:p>
        </w:tc>
        <w:tc>
          <w:tcPr>
            <w:tcW w:w="1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D8C1AF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深入研究</w:t>
            </w:r>
          </w:p>
        </w:tc>
      </w:tr>
      <w:tr w:rsidR="001F025E" w:rsidRPr="00197615" w14:paraId="2DCC28F6" w14:textId="77777777">
        <w:tc>
          <w:tcPr>
            <w:tcW w:w="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6EF67D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5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F2EAA1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数据织网（Data Fabric）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01ECB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数据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4A38C5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统一数据视图、提升可用性、支撑AI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70D468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元数据治理难、价值周期长</w:t>
            </w:r>
          </w:p>
        </w:tc>
        <w:tc>
          <w:tcPr>
            <w:tcW w:w="1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1508E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提前布局</w:t>
            </w:r>
          </w:p>
        </w:tc>
      </w:tr>
      <w:tr w:rsidR="001F025E" w:rsidRPr="00197615" w14:paraId="28858A0A" w14:textId="77777777">
        <w:tc>
          <w:tcPr>
            <w:tcW w:w="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C22E3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6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316CF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数据网格（Data Mesh）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EF3D1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数据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C72FD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数据所有权下沉、敏捷创新、产品化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43A7E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标准统一难、组织协同难</w:t>
            </w:r>
          </w:p>
        </w:tc>
        <w:tc>
          <w:tcPr>
            <w:tcW w:w="1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49A70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深入研究</w:t>
            </w:r>
          </w:p>
        </w:tc>
      </w:tr>
      <w:tr w:rsidR="001F025E" w:rsidRPr="00197615" w14:paraId="29EEDE23" w14:textId="77777777">
        <w:tc>
          <w:tcPr>
            <w:tcW w:w="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0D62D3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7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94ED2D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后量子加密（PQC）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BBDD9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安全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F1A41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抗量子、长期数据安全合规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F0329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性能开销、标准演进、改造成本</w:t>
            </w:r>
          </w:p>
        </w:tc>
        <w:tc>
          <w:tcPr>
            <w:tcW w:w="1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5903AE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深入研究</w:t>
            </w:r>
          </w:p>
        </w:tc>
      </w:tr>
      <w:tr w:rsidR="001F025E" w:rsidRPr="00197615" w14:paraId="4B4FBA62" w14:textId="77777777">
        <w:tc>
          <w:tcPr>
            <w:tcW w:w="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CB9D5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8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020769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  <w:lang w:val="it-IT"/>
              </w:rPr>
            </w:pPr>
            <w:r w:rsidRPr="00197615">
              <w:rPr>
                <w:sz w:val="22"/>
                <w:szCs w:val="22"/>
              </w:rPr>
              <w:t>零信任架构</w:t>
            </w:r>
            <w:r w:rsidRPr="00197615">
              <w:rPr>
                <w:sz w:val="22"/>
                <w:szCs w:val="22"/>
                <w:lang w:val="it-IT"/>
              </w:rPr>
              <w:t>（Zero Trust）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E2F141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安全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4E279A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最小权限、持续验证、安全访问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20262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体验下降、老系统适配难</w:t>
            </w:r>
          </w:p>
        </w:tc>
        <w:tc>
          <w:tcPr>
            <w:tcW w:w="1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22F5D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系统论证</w:t>
            </w:r>
          </w:p>
        </w:tc>
      </w:tr>
      <w:tr w:rsidR="001F025E" w:rsidRPr="00197615" w14:paraId="1D96F4AD" w14:textId="77777777">
        <w:tc>
          <w:tcPr>
            <w:tcW w:w="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E12E6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9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7DE77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量子计算（Quantum）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E5E10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技术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2B55B1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复杂优化、风险建模、加速计算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344E4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硬件不成熟、商业化有限</w:t>
            </w:r>
          </w:p>
        </w:tc>
        <w:tc>
          <w:tcPr>
            <w:tcW w:w="1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68D48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动态观察</w:t>
            </w:r>
          </w:p>
        </w:tc>
      </w:tr>
      <w:tr w:rsidR="001F025E" w:rsidRPr="00197615" w14:paraId="41A2DCEA" w14:textId="77777777">
        <w:tc>
          <w:tcPr>
            <w:tcW w:w="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54B71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10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9C0989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算力网络（Compute Network）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6C4A7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技术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32C7C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弹性调度、降本增效、算力普惠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E6796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调度复杂、网络瓶颈</w:t>
            </w:r>
          </w:p>
        </w:tc>
        <w:tc>
          <w:tcPr>
            <w:tcW w:w="1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38DDD4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深入研究</w:t>
            </w:r>
          </w:p>
        </w:tc>
      </w:tr>
      <w:tr w:rsidR="001F025E" w:rsidRPr="00197615" w14:paraId="71DA2507" w14:textId="77777777">
        <w:tc>
          <w:tcPr>
            <w:tcW w:w="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1E11D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11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25E2CA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平台工程／IDP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A1D46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技术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C1E19E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提升交付效率、标准化平台、开发者体验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95D6A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初期投入大、团队要求高</w:t>
            </w:r>
          </w:p>
        </w:tc>
        <w:tc>
          <w:tcPr>
            <w:tcW w:w="1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17E61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系统论证</w:t>
            </w:r>
          </w:p>
        </w:tc>
      </w:tr>
      <w:tr w:rsidR="001F025E" w:rsidRPr="00197615" w14:paraId="6C3449B3" w14:textId="77777777">
        <w:tc>
          <w:tcPr>
            <w:tcW w:w="5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B7CEB" w14:textId="77777777" w:rsidR="001F025E" w:rsidRPr="00197615" w:rsidRDefault="00000000" w:rsidP="00197615">
            <w:pPr>
              <w:spacing w:line="276" w:lineRule="auto"/>
              <w:jc w:val="center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12</w:t>
            </w:r>
          </w:p>
        </w:tc>
        <w:tc>
          <w:tcPr>
            <w:tcW w:w="23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843B7C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可观测性标准化（OpenTelemetry）</w:t>
            </w:r>
          </w:p>
        </w:tc>
        <w:tc>
          <w:tcPr>
            <w:tcW w:w="9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ABE0B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技术</w:t>
            </w:r>
          </w:p>
        </w:tc>
        <w:tc>
          <w:tcPr>
            <w:tcW w:w="2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9761B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全链路可观测、快速定位、智能运维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848F93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数据量大、分析要求高</w:t>
            </w:r>
          </w:p>
        </w:tc>
        <w:tc>
          <w:tcPr>
            <w:tcW w:w="10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4C2DC" w14:textId="77777777" w:rsidR="001F025E" w:rsidRPr="00197615" w:rsidRDefault="00000000" w:rsidP="00197615">
            <w:pPr>
              <w:spacing w:line="276" w:lineRule="auto"/>
              <w:rPr>
                <w:rFonts w:hint="eastAsia"/>
                <w:sz w:val="22"/>
                <w:szCs w:val="22"/>
              </w:rPr>
            </w:pPr>
            <w:r w:rsidRPr="00197615">
              <w:rPr>
                <w:sz w:val="22"/>
                <w:szCs w:val="22"/>
              </w:rPr>
              <w:t>深入研究</w:t>
            </w:r>
          </w:p>
        </w:tc>
      </w:tr>
    </w:tbl>
    <w:p w14:paraId="4A017466" w14:textId="21B746D7" w:rsidR="001F025E" w:rsidRDefault="001F025E">
      <w:pPr>
        <w:spacing w:before="120" w:after="120"/>
        <w:ind w:firstLine="560"/>
        <w:rPr>
          <w:rFonts w:hint="eastAsia"/>
        </w:rPr>
      </w:pPr>
    </w:p>
    <w:sectPr w:rsidR="001F025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FBEEF" w14:textId="77777777" w:rsidR="007E3552" w:rsidRDefault="007E3552" w:rsidP="00197615">
      <w:pPr>
        <w:rPr>
          <w:rFonts w:hint="eastAsia"/>
        </w:rPr>
      </w:pPr>
      <w:r>
        <w:separator/>
      </w:r>
    </w:p>
  </w:endnote>
  <w:endnote w:type="continuationSeparator" w:id="0">
    <w:p w14:paraId="176D3A49" w14:textId="77777777" w:rsidR="007E3552" w:rsidRDefault="007E3552" w:rsidP="0019761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2E88" w14:textId="77777777" w:rsidR="00197615" w:rsidRDefault="00197615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D12EB" w14:textId="77777777" w:rsidR="00197615" w:rsidRDefault="00197615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8C4C3" w14:textId="77777777" w:rsidR="00197615" w:rsidRDefault="00197615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B76CA" w14:textId="77777777" w:rsidR="007E3552" w:rsidRDefault="007E3552" w:rsidP="00197615">
      <w:pPr>
        <w:rPr>
          <w:rFonts w:hint="eastAsia"/>
        </w:rPr>
      </w:pPr>
      <w:r>
        <w:separator/>
      </w:r>
    </w:p>
  </w:footnote>
  <w:footnote w:type="continuationSeparator" w:id="0">
    <w:p w14:paraId="511E9536" w14:textId="77777777" w:rsidR="007E3552" w:rsidRDefault="007E3552" w:rsidP="0019761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2C47B" w14:textId="77777777" w:rsidR="00197615" w:rsidRDefault="00197615">
    <w:pPr>
      <w:pStyle w:val="ac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390FD" w14:textId="77777777" w:rsidR="00197615" w:rsidRDefault="00197615">
    <w:pPr>
      <w:pStyle w:val="ac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C048F" w14:textId="77777777" w:rsidR="00197615" w:rsidRDefault="00197615">
    <w:pPr>
      <w:pStyle w:val="ac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038"/>
    <w:multiLevelType w:val="hybridMultilevel"/>
    <w:tmpl w:val="CB3A091C"/>
    <w:lvl w:ilvl="0" w:tplc="DD24334C">
      <w:start w:val="1"/>
      <w:numFmt w:val="bullet"/>
      <w:lvlText w:val="●"/>
      <w:lvlJc w:val="left"/>
      <w:pPr>
        <w:ind w:left="720" w:hanging="360"/>
      </w:pPr>
    </w:lvl>
    <w:lvl w:ilvl="1" w:tplc="5CE8CE48">
      <w:start w:val="1"/>
      <w:numFmt w:val="bullet"/>
      <w:lvlText w:val="○"/>
      <w:lvlJc w:val="left"/>
      <w:pPr>
        <w:ind w:left="1440" w:hanging="360"/>
      </w:pPr>
    </w:lvl>
    <w:lvl w:ilvl="2" w:tplc="34BED460">
      <w:start w:val="1"/>
      <w:numFmt w:val="bullet"/>
      <w:lvlText w:val="■"/>
      <w:lvlJc w:val="left"/>
      <w:pPr>
        <w:ind w:left="2160" w:hanging="360"/>
      </w:pPr>
    </w:lvl>
    <w:lvl w:ilvl="3" w:tplc="0CCC5AA4">
      <w:start w:val="1"/>
      <w:numFmt w:val="bullet"/>
      <w:lvlText w:val="●"/>
      <w:lvlJc w:val="left"/>
      <w:pPr>
        <w:ind w:left="2880" w:hanging="360"/>
      </w:pPr>
    </w:lvl>
    <w:lvl w:ilvl="4" w:tplc="9F8ADAC4">
      <w:start w:val="1"/>
      <w:numFmt w:val="bullet"/>
      <w:lvlText w:val="○"/>
      <w:lvlJc w:val="left"/>
      <w:pPr>
        <w:ind w:left="3600" w:hanging="360"/>
      </w:pPr>
    </w:lvl>
    <w:lvl w:ilvl="5" w:tplc="1E62FACA">
      <w:start w:val="1"/>
      <w:numFmt w:val="bullet"/>
      <w:lvlText w:val="■"/>
      <w:lvlJc w:val="left"/>
      <w:pPr>
        <w:ind w:left="4320" w:hanging="360"/>
      </w:pPr>
    </w:lvl>
    <w:lvl w:ilvl="6" w:tplc="B5D2B7A6">
      <w:start w:val="1"/>
      <w:numFmt w:val="bullet"/>
      <w:lvlText w:val="●"/>
      <w:lvlJc w:val="left"/>
      <w:pPr>
        <w:ind w:left="5040" w:hanging="360"/>
      </w:pPr>
    </w:lvl>
    <w:lvl w:ilvl="7" w:tplc="ED10408E">
      <w:start w:val="1"/>
      <w:numFmt w:val="bullet"/>
      <w:lvlText w:val="●"/>
      <w:lvlJc w:val="left"/>
      <w:pPr>
        <w:ind w:left="5760" w:hanging="360"/>
      </w:pPr>
    </w:lvl>
    <w:lvl w:ilvl="8" w:tplc="F4E0EC74">
      <w:start w:val="1"/>
      <w:numFmt w:val="bullet"/>
      <w:lvlText w:val="●"/>
      <w:lvlJc w:val="left"/>
      <w:pPr>
        <w:ind w:left="6480" w:hanging="360"/>
      </w:pPr>
    </w:lvl>
  </w:abstractNum>
  <w:num w:numId="1" w16cid:durableId="14522862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25E"/>
    <w:rsid w:val="00197615"/>
    <w:rsid w:val="001F025E"/>
    <w:rsid w:val="00416A79"/>
    <w:rsid w:val="00676620"/>
    <w:rsid w:val="006E7294"/>
    <w:rsid w:val="0073351A"/>
    <w:rsid w:val="007E3552"/>
    <w:rsid w:val="00F4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B8850F"/>
  <w15:docId w15:val="{0D689CA9-241F-4E01-AE30-5EDD56E6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仿宋" w:eastAsia="仿宋" w:hAnsi="仿宋" w:cs="仿宋"/>
        <w:sz w:val="28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rFonts w:ascii="黑体" w:eastAsia="黑体" w:hAnsi="黑体" w:cs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20"/>
      <w:outlineLvl w:val="1"/>
    </w:pPr>
    <w:rPr>
      <w:rFonts w:ascii="黑体" w:eastAsia="黑体" w:hAnsi="黑体" w:cs="黑体"/>
      <w:b/>
      <w:bCs/>
      <w:sz w:val="30"/>
      <w:szCs w:val="3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976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97615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9761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976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1846</Words>
  <Characters>1921</Characters>
  <Application>Microsoft Office Word</Application>
  <DocSecurity>0</DocSecurity>
  <Lines>192</Lines>
  <Paragraphs>209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捷 徐</cp:lastModifiedBy>
  <cp:revision>4</cp:revision>
  <dcterms:created xsi:type="dcterms:W3CDTF">2026-07-01T08:48:00Z</dcterms:created>
  <dcterms:modified xsi:type="dcterms:W3CDTF">2026-07-01T09:11:00Z</dcterms:modified>
</cp:coreProperties>
</file>