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B4C7B" w14:textId="77777777" w:rsidR="00DD5B02" w:rsidRPr="00DD5B02" w:rsidRDefault="00DD5B02" w:rsidP="00DD5B02">
      <w:r w:rsidRPr="00DD5B02">
        <w:rPr>
          <w:b/>
          <w:bCs/>
        </w:rPr>
        <w:t>1. Describe the village: its geography, settlement pattern, land use, and key landmarks.</w:t>
      </w:r>
    </w:p>
    <w:p w14:paraId="0761EAD2" w14:textId="77777777" w:rsidR="00DD5B02" w:rsidRPr="00DD5B02" w:rsidRDefault="00DD5B02" w:rsidP="00DD5B02">
      <w:proofErr w:type="spellStart"/>
      <w:r w:rsidRPr="00DD5B02">
        <w:t>Naduvakkarai</w:t>
      </w:r>
      <w:proofErr w:type="spellEnd"/>
      <w:r w:rsidRPr="00DD5B02">
        <w:t xml:space="preserve"> (</w:t>
      </w:r>
      <w:proofErr w:type="spellStart"/>
      <w:r w:rsidRPr="00DD5B02">
        <w:rPr>
          <w:rFonts w:ascii="Nirmala UI" w:hAnsi="Nirmala UI" w:cs="Nirmala UI"/>
        </w:rPr>
        <w:t>நடுவிக்கரை</w:t>
      </w:r>
      <w:proofErr w:type="spellEnd"/>
      <w:r w:rsidRPr="00DD5B02">
        <w:t xml:space="preserve">) is a rural village located in </w:t>
      </w:r>
      <w:proofErr w:type="spellStart"/>
      <w:r w:rsidRPr="00DD5B02">
        <w:t>Kumbakonam</w:t>
      </w:r>
      <w:proofErr w:type="spellEnd"/>
      <w:r w:rsidRPr="00DD5B02">
        <w:t xml:space="preserve"> Block, Thanjavur District, Tamil Nadu — a region historically known for the Cauvery delta's agrarian character. The village has a total population of approximately 1,500 residents and is notable for having 100% voter registration, indicating a settled, civically engaged community.</w:t>
      </w:r>
    </w:p>
    <w:p w14:paraId="527A2F7D" w14:textId="77777777" w:rsidR="00DD5B02" w:rsidRPr="00DD5B02" w:rsidRDefault="00DD5B02" w:rsidP="00DD5B02">
      <w:r w:rsidRPr="00DD5B02">
        <w:t>The settlement pattern is mixed-residential, with households distributed across at least two distinct communities living within the same village boundary. Land use is primarily agricultural, with fields used for cultivation (evidenced by the NGO-distributed spinach seeds). A lake exists near the village, which functions as a shared water body used for laundry and daily activities — suggesting it sits within or at the edge of the settlement.</w:t>
      </w:r>
    </w:p>
    <w:p w14:paraId="347CA6E7" w14:textId="77777777" w:rsidR="00DD5B02" w:rsidRPr="00DD5B02" w:rsidRDefault="00DD5B02" w:rsidP="00DD5B02">
      <w:r w:rsidRPr="00DD5B02">
        <w:t xml:space="preserve">Key landmarks include a middle school (built up to Class 8, supported partly by the </w:t>
      </w:r>
      <w:proofErr w:type="spellStart"/>
      <w:r w:rsidRPr="00DD5B02">
        <w:t>Kalpakkam</w:t>
      </w:r>
      <w:proofErr w:type="spellEnd"/>
      <w:r w:rsidRPr="00DD5B02">
        <w:t xml:space="preserve"> Nuclear Power Plant's CSR contributions), a high school within 7 km, a government hospital in accessible proximity, a private clinic, and the village Panchayat office (roads built by Panchayat). The </w:t>
      </w:r>
      <w:proofErr w:type="spellStart"/>
      <w:r w:rsidRPr="00DD5B02">
        <w:t>Kalpakkam</w:t>
      </w:r>
      <w:proofErr w:type="spellEnd"/>
      <w:r w:rsidRPr="00DD5B02">
        <w:t xml:space="preserve"> plant also donated materials toward building the school and Panchayat infrastructure, which is an unusual and notable external development actor for a village of this size.</w:t>
      </w:r>
    </w:p>
    <w:p w14:paraId="2D1BB340" w14:textId="77777777" w:rsidR="00DD5B02" w:rsidRPr="00DD5B02" w:rsidRDefault="00DD5B02" w:rsidP="00DD5B02">
      <w:r w:rsidRPr="00DD5B02">
        <w:pict w14:anchorId="0EAF8BFB">
          <v:rect id="_x0000_i1049" style="width:0;height:1.5pt" o:hralign="center" o:hrstd="t" o:hr="t" fillcolor="#a0a0a0" stroked="f"/>
        </w:pict>
      </w:r>
    </w:p>
    <w:p w14:paraId="1AB87518" w14:textId="77777777" w:rsidR="00DD5B02" w:rsidRPr="00DD5B02" w:rsidRDefault="00DD5B02" w:rsidP="00DD5B02">
      <w:r w:rsidRPr="00DD5B02">
        <w:rPr>
          <w:b/>
          <w:bCs/>
        </w:rPr>
        <w:t>2. What livelihoods do you observe? Are they agriculture-based, labour-based, trade-based, or mixed?</w:t>
      </w:r>
    </w:p>
    <w:p w14:paraId="3170E134" w14:textId="77777777" w:rsidR="00DD5B02" w:rsidRPr="00DD5B02" w:rsidRDefault="00DD5B02" w:rsidP="00DD5B02">
      <w:r w:rsidRPr="00DD5B02">
        <w:t xml:space="preserve">The livelihoods are </w:t>
      </w:r>
      <w:r w:rsidRPr="00DD5B02">
        <w:rPr>
          <w:b/>
          <w:bCs/>
        </w:rPr>
        <w:t>mixed</w:t>
      </w:r>
      <w:r w:rsidRPr="00DD5B02">
        <w:t>, with a primary split between agriculture and transport-based labour:</w:t>
      </w:r>
    </w:p>
    <w:p w14:paraId="527C464E" w14:textId="77777777" w:rsidR="00DD5B02" w:rsidRPr="00DD5B02" w:rsidRDefault="00DD5B02" w:rsidP="00DD5B02">
      <w:pPr>
        <w:numPr>
          <w:ilvl w:val="0"/>
          <w:numId w:val="1"/>
        </w:numPr>
      </w:pPr>
      <w:r w:rsidRPr="00DD5B02">
        <w:rPr>
          <w:b/>
          <w:bCs/>
        </w:rPr>
        <w:t>Agriculture</w:t>
      </w:r>
      <w:r w:rsidRPr="00DD5B02">
        <w:t xml:space="preserve"> is the foundational livelihood — land cultivation is practiced, and there was prior NGO engagement around seed distribution (spinach), confirming active farming activity.</w:t>
      </w:r>
    </w:p>
    <w:p w14:paraId="04A203F1" w14:textId="77777777" w:rsidR="00DD5B02" w:rsidRPr="00DD5B02" w:rsidRDefault="00DD5B02" w:rsidP="00DD5B02">
      <w:pPr>
        <w:numPr>
          <w:ilvl w:val="0"/>
          <w:numId w:val="1"/>
        </w:numPr>
      </w:pPr>
      <w:r w:rsidRPr="00DD5B02">
        <w:rPr>
          <w:b/>
          <w:bCs/>
        </w:rPr>
        <w:t>Transport labour</w:t>
      </w:r>
      <w:r w:rsidRPr="00DD5B02">
        <w:t xml:space="preserve"> is a significant secondary livelihood — men are employed as cab drivers, auto-rickshaw drivers, and bus drivers, pointing to a dependence on externally-connected wage labour in the regional transport economy.</w:t>
      </w:r>
    </w:p>
    <w:p w14:paraId="567DF3B7" w14:textId="77777777" w:rsidR="00DD5B02" w:rsidRPr="00DD5B02" w:rsidRDefault="00DD5B02" w:rsidP="00DD5B02">
      <w:pPr>
        <w:numPr>
          <w:ilvl w:val="0"/>
          <w:numId w:val="1"/>
        </w:numPr>
      </w:pPr>
      <w:r w:rsidRPr="00DD5B02">
        <w:rPr>
          <w:b/>
          <w:bCs/>
        </w:rPr>
        <w:t>Women's economic activity</w:t>
      </w:r>
      <w:r w:rsidRPr="00DD5B02">
        <w:t xml:space="preserve"> is largely informal and household-linked — there is evident interest in tailoring (sewing machines were promised by a previous NGO), suggesting women's livelihood aspirations exist but are underserved.</w:t>
      </w:r>
    </w:p>
    <w:p w14:paraId="38FB920A" w14:textId="77777777" w:rsidR="00DD5B02" w:rsidRPr="00DD5B02" w:rsidRDefault="00DD5B02" w:rsidP="00DD5B02">
      <w:pPr>
        <w:numPr>
          <w:ilvl w:val="0"/>
          <w:numId w:val="1"/>
        </w:numPr>
      </w:pPr>
      <w:r w:rsidRPr="00DD5B02">
        <w:t>Free school bus access for children points to the community's reliance on public infrastructure rather than private income for education logistics.</w:t>
      </w:r>
    </w:p>
    <w:p w14:paraId="261E6C51" w14:textId="77777777" w:rsidR="00DD5B02" w:rsidRPr="00DD5B02" w:rsidRDefault="00DD5B02" w:rsidP="00DD5B02">
      <w:r w:rsidRPr="00DD5B02">
        <w:lastRenderedPageBreak/>
        <w:t xml:space="preserve">Overall classification: </w:t>
      </w:r>
      <w:r w:rsidRPr="00DD5B02">
        <w:rPr>
          <w:b/>
          <w:bCs/>
        </w:rPr>
        <w:t>Agriculture + Transport Labour dominant, with latent women's enterprise interest.</w:t>
      </w:r>
    </w:p>
    <w:p w14:paraId="782E1B5E" w14:textId="77777777" w:rsidR="00DD5B02" w:rsidRPr="00DD5B02" w:rsidRDefault="00DD5B02" w:rsidP="00DD5B02">
      <w:r w:rsidRPr="00DD5B02">
        <w:pict w14:anchorId="7F99C7CA">
          <v:rect id="_x0000_i1050" style="width:0;height:1.5pt" o:hralign="center" o:hrstd="t" o:hr="t" fillcolor="#a0a0a0" stroked="f"/>
        </w:pict>
      </w:r>
    </w:p>
    <w:p w14:paraId="1BDCCAFB" w14:textId="77777777" w:rsidR="00DD5B02" w:rsidRPr="00DD5B02" w:rsidRDefault="00DD5B02" w:rsidP="00DD5B02">
      <w:r w:rsidRPr="00DD5B02">
        <w:rPr>
          <w:b/>
          <w:bCs/>
        </w:rPr>
        <w:t>3. What are the top three problems the community faces related to environment, energy, waste, water, or livelihoods? How did you confirm these?</w:t>
      </w:r>
    </w:p>
    <w:p w14:paraId="0063ACF8" w14:textId="77777777" w:rsidR="00DD5B02" w:rsidRPr="00DD5B02" w:rsidRDefault="00DD5B02" w:rsidP="00DD5B02">
      <w:r w:rsidRPr="00DD5B02">
        <w:rPr>
          <w:b/>
          <w:bCs/>
        </w:rPr>
        <w:t>Problem 1 — Water Scarcity (Confirmed through conversation + community action)</w:t>
      </w:r>
      <w:r w:rsidRPr="00DD5B02">
        <w:br/>
        <w:t>The most acute problem. Underground water is both insufficient in quantity and poor in quality. The community has no reliable piped water supply. Residents depend on the nearby lake for laundry. The severity was confirmed not just through conversation but through a documented community protest — villagers threatened self-immolation before the village president to demand water access. This level of collective action is a strong indicator of crisis-level deprivation.</w:t>
      </w:r>
    </w:p>
    <w:p w14:paraId="0AEF58E6" w14:textId="77777777" w:rsidR="00DD5B02" w:rsidRPr="00DD5B02" w:rsidRDefault="00DD5B02" w:rsidP="00DD5B02">
      <w:r w:rsidRPr="00DD5B02">
        <w:rPr>
          <w:b/>
          <w:bCs/>
        </w:rPr>
        <w:t>Problem 2 — Incomplete Sanitation Infrastructure (Confirmed through observation)</w:t>
      </w:r>
      <w:r w:rsidRPr="00DD5B02">
        <w:br/>
        <w:t>Bathrooms/toilets are present in some households but absent in others. Residents without facilities use the lake area. This creates both dignity and hygiene concerns, particularly for women. Combined with the water problem, it forms a compounded sanitation vulnerability.</w:t>
      </w:r>
    </w:p>
    <w:p w14:paraId="1B3228E1" w14:textId="77777777" w:rsidR="00DD5B02" w:rsidRPr="00DD5B02" w:rsidRDefault="00DD5B02" w:rsidP="00DD5B02">
      <w:r w:rsidRPr="00DD5B02">
        <w:rPr>
          <w:b/>
          <w:bCs/>
        </w:rPr>
        <w:t>Problem 3 — Broken Trust with External Institutions / Livelihood Promises Unfulfilled (Confirmed through conversation with Kuppu)</w:t>
      </w:r>
      <w:r w:rsidRPr="00DD5B02">
        <w:br/>
        <w:t xml:space="preserve">The previous NGO batch distributed spinach seeds without follow-up agronomic support, rendering the intervention largely ineffective. More critically, sewing machines were promised to women in </w:t>
      </w:r>
      <w:proofErr w:type="spellStart"/>
      <w:r w:rsidRPr="00DD5B02">
        <w:t>Naduvakkarai</w:t>
      </w:r>
      <w:proofErr w:type="spellEnd"/>
      <w:r w:rsidRPr="00DD5B02">
        <w:t xml:space="preserve"> but delivered to other villages instead. This has created measurable social distrust toward outside intervention — a problem that directly affects the viability and reception of any new initiative, including this Karma Yoga project.</w:t>
      </w:r>
    </w:p>
    <w:p w14:paraId="6E56FFDD" w14:textId="77777777" w:rsidR="00DD5B02" w:rsidRPr="00DD5B02" w:rsidRDefault="00DD5B02" w:rsidP="00DD5B02">
      <w:r w:rsidRPr="00DD5B02">
        <w:pict w14:anchorId="499285A5">
          <v:rect id="_x0000_i1051" style="width:0;height:1.5pt" o:hralign="center" o:hrstd="t" o:hr="t" fillcolor="#a0a0a0" stroked="f"/>
        </w:pict>
      </w:r>
    </w:p>
    <w:p w14:paraId="1AA2C4D3" w14:textId="77777777" w:rsidR="00DD5B02" w:rsidRPr="00DD5B02" w:rsidRDefault="00DD5B02" w:rsidP="00DD5B02">
      <w:r w:rsidRPr="00DD5B02">
        <w:rPr>
          <w:b/>
          <w:bCs/>
        </w:rPr>
        <w:t>4. What resources — land, water, sunlight, biomass, waste materials, skilled people — seem abundant or underused?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7045"/>
      </w:tblGrid>
      <w:tr w:rsidR="00DD5B02" w:rsidRPr="00DD5B02" w14:paraId="6272D102" w14:textId="77777777">
        <w:trPr>
          <w:tblHeader/>
          <w:tblCellSpacing w:w="15" w:type="dxa"/>
        </w:trPr>
        <w:tc>
          <w:tcPr>
            <w:tcW w:w="0" w:type="auto"/>
            <w:vAlign w:val="center"/>
            <w:hideMark/>
          </w:tcPr>
          <w:p w14:paraId="7165945D" w14:textId="77777777" w:rsidR="00DD5B02" w:rsidRPr="00DD5B02" w:rsidRDefault="00DD5B02" w:rsidP="00DD5B02">
            <w:pPr>
              <w:rPr>
                <w:b/>
                <w:bCs/>
              </w:rPr>
            </w:pPr>
            <w:r w:rsidRPr="00DD5B02">
              <w:rPr>
                <w:b/>
                <w:bCs/>
              </w:rPr>
              <w:t>Resource</w:t>
            </w:r>
          </w:p>
        </w:tc>
        <w:tc>
          <w:tcPr>
            <w:tcW w:w="0" w:type="auto"/>
            <w:vAlign w:val="center"/>
            <w:hideMark/>
          </w:tcPr>
          <w:p w14:paraId="60F99916" w14:textId="77777777" w:rsidR="00DD5B02" w:rsidRPr="00DD5B02" w:rsidRDefault="00DD5B02" w:rsidP="00DD5B02">
            <w:pPr>
              <w:rPr>
                <w:b/>
                <w:bCs/>
              </w:rPr>
            </w:pPr>
            <w:r w:rsidRPr="00DD5B02">
              <w:rPr>
                <w:b/>
                <w:bCs/>
              </w:rPr>
              <w:t>Status</w:t>
            </w:r>
          </w:p>
        </w:tc>
      </w:tr>
      <w:tr w:rsidR="00DD5B02" w:rsidRPr="00DD5B02" w14:paraId="2E2D05C8" w14:textId="77777777">
        <w:trPr>
          <w:tblCellSpacing w:w="15" w:type="dxa"/>
        </w:trPr>
        <w:tc>
          <w:tcPr>
            <w:tcW w:w="0" w:type="auto"/>
            <w:vAlign w:val="center"/>
            <w:hideMark/>
          </w:tcPr>
          <w:p w14:paraId="69C928C5" w14:textId="77777777" w:rsidR="00DD5B02" w:rsidRPr="00DD5B02" w:rsidRDefault="00DD5B02" w:rsidP="00DD5B02">
            <w:r w:rsidRPr="00DD5B02">
              <w:rPr>
                <w:b/>
                <w:bCs/>
              </w:rPr>
              <w:t>Land</w:t>
            </w:r>
          </w:p>
        </w:tc>
        <w:tc>
          <w:tcPr>
            <w:tcW w:w="0" w:type="auto"/>
            <w:vAlign w:val="center"/>
            <w:hideMark/>
          </w:tcPr>
          <w:p w14:paraId="652DEEBF" w14:textId="77777777" w:rsidR="00DD5B02" w:rsidRPr="00DD5B02" w:rsidRDefault="00DD5B02" w:rsidP="00DD5B02">
            <w:r w:rsidRPr="00DD5B02">
              <w:t>Present and active (agriculture practiced); potentially underused for higher-value crops beyond subsistence</w:t>
            </w:r>
          </w:p>
        </w:tc>
      </w:tr>
      <w:tr w:rsidR="00DD5B02" w:rsidRPr="00DD5B02" w14:paraId="1D7B84C5" w14:textId="77777777">
        <w:trPr>
          <w:tblCellSpacing w:w="15" w:type="dxa"/>
        </w:trPr>
        <w:tc>
          <w:tcPr>
            <w:tcW w:w="0" w:type="auto"/>
            <w:vAlign w:val="center"/>
            <w:hideMark/>
          </w:tcPr>
          <w:p w14:paraId="10438ED1" w14:textId="77777777" w:rsidR="00DD5B02" w:rsidRPr="00DD5B02" w:rsidRDefault="00DD5B02" w:rsidP="00DD5B02">
            <w:r w:rsidRPr="00DD5B02">
              <w:rPr>
                <w:b/>
                <w:bCs/>
              </w:rPr>
              <w:t>Lake / Surface water</w:t>
            </w:r>
          </w:p>
        </w:tc>
        <w:tc>
          <w:tcPr>
            <w:tcW w:w="0" w:type="auto"/>
            <w:vAlign w:val="center"/>
            <w:hideMark/>
          </w:tcPr>
          <w:p w14:paraId="0ACAB482" w14:textId="77777777" w:rsidR="00DD5B02" w:rsidRPr="00DD5B02" w:rsidRDefault="00DD5B02" w:rsidP="00DD5B02">
            <w:r w:rsidRPr="00DD5B02">
              <w:t>Exists but quality-compromised and access informal; underused as a managed resource</w:t>
            </w:r>
          </w:p>
        </w:tc>
      </w:tr>
      <w:tr w:rsidR="00DD5B02" w:rsidRPr="00DD5B02" w14:paraId="691D7366" w14:textId="77777777">
        <w:trPr>
          <w:tblCellSpacing w:w="15" w:type="dxa"/>
        </w:trPr>
        <w:tc>
          <w:tcPr>
            <w:tcW w:w="0" w:type="auto"/>
            <w:vAlign w:val="center"/>
            <w:hideMark/>
          </w:tcPr>
          <w:p w14:paraId="26A12D1E" w14:textId="77777777" w:rsidR="00DD5B02" w:rsidRPr="00DD5B02" w:rsidRDefault="00DD5B02" w:rsidP="00DD5B02">
            <w:r w:rsidRPr="00DD5B02">
              <w:rPr>
                <w:b/>
                <w:bCs/>
              </w:rPr>
              <w:lastRenderedPageBreak/>
              <w:t>Sunlight</w:t>
            </w:r>
          </w:p>
        </w:tc>
        <w:tc>
          <w:tcPr>
            <w:tcW w:w="0" w:type="auto"/>
            <w:vAlign w:val="center"/>
            <w:hideMark/>
          </w:tcPr>
          <w:p w14:paraId="104CB08B" w14:textId="77777777" w:rsidR="00DD5B02" w:rsidRPr="00DD5B02" w:rsidRDefault="00DD5B02" w:rsidP="00DD5B02">
            <w:r w:rsidRPr="00DD5B02">
              <w:t>Tamil Nadu receives high solar irradiance year-round — no solar infrastructure observed; underused</w:t>
            </w:r>
          </w:p>
        </w:tc>
      </w:tr>
      <w:tr w:rsidR="00DD5B02" w:rsidRPr="00DD5B02" w14:paraId="2E86FF19" w14:textId="77777777">
        <w:trPr>
          <w:tblCellSpacing w:w="15" w:type="dxa"/>
        </w:trPr>
        <w:tc>
          <w:tcPr>
            <w:tcW w:w="0" w:type="auto"/>
            <w:vAlign w:val="center"/>
            <w:hideMark/>
          </w:tcPr>
          <w:p w14:paraId="29E10505" w14:textId="77777777" w:rsidR="00DD5B02" w:rsidRPr="00DD5B02" w:rsidRDefault="00DD5B02" w:rsidP="00DD5B02">
            <w:r w:rsidRPr="00DD5B02">
              <w:rPr>
                <w:b/>
                <w:bCs/>
              </w:rPr>
              <w:t>Skilled people</w:t>
            </w:r>
          </w:p>
        </w:tc>
        <w:tc>
          <w:tcPr>
            <w:tcW w:w="0" w:type="auto"/>
            <w:vAlign w:val="center"/>
            <w:hideMark/>
          </w:tcPr>
          <w:p w14:paraId="388A590C" w14:textId="77777777" w:rsidR="00DD5B02" w:rsidRPr="00DD5B02" w:rsidRDefault="00DD5B02" w:rsidP="00DD5B02">
            <w:proofErr w:type="spellStart"/>
            <w:r w:rsidRPr="00DD5B02">
              <w:t>Kuppu</w:t>
            </w:r>
            <w:proofErr w:type="spellEnd"/>
            <w:r w:rsidRPr="00DD5B02">
              <w:t xml:space="preserve"> (social activist, community anchor, connected to ex-village president) is a significant underused leadership resource. Women with tailoring interest are a latent skilled workforce.</w:t>
            </w:r>
          </w:p>
        </w:tc>
      </w:tr>
      <w:tr w:rsidR="00DD5B02" w:rsidRPr="00DD5B02" w14:paraId="4D994624" w14:textId="77777777">
        <w:trPr>
          <w:tblCellSpacing w:w="15" w:type="dxa"/>
        </w:trPr>
        <w:tc>
          <w:tcPr>
            <w:tcW w:w="0" w:type="auto"/>
            <w:vAlign w:val="center"/>
            <w:hideMark/>
          </w:tcPr>
          <w:p w14:paraId="0BF51E7A" w14:textId="77777777" w:rsidR="00DD5B02" w:rsidRPr="00DD5B02" w:rsidRDefault="00DD5B02" w:rsidP="00DD5B02">
            <w:r w:rsidRPr="00DD5B02">
              <w:rPr>
                <w:b/>
                <w:bCs/>
              </w:rPr>
              <w:t>Community organization</w:t>
            </w:r>
          </w:p>
        </w:tc>
        <w:tc>
          <w:tcPr>
            <w:tcW w:w="0" w:type="auto"/>
            <w:vAlign w:val="center"/>
            <w:hideMark/>
          </w:tcPr>
          <w:p w14:paraId="559EF13B" w14:textId="77777777" w:rsidR="00DD5B02" w:rsidRPr="00DD5B02" w:rsidRDefault="00DD5B02" w:rsidP="00DD5B02">
            <w:r w:rsidRPr="00DD5B02">
              <w:t>100% voter turnout and willingness to protest collectively = strong civic capital, largely untapped by development programs</w:t>
            </w:r>
          </w:p>
        </w:tc>
      </w:tr>
      <w:tr w:rsidR="00DD5B02" w:rsidRPr="00DD5B02" w14:paraId="08D10843" w14:textId="77777777">
        <w:trPr>
          <w:tblCellSpacing w:w="15" w:type="dxa"/>
        </w:trPr>
        <w:tc>
          <w:tcPr>
            <w:tcW w:w="0" w:type="auto"/>
            <w:vAlign w:val="center"/>
            <w:hideMark/>
          </w:tcPr>
          <w:p w14:paraId="0C24A787" w14:textId="77777777" w:rsidR="00DD5B02" w:rsidRPr="00DD5B02" w:rsidRDefault="00DD5B02" w:rsidP="00DD5B02">
            <w:r w:rsidRPr="00DD5B02">
              <w:rPr>
                <w:b/>
                <w:bCs/>
              </w:rPr>
              <w:t>Biomass / Agricultural waste</w:t>
            </w:r>
          </w:p>
        </w:tc>
        <w:tc>
          <w:tcPr>
            <w:tcW w:w="0" w:type="auto"/>
            <w:vAlign w:val="center"/>
            <w:hideMark/>
          </w:tcPr>
          <w:p w14:paraId="753B8E5A" w14:textId="77777777" w:rsidR="00DD5B02" w:rsidRPr="00DD5B02" w:rsidRDefault="00DD5B02" w:rsidP="00DD5B02">
            <w:r w:rsidRPr="00DD5B02">
              <w:t>Agriculture is practiced; crop residue likely available but no processing observed</w:t>
            </w:r>
          </w:p>
        </w:tc>
      </w:tr>
    </w:tbl>
    <w:p w14:paraId="74484DE0" w14:textId="55284C51" w:rsidR="00290FD5" w:rsidRDefault="00DD5B02">
      <w:r w:rsidRPr="00DD5B02">
        <w:pict w14:anchorId="151DEF20">
          <v:rect id="_x0000_i1052" style="width:0;height:1.5pt" o:hralign="center" o:hrstd="t" o:hr="t" fillcolor="#a0a0a0" stroked="f"/>
        </w:pict>
      </w:r>
    </w:p>
    <w:sectPr w:rsidR="00290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D008D"/>
    <w:multiLevelType w:val="multilevel"/>
    <w:tmpl w:val="A760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226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2E9"/>
    <w:rsid w:val="00290FD5"/>
    <w:rsid w:val="002951B4"/>
    <w:rsid w:val="006D6520"/>
    <w:rsid w:val="00DD5B02"/>
    <w:rsid w:val="00E00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2E04B"/>
  <w15:chartTrackingRefBased/>
  <w15:docId w15:val="{2CBB9AE8-ADE1-45E9-9C71-169BA85B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2E9"/>
    <w:rPr>
      <w:rFonts w:eastAsiaTheme="majorEastAsia" w:cstheme="majorBidi"/>
      <w:color w:val="272727" w:themeColor="text1" w:themeTint="D8"/>
    </w:rPr>
  </w:style>
  <w:style w:type="paragraph" w:styleId="Title">
    <w:name w:val="Title"/>
    <w:basedOn w:val="Normal"/>
    <w:next w:val="Normal"/>
    <w:link w:val="TitleChar"/>
    <w:uiPriority w:val="10"/>
    <w:qFormat/>
    <w:rsid w:val="00E00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2E9"/>
    <w:pPr>
      <w:spacing w:before="160"/>
      <w:jc w:val="center"/>
    </w:pPr>
    <w:rPr>
      <w:i/>
      <w:iCs/>
      <w:color w:val="404040" w:themeColor="text1" w:themeTint="BF"/>
    </w:rPr>
  </w:style>
  <w:style w:type="character" w:customStyle="1" w:styleId="QuoteChar">
    <w:name w:val="Quote Char"/>
    <w:basedOn w:val="DefaultParagraphFont"/>
    <w:link w:val="Quote"/>
    <w:uiPriority w:val="29"/>
    <w:rsid w:val="00E002E9"/>
    <w:rPr>
      <w:i/>
      <w:iCs/>
      <w:color w:val="404040" w:themeColor="text1" w:themeTint="BF"/>
    </w:rPr>
  </w:style>
  <w:style w:type="paragraph" w:styleId="ListParagraph">
    <w:name w:val="List Paragraph"/>
    <w:basedOn w:val="Normal"/>
    <w:uiPriority w:val="34"/>
    <w:qFormat/>
    <w:rsid w:val="00E002E9"/>
    <w:pPr>
      <w:ind w:left="720"/>
      <w:contextualSpacing/>
    </w:pPr>
  </w:style>
  <w:style w:type="character" w:styleId="IntenseEmphasis">
    <w:name w:val="Intense Emphasis"/>
    <w:basedOn w:val="DefaultParagraphFont"/>
    <w:uiPriority w:val="21"/>
    <w:qFormat/>
    <w:rsid w:val="00E002E9"/>
    <w:rPr>
      <w:i/>
      <w:iCs/>
      <w:color w:val="0F4761" w:themeColor="accent1" w:themeShade="BF"/>
    </w:rPr>
  </w:style>
  <w:style w:type="paragraph" w:styleId="IntenseQuote">
    <w:name w:val="Intense Quote"/>
    <w:basedOn w:val="Normal"/>
    <w:next w:val="Normal"/>
    <w:link w:val="IntenseQuoteChar"/>
    <w:uiPriority w:val="30"/>
    <w:qFormat/>
    <w:rsid w:val="00E00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2E9"/>
    <w:rPr>
      <w:i/>
      <w:iCs/>
      <w:color w:val="0F4761" w:themeColor="accent1" w:themeShade="BF"/>
    </w:rPr>
  </w:style>
  <w:style w:type="character" w:styleId="IntenseReference">
    <w:name w:val="Intense Reference"/>
    <w:basedOn w:val="DefaultParagraphFont"/>
    <w:uiPriority w:val="32"/>
    <w:qFormat/>
    <w:rsid w:val="00E002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Jain</dc:creator>
  <cp:keywords/>
  <dc:description/>
  <cp:lastModifiedBy>Naman Jain</cp:lastModifiedBy>
  <cp:revision>2</cp:revision>
  <dcterms:created xsi:type="dcterms:W3CDTF">2026-06-21T14:22:00Z</dcterms:created>
  <dcterms:modified xsi:type="dcterms:W3CDTF">2026-06-21T14:24:00Z</dcterms:modified>
</cp:coreProperties>
</file>