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sz w:val="40"/>
        </w:rPr>
        <w:t>Stonehaven, Inc. — Case Analysis</w:t>
      </w:r>
    </w:p>
    <w:p>
      <w:pPr>
        <w:spacing w:after="80"/>
        <w:jc w:val="left"/>
      </w:pPr>
      <w:r>
        <w:rPr>
          <w:i/>
          <w:color w:val="555555"/>
          <w:sz w:val="22"/>
        </w:rPr>
        <w:t>Operations Management I  •  PGPM  •  Great Lakes Institute of Management</w:t>
      </w:r>
    </w:p>
    <w:tbl>
      <w:tblPr>
        <w:tblW w:type="auto" w:w="0"/>
        <w:jc w:val="left"/>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873"/>
        <w:gridCol w:w="4873"/>
      </w:tblGrid>
      <w:tr>
        <w:tc>
          <w:tcPr>
            <w:tcW w:type="dxa" w:w="3118"/>
            <w:shd w:val="clear" w:color="auto" w:fill="E8EEF5"/>
          </w:tcPr>
          <w:p>
            <w:r/>
            <w:r>
              <w:rPr>
                <w:b/>
                <w:sz w:val="21"/>
              </w:rPr>
              <w:t>Group Number</w:t>
            </w:r>
          </w:p>
        </w:tc>
        <w:tc>
          <w:tcPr>
            <w:tcW w:type="dxa" w:w="5669"/>
          </w:tcPr>
          <w:p>
            <w:r>
              <w:rPr>
                <w:sz w:val="21"/>
              </w:rPr>
              <w:t>8</w:t>
            </w:r>
          </w:p>
        </w:tc>
      </w:tr>
      <w:tr>
        <w:tc>
          <w:tcPr>
            <w:tcW w:type="dxa" w:w="3118"/>
            <w:shd w:val="clear" w:color="auto" w:fill="E8EEF5"/>
          </w:tcPr>
          <w:p>
            <w:r/>
            <w:r>
              <w:rPr>
                <w:b/>
                <w:sz w:val="21"/>
              </w:rPr>
              <w:t>Batch Size (X = 5 × Group No.)</w:t>
            </w:r>
          </w:p>
        </w:tc>
        <w:tc>
          <w:tcPr>
            <w:tcW w:type="dxa" w:w="5669"/>
          </w:tcPr>
          <w:p>
            <w:r>
              <w:rPr>
                <w:sz w:val="21"/>
              </w:rPr>
              <w:t>40 pairs</w:t>
            </w:r>
          </w:p>
        </w:tc>
      </w:tr>
      <w:tr>
        <w:tc>
          <w:tcPr>
            <w:tcW w:type="dxa" w:w="3118"/>
            <w:shd w:val="clear" w:color="auto" w:fill="E8EEF5"/>
          </w:tcPr>
          <w:p>
            <w:r/>
            <w:r>
              <w:rPr>
                <w:b/>
                <w:sz w:val="21"/>
              </w:rPr>
              <w:t>Group Members</w:t>
            </w:r>
          </w:p>
        </w:tc>
        <w:tc>
          <w:tcPr>
            <w:tcW w:type="dxa" w:w="5669"/>
          </w:tcPr>
          <w:p>
            <w:r>
              <w:rPr>
                <w:sz w:val="21"/>
              </w:rPr>
              <w:t>[Fill in names and roll numbers]</w:t>
            </w:r>
          </w:p>
        </w:tc>
      </w:tr>
      <w:tr>
        <w:tc>
          <w:tcPr>
            <w:tcW w:type="dxa" w:w="3118"/>
            <w:shd w:val="clear" w:color="auto" w:fill="E8EEF5"/>
          </w:tcPr>
          <w:p>
            <w:r/>
            <w:r>
              <w:rPr>
                <w:b/>
                <w:sz w:val="21"/>
              </w:rPr>
              <w:t>Submission Date</w:t>
            </w:r>
          </w:p>
        </w:tc>
        <w:tc>
          <w:tcPr>
            <w:tcW w:type="dxa" w:w="5669"/>
          </w:tcPr>
          <w:p>
            <w:r>
              <w:rPr>
                <w:sz w:val="21"/>
              </w:rPr>
              <w:t>[Fill in date]</w:t>
            </w:r>
          </w:p>
        </w:tc>
      </w:tr>
    </w:tbl>
    <w:p>
      <w:pPr>
        <w:spacing w:after="80"/>
      </w:pPr>
    </w:p>
    <w:p>
      <w:pPr>
        <w:pStyle w:val="Heading1"/>
      </w:pPr>
      <w:r>
        <w:rPr>
          <w:rFonts w:ascii="Calibri" w:hAnsi="Calibri"/>
          <w:color w:val="1F3A5F"/>
          <w:sz w:val="28"/>
        </w:rPr>
        <w:t>1. Problem Setup</w:t>
      </w:r>
    </w:p>
    <w:p>
      <w:pPr>
        <w:spacing w:after="120"/>
      </w:pPr>
      <w:r>
        <w:rPr>
          <w:b w:val="0"/>
          <w:i w:val="0"/>
        </w:rPr>
        <w:t>The Gdansk factory runs one shift of 8 hours a day, five days a week. All calculations that follow use a working day of 480 minutes. Group 8's batch size is X = 5 × 8 = 40 pairs, so every batch that flows through the plant carries 40 identical pairs (same style, size, and colour). Consecutive batches change specifications, which is why die changes in the cutting department matter.</w:t>
      </w:r>
    </w:p>
    <w:p>
      <w:pPr>
        <w:spacing w:after="120"/>
      </w:pPr>
      <w:r>
        <w:rPr>
          <w:b w:val="0"/>
          <w:i w:val="0"/>
        </w:rPr>
        <w:t>Two questions are answered below: the factory's daily output capacity, and the total time a batch of 40 pairs takes to move from raw leather to finished goods.</w:t>
      </w:r>
    </w:p>
    <w:p>
      <w:pPr>
        <w:pStyle w:val="Heading1"/>
      </w:pPr>
      <w:r>
        <w:rPr>
          <w:rFonts w:ascii="Calibri" w:hAnsi="Calibri"/>
          <w:color w:val="1F3A5F"/>
          <w:sz w:val="28"/>
        </w:rPr>
        <w:t>2. Question 1 — Daily Factory Capacity at X = 40</w:t>
      </w:r>
    </w:p>
    <w:p>
      <w:pPr>
        <w:spacing w:after="120"/>
      </w:pPr>
      <w:r>
        <w:rPr>
          <w:b w:val="0"/>
          <w:i w:val="0"/>
        </w:rPr>
        <w:t>Factory capacity is set by the slowest department. We compute each department's daily throughput in the same unit (pairs per day) and take the minimum.</w:t>
      </w:r>
    </w:p>
    <w:p>
      <w:pPr>
        <w:pStyle w:val="Heading2"/>
      </w:pPr>
      <w:r>
        <w:rPr>
          <w:rFonts w:ascii="Calibri" w:hAnsi="Calibri"/>
          <w:color w:val="2C3E50"/>
          <w:sz w:val="24"/>
        </w:rPr>
        <w:t>2.1 Cutting</w:t>
      </w:r>
    </w:p>
    <w:p>
      <w:pPr>
        <w:spacing w:after="120"/>
      </w:pPr>
      <w:r>
        <w:rPr>
          <w:b w:val="0"/>
          <w:i w:val="0"/>
        </w:rPr>
        <w:t>The three stamping presses work at the same time on the same batch. Each press does four die changes and cuts four components per pair, so a 40-pair batch needs 4 × 40 = 160 stampings per press. The batch is done when the slowest press finishes.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vAlign w:val="center"/>
          </w:tcPr>
          <w:p>
            <w:pPr>
              <w:jc w:val="center"/>
            </w:pPr>
            <w:r/>
            <w:r>
              <w:rPr>
                <w:b/>
                <w:color w:val="FFFFFF"/>
                <w:sz w:val="21"/>
              </w:rPr>
              <w:t>Press</w:t>
            </w:r>
          </w:p>
        </w:tc>
        <w:tc>
          <w:tcPr>
            <w:tcW w:type="dxa" w:w="2436"/>
            <w:shd w:val="clear" w:color="auto" w:fill="1F3A5F"/>
            <w:vAlign w:val="center"/>
          </w:tcPr>
          <w:p>
            <w:pPr>
              <w:jc w:val="center"/>
            </w:pPr>
            <w:r/>
            <w:r>
              <w:rPr>
                <w:b/>
                <w:color w:val="FFFFFF"/>
                <w:sz w:val="21"/>
              </w:rPr>
              <w:t>Setups (4 × die change)</w:t>
            </w:r>
          </w:p>
        </w:tc>
        <w:tc>
          <w:tcPr>
            <w:tcW w:type="dxa" w:w="2436"/>
            <w:shd w:val="clear" w:color="auto" w:fill="1F3A5F"/>
            <w:vAlign w:val="center"/>
          </w:tcPr>
          <w:p>
            <w:pPr>
              <w:jc w:val="center"/>
            </w:pPr>
            <w:r/>
            <w:r>
              <w:rPr>
                <w:b/>
                <w:color w:val="FFFFFF"/>
                <w:sz w:val="21"/>
              </w:rPr>
              <w:t>Run (160 × time/piece)</w:t>
            </w:r>
          </w:p>
        </w:tc>
        <w:tc>
          <w:tcPr>
            <w:tcW w:type="dxa" w:w="2436"/>
            <w:shd w:val="clear" w:color="auto" w:fill="1F3A5F"/>
            <w:vAlign w:val="center"/>
          </w:tcPr>
          <w:p>
            <w:pPr>
              <w:jc w:val="center"/>
            </w:pPr>
            <w:r/>
            <w:r>
              <w:rPr>
                <w:b/>
                <w:color w:val="FFFFFF"/>
                <w:sz w:val="21"/>
              </w:rPr>
              <w:t>Batch time (min)</w:t>
            </w:r>
          </w:p>
        </w:tc>
      </w:tr>
      <w:tr>
        <w:tc>
          <w:tcPr>
            <w:tcW w:type="dxa" w:w="2436"/>
            <w:vAlign w:val="center"/>
            <w:shd w:val="clear" w:color="auto" w:fill="FFF3CD"/>
          </w:tcPr>
          <w:p>
            <w:pPr>
              <w:jc w:val="left"/>
            </w:pPr>
            <w:r/>
            <w:r>
              <w:rPr>
                <w:b/>
                <w:sz w:val="21"/>
              </w:rPr>
              <w:t>M1 — Cut shoe leather</w:t>
            </w:r>
          </w:p>
        </w:tc>
        <w:tc>
          <w:tcPr>
            <w:tcW w:type="dxa" w:w="2436"/>
            <w:vAlign w:val="center"/>
            <w:shd w:val="clear" w:color="auto" w:fill="FFF3CD"/>
          </w:tcPr>
          <w:p>
            <w:pPr>
              <w:jc w:val="center"/>
            </w:pPr>
            <w:r/>
            <w:r>
              <w:rPr>
                <w:sz w:val="21"/>
              </w:rPr>
              <w:t>4 × 5.25 = 21.0</w:t>
            </w:r>
          </w:p>
        </w:tc>
        <w:tc>
          <w:tcPr>
            <w:tcW w:type="dxa" w:w="2436"/>
            <w:vAlign w:val="center"/>
            <w:shd w:val="clear" w:color="auto" w:fill="FFF3CD"/>
          </w:tcPr>
          <w:p>
            <w:pPr>
              <w:jc w:val="center"/>
            </w:pPr>
            <w:r/>
            <w:r>
              <w:rPr>
                <w:sz w:val="21"/>
              </w:rPr>
              <w:t>160 × 0.05 = 8.0</w:t>
            </w:r>
          </w:p>
        </w:tc>
        <w:tc>
          <w:tcPr>
            <w:tcW w:type="dxa" w:w="2436"/>
            <w:vAlign w:val="center"/>
            <w:shd w:val="clear" w:color="auto" w:fill="FFF3CD"/>
          </w:tcPr>
          <w:p>
            <w:pPr>
              <w:jc w:val="center"/>
            </w:pPr>
            <w:r/>
            <w:r>
              <w:rPr>
                <w:sz w:val="21"/>
              </w:rPr>
              <w:t>29.0</w:t>
            </w:r>
          </w:p>
        </w:tc>
      </w:tr>
      <w:tr>
        <w:tc>
          <w:tcPr>
            <w:tcW w:type="dxa" w:w="2436"/>
            <w:vAlign w:val="center"/>
          </w:tcPr>
          <w:p>
            <w:pPr>
              <w:jc w:val="left"/>
            </w:pPr>
            <w:r/>
            <w:r>
              <w:rPr>
                <w:b/>
                <w:sz w:val="21"/>
              </w:rPr>
              <w:t>M2 — Cut linings</w:t>
            </w:r>
          </w:p>
        </w:tc>
        <w:tc>
          <w:tcPr>
            <w:tcW w:type="dxa" w:w="2436"/>
            <w:vAlign w:val="center"/>
          </w:tcPr>
          <w:p>
            <w:pPr>
              <w:jc w:val="center"/>
            </w:pPr>
            <w:r/>
            <w:r>
              <w:rPr>
                <w:sz w:val="21"/>
              </w:rPr>
              <w:t>4 × 5.00 = 20.0</w:t>
            </w:r>
          </w:p>
        </w:tc>
        <w:tc>
          <w:tcPr>
            <w:tcW w:type="dxa" w:w="2436"/>
            <w:vAlign w:val="center"/>
          </w:tcPr>
          <w:p>
            <w:pPr>
              <w:jc w:val="center"/>
            </w:pPr>
            <w:r/>
            <w:r>
              <w:rPr>
                <w:sz w:val="21"/>
              </w:rPr>
              <w:t>160 × 0.05 = 8.0</w:t>
            </w:r>
          </w:p>
        </w:tc>
        <w:tc>
          <w:tcPr>
            <w:tcW w:type="dxa" w:w="2436"/>
            <w:vAlign w:val="center"/>
          </w:tcPr>
          <w:p>
            <w:pPr>
              <w:jc w:val="center"/>
            </w:pPr>
            <w:r/>
            <w:r>
              <w:rPr>
                <w:sz w:val="21"/>
              </w:rPr>
              <w:t>28.0</w:t>
            </w:r>
          </w:p>
        </w:tc>
      </w:tr>
      <w:tr>
        <w:tc>
          <w:tcPr>
            <w:tcW w:type="dxa" w:w="2436"/>
            <w:vAlign w:val="center"/>
          </w:tcPr>
          <w:p>
            <w:pPr>
              <w:jc w:val="left"/>
            </w:pPr>
            <w:r/>
            <w:r>
              <w:rPr>
                <w:b/>
                <w:sz w:val="21"/>
              </w:rPr>
              <w:t>M3 — Cut insole</w:t>
            </w:r>
          </w:p>
        </w:tc>
        <w:tc>
          <w:tcPr>
            <w:tcW w:type="dxa" w:w="2436"/>
            <w:vAlign w:val="center"/>
          </w:tcPr>
          <w:p>
            <w:pPr>
              <w:jc w:val="center"/>
            </w:pPr>
            <w:r/>
            <w:r>
              <w:rPr>
                <w:sz w:val="21"/>
              </w:rPr>
              <w:t>4 × 4.00 = 16.0</w:t>
            </w:r>
          </w:p>
        </w:tc>
        <w:tc>
          <w:tcPr>
            <w:tcW w:type="dxa" w:w="2436"/>
            <w:vAlign w:val="center"/>
          </w:tcPr>
          <w:p>
            <w:pPr>
              <w:jc w:val="center"/>
            </w:pPr>
            <w:r/>
            <w:r>
              <w:rPr>
                <w:sz w:val="21"/>
              </w:rPr>
              <w:t>160 × 0.04 = 6.4</w:t>
            </w:r>
          </w:p>
        </w:tc>
        <w:tc>
          <w:tcPr>
            <w:tcW w:type="dxa" w:w="2436"/>
            <w:vAlign w:val="center"/>
          </w:tcPr>
          <w:p>
            <w:pPr>
              <w:jc w:val="center"/>
            </w:pPr>
            <w:r/>
            <w:r>
              <w:rPr>
                <w:sz w:val="21"/>
              </w:rPr>
              <w:t>22.4</w:t>
            </w:r>
          </w:p>
        </w:tc>
      </w:tr>
    </w:tbl>
    <w:p>
      <w:pPr>
        <w:spacing w:after="80"/>
      </w:pPr>
    </w:p>
    <w:p>
      <w:pPr>
        <w:spacing w:after="120"/>
      </w:pPr>
      <w:r>
        <w:rPr>
          <w:b/>
          <w:i w:val="0"/>
        </w:rPr>
        <w:t>Batch cycle time = 29 minutes (M1 governs).</w:t>
      </w:r>
    </w:p>
    <w:p>
      <w:r>
        <w:rPr>
          <w:sz w:val="22"/>
        </w:rPr>
        <w:t xml:space="preserve">Daily throughput = </w:t>
      </w:r>
      <w:r>
        <w:rPr>
          <w:sz w:val="22"/>
        </w:rPr>
        <w:t xml:space="preserve">(480 ÷ 29) × 40 ≈ </w:t>
      </w:r>
      <w:r>
        <w:rPr>
          <w:b/>
          <w:sz w:val="22"/>
        </w:rPr>
        <w:t>662 pairs/day</w:t>
      </w:r>
    </w:p>
    <w:p>
      <w:pPr>
        <w:pStyle w:val="Heading2"/>
      </w:pPr>
      <w:r>
        <w:rPr>
          <w:rFonts w:ascii="Calibri" w:hAnsi="Calibri"/>
          <w:color w:val="2C3E50"/>
          <w:sz w:val="24"/>
        </w:rPr>
        <w:t>2.2 Kitting</w:t>
      </w:r>
    </w:p>
    <w:p>
      <w:pPr>
        <w:spacing w:after="120"/>
      </w:pPr>
      <w:r>
        <w:rPr>
          <w:b w:val="0"/>
          <w:i w:val="0"/>
        </w:rPr>
        <w:t>Ten minutes per batch, no other constraint. Daily throughput = (480 ÷ 10) × 40 = 1,920 pairs/day.</w:t>
      </w:r>
    </w:p>
    <w:p>
      <w:pPr>
        <w:pStyle w:val="Heading2"/>
      </w:pPr>
      <w:r>
        <w:rPr>
          <w:rFonts w:ascii="Calibri" w:hAnsi="Calibri"/>
          <w:color w:val="2C3E50"/>
          <w:sz w:val="24"/>
        </w:rPr>
        <w:t>2.3 Stitching</w:t>
      </w:r>
    </w:p>
    <w:p>
      <w:pPr>
        <w:spacing w:after="120"/>
      </w:pPr>
      <w:r>
        <w:rPr>
          <w:b w:val="0"/>
          <w:i w:val="0"/>
        </w:rPr>
        <w:t>Each worker takes one kit at a time, but workers in the same group work on different kits in parallel. Steady-state throughput per group therefore depends only on the number of workers and the per-pair rate. The supervisor's kit routing adds queueing time but does not lower long-run throughput as long as buffers stay full.</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vAlign w:val="center"/>
          </w:tcPr>
          <w:p>
            <w:pPr>
              <w:jc w:val="center"/>
            </w:pPr>
            <w:r/>
            <w:r>
              <w:rPr>
                <w:b/>
                <w:color w:val="FFFFFF"/>
                <w:sz w:val="21"/>
              </w:rPr>
              <w:t>Work group</w:t>
            </w:r>
          </w:p>
        </w:tc>
        <w:tc>
          <w:tcPr>
            <w:tcW w:type="dxa" w:w="2436"/>
            <w:shd w:val="clear" w:color="auto" w:fill="1F3A5F"/>
            <w:vAlign w:val="center"/>
          </w:tcPr>
          <w:p>
            <w:pPr>
              <w:jc w:val="center"/>
            </w:pPr>
            <w:r/>
            <w:r>
              <w:rPr>
                <w:b/>
                <w:color w:val="FFFFFF"/>
                <w:sz w:val="21"/>
              </w:rPr>
              <w:t>Workers</w:t>
            </w:r>
          </w:p>
        </w:tc>
        <w:tc>
          <w:tcPr>
            <w:tcW w:type="dxa" w:w="2436"/>
            <w:shd w:val="clear" w:color="auto" w:fill="1F3A5F"/>
            <w:vAlign w:val="center"/>
          </w:tcPr>
          <w:p>
            <w:pPr>
              <w:jc w:val="center"/>
            </w:pPr>
            <w:r/>
            <w:r>
              <w:rPr>
                <w:b/>
                <w:color w:val="FFFFFF"/>
                <w:sz w:val="21"/>
              </w:rPr>
              <w:t>Time / pair</w:t>
            </w:r>
          </w:p>
        </w:tc>
        <w:tc>
          <w:tcPr>
            <w:tcW w:type="dxa" w:w="2436"/>
            <w:shd w:val="clear" w:color="auto" w:fill="1F3A5F"/>
            <w:vAlign w:val="center"/>
          </w:tcPr>
          <w:p>
            <w:pPr>
              <w:jc w:val="center"/>
            </w:pPr>
            <w:r/>
            <w:r>
              <w:rPr>
                <w:b/>
                <w:color w:val="FFFFFF"/>
                <w:sz w:val="21"/>
              </w:rPr>
              <w:t>Daily throughput (pairs/day)</w:t>
            </w:r>
          </w:p>
        </w:tc>
      </w:tr>
      <w:tr>
        <w:tc>
          <w:tcPr>
            <w:tcW w:type="dxa" w:w="2436"/>
            <w:vAlign w:val="center"/>
            <w:shd w:val="clear" w:color="auto" w:fill="FFF3CD"/>
          </w:tcPr>
          <w:p>
            <w:pPr>
              <w:jc w:val="left"/>
            </w:pPr>
            <w:r/>
            <w:r>
              <w:rPr>
                <w:b/>
                <w:sz w:val="21"/>
              </w:rPr>
              <w:t>Prefit</w:t>
            </w:r>
          </w:p>
        </w:tc>
        <w:tc>
          <w:tcPr>
            <w:tcW w:type="dxa" w:w="2436"/>
            <w:vAlign w:val="center"/>
            <w:shd w:val="clear" w:color="auto" w:fill="FFF3CD"/>
          </w:tcPr>
          <w:p>
            <w:pPr>
              <w:jc w:val="center"/>
            </w:pPr>
            <w:r/>
            <w:r>
              <w:rPr>
                <w:sz w:val="21"/>
              </w:rPr>
              <w:t>4</w:t>
            </w:r>
          </w:p>
        </w:tc>
        <w:tc>
          <w:tcPr>
            <w:tcW w:type="dxa" w:w="2436"/>
            <w:vAlign w:val="center"/>
            <w:shd w:val="clear" w:color="auto" w:fill="FFF3CD"/>
          </w:tcPr>
          <w:p>
            <w:pPr>
              <w:jc w:val="center"/>
            </w:pPr>
            <w:r/>
            <w:r>
              <w:rPr>
                <w:sz w:val="21"/>
              </w:rPr>
              <w:t>5.0 min</w:t>
            </w:r>
          </w:p>
        </w:tc>
        <w:tc>
          <w:tcPr>
            <w:tcW w:type="dxa" w:w="2436"/>
            <w:vAlign w:val="center"/>
            <w:shd w:val="clear" w:color="auto" w:fill="FFF3CD"/>
          </w:tcPr>
          <w:p>
            <w:pPr>
              <w:jc w:val="center"/>
            </w:pPr>
            <w:r/>
            <w:r>
              <w:rPr>
                <w:sz w:val="21"/>
              </w:rPr>
              <w:t>4 × 480 ÷ 5.0 = 384</w:t>
            </w:r>
          </w:p>
        </w:tc>
      </w:tr>
      <w:tr>
        <w:tc>
          <w:tcPr>
            <w:tcW w:type="dxa" w:w="2436"/>
            <w:vAlign w:val="center"/>
          </w:tcPr>
          <w:p>
            <w:pPr>
              <w:jc w:val="left"/>
            </w:pPr>
            <w:r/>
            <w:r>
              <w:rPr>
                <w:b/>
                <w:sz w:val="21"/>
              </w:rPr>
              <w:t>Join</w:t>
            </w:r>
          </w:p>
        </w:tc>
        <w:tc>
          <w:tcPr>
            <w:tcW w:type="dxa" w:w="2436"/>
            <w:vAlign w:val="center"/>
          </w:tcPr>
          <w:p>
            <w:pPr>
              <w:jc w:val="center"/>
            </w:pPr>
            <w:r/>
            <w:r>
              <w:rPr>
                <w:sz w:val="21"/>
              </w:rPr>
              <w:t>3</w:t>
            </w:r>
          </w:p>
        </w:tc>
        <w:tc>
          <w:tcPr>
            <w:tcW w:type="dxa" w:w="2436"/>
            <w:vAlign w:val="center"/>
          </w:tcPr>
          <w:p>
            <w:pPr>
              <w:jc w:val="center"/>
            </w:pPr>
            <w:r/>
            <w:r>
              <w:rPr>
                <w:sz w:val="21"/>
              </w:rPr>
              <w:t>3.0 min</w:t>
            </w:r>
          </w:p>
        </w:tc>
        <w:tc>
          <w:tcPr>
            <w:tcW w:type="dxa" w:w="2436"/>
            <w:vAlign w:val="center"/>
          </w:tcPr>
          <w:p>
            <w:pPr>
              <w:jc w:val="center"/>
            </w:pPr>
            <w:r/>
            <w:r>
              <w:rPr>
                <w:sz w:val="21"/>
              </w:rPr>
              <w:t>3 × 480 ÷ 3.0 = 480</w:t>
            </w:r>
          </w:p>
        </w:tc>
      </w:tr>
      <w:tr>
        <w:tc>
          <w:tcPr>
            <w:tcW w:type="dxa" w:w="2436"/>
            <w:vAlign w:val="center"/>
            <w:shd w:val="clear" w:color="auto" w:fill="FFF3CD"/>
          </w:tcPr>
          <w:p>
            <w:pPr>
              <w:jc w:val="left"/>
            </w:pPr>
            <w:r/>
            <w:r>
              <w:rPr>
                <w:b/>
                <w:sz w:val="21"/>
              </w:rPr>
              <w:t>Ornament</w:t>
            </w:r>
          </w:p>
        </w:tc>
        <w:tc>
          <w:tcPr>
            <w:tcW w:type="dxa" w:w="2436"/>
            <w:vAlign w:val="center"/>
            <w:shd w:val="clear" w:color="auto" w:fill="FFF3CD"/>
          </w:tcPr>
          <w:p>
            <w:pPr>
              <w:jc w:val="center"/>
            </w:pPr>
            <w:r/>
            <w:r>
              <w:rPr>
                <w:sz w:val="21"/>
              </w:rPr>
              <w:t>2</w:t>
            </w:r>
          </w:p>
        </w:tc>
        <w:tc>
          <w:tcPr>
            <w:tcW w:type="dxa" w:w="2436"/>
            <w:vAlign w:val="center"/>
            <w:shd w:val="clear" w:color="auto" w:fill="FFF3CD"/>
          </w:tcPr>
          <w:p>
            <w:pPr>
              <w:jc w:val="center"/>
            </w:pPr>
            <w:r/>
            <w:r>
              <w:rPr>
                <w:sz w:val="21"/>
              </w:rPr>
              <w:t>2.5 min</w:t>
            </w:r>
          </w:p>
        </w:tc>
        <w:tc>
          <w:tcPr>
            <w:tcW w:type="dxa" w:w="2436"/>
            <w:vAlign w:val="center"/>
            <w:shd w:val="clear" w:color="auto" w:fill="FFF3CD"/>
          </w:tcPr>
          <w:p>
            <w:pPr>
              <w:jc w:val="center"/>
            </w:pPr>
            <w:r/>
            <w:r>
              <w:rPr>
                <w:sz w:val="21"/>
              </w:rPr>
              <w:t>2 × 480 ÷ 2.5 = 384</w:t>
            </w:r>
          </w:p>
        </w:tc>
      </w:tr>
    </w:tbl>
    <w:p>
      <w:pPr>
        <w:spacing w:after="80"/>
      </w:pPr>
    </w:p>
    <w:p>
      <w:pPr>
        <w:spacing w:after="120"/>
      </w:pPr>
      <w:r>
        <w:rPr>
          <w:b/>
          <w:i w:val="0"/>
        </w:rPr>
        <w:t>Stitching capacity = 384 pairs/day. Prefit and Ornament are tied as the internal bottleneck.</w:t>
      </w:r>
    </w:p>
    <w:p>
      <w:pPr>
        <w:pStyle w:val="Heading2"/>
      </w:pPr>
      <w:r>
        <w:rPr>
          <w:rFonts w:ascii="Calibri" w:hAnsi="Calibri"/>
          <w:color w:val="2C3E50"/>
          <w:sz w:val="24"/>
        </w:rPr>
        <w:t>2.4 Steaming</w:t>
      </w:r>
    </w:p>
    <w:p>
      <w:pPr>
        <w:spacing w:after="120"/>
      </w:pPr>
      <w:r>
        <w:rPr>
          <w:b w:val="0"/>
          <w:i w:val="0"/>
        </w:rPr>
        <w:t>The oven has significant excess capacity and holds multiple batches at once (six-hour dwell time, but not a queue constraint). Steaming is not the bottleneck.</w:t>
      </w:r>
    </w:p>
    <w:p>
      <w:pPr>
        <w:pStyle w:val="Heading2"/>
      </w:pPr>
      <w:r>
        <w:rPr>
          <w:rFonts w:ascii="Calibri" w:hAnsi="Calibri"/>
          <w:color w:val="2C3E50"/>
          <w:sz w:val="24"/>
        </w:rPr>
        <w:t>2.5 Lasting</w:t>
      </w:r>
    </w:p>
    <w:p>
      <w:pPr>
        <w:spacing w:after="120"/>
      </w:pPr>
      <w:r>
        <w:rPr>
          <w:b w:val="0"/>
          <w:i w:val="0"/>
        </w:rPr>
        <w:t>The lasting line is paced. It runs at the rate of the slowest station, which is Station 3 at 1.0 minute per pair. Only one batch is on the line at a time, so each batch pays a pipeline-fill penalty.</w:t>
      </w:r>
    </w:p>
    <w:tbl>
      <w:tblPr>
        <w:tblStyle w:val="LightGrid-Accent1"/>
        <w:tblW w:type="auto" w:w="0"/>
        <w:jc w:val="center"/>
        <w:tblLook w:firstColumn="1" w:firstRow="1" w:lastColumn="0" w:lastRow="0" w:noHBand="0" w:noVBand="1" w:val="04A0"/>
      </w:tblPr>
      <w:tblGrid>
        <w:gridCol w:w="4873"/>
        <w:gridCol w:w="4873"/>
      </w:tblGrid>
      <w:tr>
        <w:tc>
          <w:tcPr>
            <w:tcW w:type="dxa" w:w="4873"/>
            <w:shd w:val="clear" w:color="auto" w:fill="1F3A5F"/>
            <w:vAlign w:val="center"/>
          </w:tcPr>
          <w:p>
            <w:pPr>
              <w:jc w:val="center"/>
            </w:pPr>
            <w:r/>
            <w:r>
              <w:rPr>
                <w:b/>
                <w:color w:val="FFFFFF"/>
                <w:sz w:val="21"/>
              </w:rPr>
              <w:t>Station</w:t>
            </w:r>
          </w:p>
        </w:tc>
        <w:tc>
          <w:tcPr>
            <w:tcW w:type="dxa" w:w="4873"/>
            <w:shd w:val="clear" w:color="auto" w:fill="1F3A5F"/>
            <w:vAlign w:val="center"/>
          </w:tcPr>
          <w:p>
            <w:pPr>
              <w:jc w:val="center"/>
            </w:pPr>
            <w:r/>
            <w:r>
              <w:rPr>
                <w:b/>
                <w:color w:val="FFFFFF"/>
                <w:sz w:val="21"/>
              </w:rPr>
              <w:t>Time / pair (min)</w:t>
            </w:r>
          </w:p>
        </w:tc>
      </w:tr>
      <w:tr>
        <w:tc>
          <w:tcPr>
            <w:tcW w:type="dxa" w:w="4873"/>
            <w:vAlign w:val="center"/>
          </w:tcPr>
          <w:p>
            <w:pPr>
              <w:jc w:val="left"/>
            </w:pPr>
            <w:r/>
            <w:r>
              <w:rPr>
                <w:b/>
                <w:sz w:val="21"/>
              </w:rPr>
              <w:t>1 — Staple insole</w:t>
            </w:r>
          </w:p>
        </w:tc>
        <w:tc>
          <w:tcPr>
            <w:tcW w:type="dxa" w:w="4873"/>
            <w:vAlign w:val="center"/>
          </w:tcPr>
          <w:p>
            <w:pPr>
              <w:jc w:val="center"/>
            </w:pPr>
            <w:r/>
            <w:r>
              <w:rPr>
                <w:sz w:val="21"/>
              </w:rPr>
              <w:t>0.7</w:t>
            </w:r>
          </w:p>
        </w:tc>
      </w:tr>
      <w:tr>
        <w:tc>
          <w:tcPr>
            <w:tcW w:type="dxa" w:w="4873"/>
            <w:vAlign w:val="center"/>
          </w:tcPr>
          <w:p>
            <w:pPr>
              <w:jc w:val="left"/>
            </w:pPr>
            <w:r/>
            <w:r>
              <w:rPr>
                <w:b/>
                <w:sz w:val="21"/>
              </w:rPr>
              <w:t>2 — Toe and heel seat lasts</w:t>
            </w:r>
          </w:p>
        </w:tc>
        <w:tc>
          <w:tcPr>
            <w:tcW w:type="dxa" w:w="4873"/>
            <w:vAlign w:val="center"/>
          </w:tcPr>
          <w:p>
            <w:pPr>
              <w:jc w:val="center"/>
            </w:pPr>
            <w:r/>
            <w:r>
              <w:rPr>
                <w:sz w:val="21"/>
              </w:rPr>
              <w:t>0.6</w:t>
            </w:r>
          </w:p>
        </w:tc>
      </w:tr>
      <w:tr>
        <w:tc>
          <w:tcPr>
            <w:tcW w:type="dxa" w:w="4873"/>
            <w:vAlign w:val="center"/>
            <w:shd w:val="clear" w:color="auto" w:fill="FFF3CD"/>
          </w:tcPr>
          <w:p>
            <w:pPr>
              <w:jc w:val="left"/>
            </w:pPr>
            <w:r/>
            <w:r>
              <w:rPr>
                <w:b/>
                <w:sz w:val="21"/>
              </w:rPr>
              <w:t>3 — Rough sole, pound</w:t>
            </w:r>
          </w:p>
        </w:tc>
        <w:tc>
          <w:tcPr>
            <w:tcW w:type="dxa" w:w="4873"/>
            <w:vAlign w:val="center"/>
            <w:shd w:val="clear" w:color="auto" w:fill="FFF3CD"/>
          </w:tcPr>
          <w:p>
            <w:pPr>
              <w:jc w:val="center"/>
            </w:pPr>
            <w:r/>
            <w:r>
              <w:rPr>
                <w:sz w:val="21"/>
              </w:rPr>
              <w:t>1.0</w:t>
            </w:r>
          </w:p>
        </w:tc>
      </w:tr>
      <w:tr>
        <w:tc>
          <w:tcPr>
            <w:tcW w:type="dxa" w:w="4873"/>
            <w:vAlign w:val="center"/>
          </w:tcPr>
          <w:p>
            <w:pPr>
              <w:jc w:val="left"/>
            </w:pPr>
            <w:r/>
            <w:r>
              <w:rPr>
                <w:b/>
                <w:sz w:val="21"/>
              </w:rPr>
              <w:t>4 — Cement sole, pull last</w:t>
            </w:r>
          </w:p>
        </w:tc>
        <w:tc>
          <w:tcPr>
            <w:tcW w:type="dxa" w:w="4873"/>
            <w:vAlign w:val="center"/>
          </w:tcPr>
          <w:p>
            <w:pPr>
              <w:jc w:val="center"/>
            </w:pPr>
            <w:r/>
            <w:r>
              <w:rPr>
                <w:sz w:val="21"/>
              </w:rPr>
              <w:t>0.9</w:t>
            </w:r>
          </w:p>
        </w:tc>
      </w:tr>
      <w:tr>
        <w:tc>
          <w:tcPr>
            <w:tcW w:type="dxa" w:w="4873"/>
            <w:vAlign w:val="center"/>
          </w:tcPr>
          <w:p>
            <w:pPr>
              <w:jc w:val="left"/>
            </w:pPr>
            <w:r/>
            <w:r>
              <w:rPr>
                <w:b/>
                <w:sz w:val="21"/>
              </w:rPr>
              <w:t>5 — Inspect, pack</w:t>
            </w:r>
          </w:p>
        </w:tc>
        <w:tc>
          <w:tcPr>
            <w:tcW w:type="dxa" w:w="4873"/>
            <w:vAlign w:val="center"/>
          </w:tcPr>
          <w:p>
            <w:pPr>
              <w:jc w:val="center"/>
            </w:pPr>
            <w:r/>
            <w:r>
              <w:rPr>
                <w:sz w:val="21"/>
              </w:rPr>
              <w:t>0.3</w:t>
            </w:r>
          </w:p>
        </w:tc>
      </w:tr>
    </w:tbl>
    <w:p>
      <w:pPr>
        <w:spacing w:after="80"/>
      </w:pPr>
    </w:p>
    <w:p>
      <w:pPr>
        <w:spacing w:after="120"/>
      </w:pPr>
      <w:r>
        <w:rPr>
          <w:b w:val="0"/>
          <w:i w:val="0"/>
        </w:rPr>
        <w:t>Time for one 40-pair batch = 5 × 1.0 (pipeline fill) + 39 × 1.0 (remaining pairs) = 44 minutes.</w:t>
      </w:r>
    </w:p>
    <w:p>
      <w:r>
        <w:rPr>
          <w:sz w:val="22"/>
        </w:rPr>
        <w:t xml:space="preserve">Daily throughput = </w:t>
      </w:r>
      <w:r>
        <w:rPr>
          <w:sz w:val="22"/>
        </w:rPr>
        <w:t xml:space="preserve">(480 ÷ 44) × 40 ≈ </w:t>
      </w:r>
      <w:r>
        <w:rPr>
          <w:b/>
          <w:sz w:val="22"/>
        </w:rPr>
        <w:t>436 pairs/day</w:t>
      </w:r>
    </w:p>
    <w:p>
      <w:pPr>
        <w:pStyle w:val="Heading2"/>
      </w:pPr>
      <w:r>
        <w:rPr>
          <w:rFonts w:ascii="Calibri" w:hAnsi="Calibri"/>
          <w:color w:val="2C3E50"/>
          <w:sz w:val="24"/>
        </w:rPr>
        <w:t>2.6 Bottleneck Summary</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val="clear" w:color="auto" w:fill="1F3A5F"/>
            <w:vAlign w:val="center"/>
          </w:tcPr>
          <w:p>
            <w:pPr>
              <w:jc w:val="center"/>
            </w:pPr>
            <w:r/>
            <w:r>
              <w:rPr>
                <w:b/>
                <w:color w:val="FFFFFF"/>
                <w:sz w:val="21"/>
              </w:rPr>
              <w:t>Department</w:t>
            </w:r>
          </w:p>
        </w:tc>
        <w:tc>
          <w:tcPr>
            <w:tcW w:type="dxa" w:w="3249"/>
            <w:shd w:val="clear" w:color="auto" w:fill="1F3A5F"/>
            <w:vAlign w:val="center"/>
          </w:tcPr>
          <w:p>
            <w:pPr>
              <w:jc w:val="center"/>
            </w:pPr>
            <w:r/>
            <w:r>
              <w:rPr>
                <w:b/>
                <w:color w:val="FFFFFF"/>
                <w:sz w:val="21"/>
              </w:rPr>
              <w:t>Daily capacity (pairs/day)</w:t>
            </w:r>
          </w:p>
        </w:tc>
        <w:tc>
          <w:tcPr>
            <w:tcW w:type="dxa" w:w="3249"/>
            <w:shd w:val="clear" w:color="auto" w:fill="1F3A5F"/>
            <w:vAlign w:val="center"/>
          </w:tcPr>
          <w:p>
            <w:pPr>
              <w:jc w:val="center"/>
            </w:pPr>
            <w:r/>
            <w:r>
              <w:rPr>
                <w:b/>
                <w:color w:val="FFFFFF"/>
                <w:sz w:val="21"/>
              </w:rPr>
              <w:t>Role</w:t>
            </w:r>
          </w:p>
        </w:tc>
      </w:tr>
      <w:tr>
        <w:tc>
          <w:tcPr>
            <w:tcW w:type="dxa" w:w="3249"/>
            <w:vAlign w:val="center"/>
          </w:tcPr>
          <w:p>
            <w:pPr>
              <w:jc w:val="left"/>
            </w:pPr>
            <w:r/>
            <w:r>
              <w:rPr>
                <w:b/>
                <w:sz w:val="21"/>
              </w:rPr>
              <w:t>Cutting</w:t>
            </w:r>
          </w:p>
        </w:tc>
        <w:tc>
          <w:tcPr>
            <w:tcW w:type="dxa" w:w="3249"/>
            <w:vAlign w:val="center"/>
          </w:tcPr>
          <w:p>
            <w:pPr>
              <w:jc w:val="center"/>
            </w:pPr>
            <w:r/>
            <w:r>
              <w:rPr>
                <w:sz w:val="21"/>
              </w:rPr>
              <w:t>662</w:t>
            </w:r>
          </w:p>
        </w:tc>
        <w:tc>
          <w:tcPr>
            <w:tcW w:type="dxa" w:w="3249"/>
            <w:vAlign w:val="center"/>
          </w:tcPr>
          <w:p>
            <w:pPr>
              <w:jc w:val="center"/>
            </w:pPr>
            <w:r/>
            <w:r>
              <w:rPr>
                <w:sz w:val="21"/>
              </w:rPr>
              <w:t>Slack</w:t>
            </w:r>
          </w:p>
        </w:tc>
      </w:tr>
      <w:tr>
        <w:tc>
          <w:tcPr>
            <w:tcW w:type="dxa" w:w="3249"/>
            <w:vAlign w:val="center"/>
          </w:tcPr>
          <w:p>
            <w:pPr>
              <w:jc w:val="left"/>
            </w:pPr>
            <w:r/>
            <w:r>
              <w:rPr>
                <w:b/>
                <w:sz w:val="21"/>
              </w:rPr>
              <w:t>Kitting</w:t>
            </w:r>
          </w:p>
        </w:tc>
        <w:tc>
          <w:tcPr>
            <w:tcW w:type="dxa" w:w="3249"/>
            <w:vAlign w:val="center"/>
          </w:tcPr>
          <w:p>
            <w:pPr>
              <w:jc w:val="center"/>
            </w:pPr>
            <w:r/>
            <w:r>
              <w:rPr>
                <w:sz w:val="21"/>
              </w:rPr>
              <w:t>1,920</w:t>
            </w:r>
          </w:p>
        </w:tc>
        <w:tc>
          <w:tcPr>
            <w:tcW w:type="dxa" w:w="3249"/>
            <w:vAlign w:val="center"/>
          </w:tcPr>
          <w:p>
            <w:pPr>
              <w:jc w:val="center"/>
            </w:pPr>
            <w:r/>
            <w:r>
              <w:rPr>
                <w:sz w:val="21"/>
              </w:rPr>
              <w:t>Slack</w:t>
            </w:r>
          </w:p>
        </w:tc>
      </w:tr>
      <w:tr>
        <w:tc>
          <w:tcPr>
            <w:tcW w:type="dxa" w:w="3249"/>
            <w:vAlign w:val="center"/>
            <w:shd w:val="clear" w:color="auto" w:fill="FFF3CD"/>
          </w:tcPr>
          <w:p>
            <w:pPr>
              <w:jc w:val="left"/>
            </w:pPr>
            <w:r/>
            <w:r>
              <w:rPr>
                <w:b/>
                <w:sz w:val="21"/>
              </w:rPr>
              <w:t>Stitching</w:t>
            </w:r>
          </w:p>
        </w:tc>
        <w:tc>
          <w:tcPr>
            <w:tcW w:type="dxa" w:w="3249"/>
            <w:vAlign w:val="center"/>
            <w:shd w:val="clear" w:color="auto" w:fill="FFF3CD"/>
          </w:tcPr>
          <w:p>
            <w:pPr>
              <w:jc w:val="center"/>
            </w:pPr>
            <w:r/>
            <w:r>
              <w:rPr>
                <w:sz w:val="21"/>
              </w:rPr>
              <w:t>384</w:t>
            </w:r>
          </w:p>
        </w:tc>
        <w:tc>
          <w:tcPr>
            <w:tcW w:type="dxa" w:w="3249"/>
            <w:vAlign w:val="center"/>
            <w:shd w:val="clear" w:color="auto" w:fill="FFF3CD"/>
          </w:tcPr>
          <w:p>
            <w:pPr>
              <w:jc w:val="center"/>
            </w:pPr>
            <w:r/>
            <w:r>
              <w:rPr>
                <w:sz w:val="21"/>
              </w:rPr>
              <w:t>BOTTLENECK</w:t>
            </w:r>
          </w:p>
        </w:tc>
      </w:tr>
      <w:tr>
        <w:tc>
          <w:tcPr>
            <w:tcW w:type="dxa" w:w="3249"/>
            <w:vAlign w:val="center"/>
          </w:tcPr>
          <w:p>
            <w:pPr>
              <w:jc w:val="left"/>
            </w:pPr>
            <w:r/>
            <w:r>
              <w:rPr>
                <w:b/>
                <w:sz w:val="21"/>
              </w:rPr>
              <w:t>Steaming</w:t>
            </w:r>
          </w:p>
        </w:tc>
        <w:tc>
          <w:tcPr>
            <w:tcW w:type="dxa" w:w="3249"/>
            <w:vAlign w:val="center"/>
          </w:tcPr>
          <w:p>
            <w:pPr>
              <w:jc w:val="center"/>
            </w:pPr>
            <w:r/>
            <w:r>
              <w:rPr>
                <w:sz w:val="21"/>
              </w:rPr>
              <w:t>Excess capacity</w:t>
            </w:r>
          </w:p>
        </w:tc>
        <w:tc>
          <w:tcPr>
            <w:tcW w:type="dxa" w:w="3249"/>
            <w:vAlign w:val="center"/>
          </w:tcPr>
          <w:p>
            <w:pPr>
              <w:jc w:val="center"/>
            </w:pPr>
            <w:r/>
            <w:r>
              <w:rPr>
                <w:sz w:val="21"/>
              </w:rPr>
              <w:t>Not constrained</w:t>
            </w:r>
          </w:p>
        </w:tc>
      </w:tr>
      <w:tr>
        <w:tc>
          <w:tcPr>
            <w:tcW w:type="dxa" w:w="3249"/>
            <w:vAlign w:val="center"/>
          </w:tcPr>
          <w:p>
            <w:pPr>
              <w:jc w:val="left"/>
            </w:pPr>
            <w:r/>
            <w:r>
              <w:rPr>
                <w:b/>
                <w:sz w:val="21"/>
              </w:rPr>
              <w:t>Lasting</w:t>
            </w:r>
          </w:p>
        </w:tc>
        <w:tc>
          <w:tcPr>
            <w:tcW w:type="dxa" w:w="3249"/>
            <w:vAlign w:val="center"/>
          </w:tcPr>
          <w:p>
            <w:pPr>
              <w:jc w:val="center"/>
            </w:pPr>
            <w:r/>
            <w:r>
              <w:rPr>
                <w:sz w:val="21"/>
              </w:rPr>
              <w:t>436</w:t>
            </w:r>
          </w:p>
        </w:tc>
        <w:tc>
          <w:tcPr>
            <w:tcW w:type="dxa" w:w="3249"/>
            <w:vAlign w:val="center"/>
          </w:tcPr>
          <w:p>
            <w:pPr>
              <w:jc w:val="center"/>
            </w:pPr>
            <w:r/>
            <w:r>
              <w:rPr>
                <w:sz w:val="21"/>
              </w:rPr>
              <w:t>Near-bottleneck</w:t>
            </w:r>
          </w:p>
        </w:tc>
      </w:tr>
    </w:tbl>
    <w:p>
      <w:pPr>
        <w:spacing w:after="80"/>
      </w:pPr>
    </w:p>
    <w:p>
      <w:pPr>
        <w:spacing w:before="120"/>
      </w:pPr>
      <w:r>
        <w:rPr>
          <w:b/>
          <w:sz w:val="24"/>
        </w:rPr>
        <w:t xml:space="preserve">Answer to Q1: </w:t>
      </w:r>
      <w:r>
        <w:rPr>
          <w:sz w:val="24"/>
        </w:rPr>
        <w:t>Factory daily capacity = 384 pairs/day. The bottleneck is the Stitching department, specifically the Prefit and Ornament work groups.</w:t>
      </w:r>
    </w:p>
    <w:p>
      <w:pPr>
        <w:spacing w:after="80"/>
      </w:pPr>
      <w:r>
        <w:rPr>
          <w:b w:val="0"/>
          <w:i/>
          <w:sz w:val="20"/>
        </w:rPr>
        <w:t>Figure 1 below visualises the departmental capacities and the bottleneck.</w:t>
      </w:r>
    </w:p>
    <w:p>
      <w:r>
        <w:drawing>
          <wp:inline xmlns:a="http://schemas.openxmlformats.org/drawingml/2006/main" xmlns:pic="http://schemas.openxmlformats.org/drawingml/2006/picture">
            <wp:extent cx="5400000" cy="2836432"/>
            <wp:docPr id="1" name="Picture 1"/>
            <wp:cNvGraphicFramePr>
              <a:graphicFrameLocks noChangeAspect="1"/>
            </wp:cNvGraphicFramePr>
            <a:graphic>
              <a:graphicData uri="http://schemas.openxmlformats.org/drawingml/2006/picture">
                <pic:pic>
                  <pic:nvPicPr>
                    <pic:cNvPr id="0" name="capacity_chart.png"/>
                    <pic:cNvPicPr/>
                  </pic:nvPicPr>
                  <pic:blipFill>
                    <a:blip r:embed="rId9"/>
                    <a:stretch>
                      <a:fillRect/>
                    </a:stretch>
                  </pic:blipFill>
                  <pic:spPr>
                    <a:xfrm>
                      <a:off x="0" y="0"/>
                      <a:ext cx="5400000" cy="2836432"/>
                    </a:xfrm>
                    <a:prstGeom prst="rect"/>
                  </pic:spPr>
                </pic:pic>
              </a:graphicData>
            </a:graphic>
          </wp:inline>
        </w:drawing>
      </w:r>
    </w:p>
    <w:p>
      <w:pPr>
        <w:jc w:val="center"/>
      </w:pPr>
      <w:r>
        <w:rPr>
          <w:i/>
          <w:color w:val="555555"/>
          <w:sz w:val="20"/>
        </w:rPr>
        <w:t>Figure 1. Daily capacity by department at X = 40 pairs.</w:t>
      </w:r>
    </w:p>
    <w:p>
      <w:pPr>
        <w:pStyle w:val="Heading2"/>
      </w:pPr>
      <w:r>
        <w:rPr>
          <w:rFonts w:ascii="Calibri" w:hAnsi="Calibri"/>
          <w:color w:val="2C3E50"/>
          <w:sz w:val="24"/>
        </w:rPr>
        <w:t>2.7 Implication</w:t>
      </w:r>
    </w:p>
    <w:p>
      <w:pPr>
        <w:spacing w:after="120"/>
      </w:pPr>
      <w:r>
        <w:rPr>
          <w:b w:val="0"/>
          <w:i w:val="0"/>
        </w:rPr>
        <w:t>Adding one worker to Prefit would raise its capacity to 5 × 480 ÷ 5 = 480 pairs/day, but Ornament would still cap the factory at 384. A capacity improvement therefore needs investment on both fronts, or a redesign that reduces the per-pair time in Ornament.</w:t>
      </w:r>
    </w:p>
    <w:p>
      <w:pPr>
        <w:pStyle w:val="Heading1"/>
      </w:pPr>
      <w:r>
        <w:rPr>
          <w:rFonts w:ascii="Calibri" w:hAnsi="Calibri"/>
          <w:color w:val="1F3A5F"/>
          <w:sz w:val="28"/>
        </w:rPr>
        <w:t>3. Question 2 — Manufacturing Lead Time for a 40-Pair Batch</w:t>
      </w:r>
    </w:p>
    <w:p>
      <w:pPr>
        <w:spacing w:after="120"/>
      </w:pPr>
      <w:r>
        <w:rPr>
          <w:b w:val="0"/>
          <w:i w:val="0"/>
        </w:rPr>
        <w:t>We apply Little's Law: MLT = Average WIP ÷ Throughput. Throughput is the factory output rate from Question 1 (384 pairs/day). WIP is the total inventory sitting in the system, summed across every location listed in Table 2 of the case.</w:t>
      </w:r>
    </w:p>
    <w:p>
      <w:pPr>
        <w:spacing w:after="120"/>
      </w:pPr>
      <w:r>
        <w:rPr>
          <w:b w:val="0"/>
          <w:i w:val="0"/>
        </w:rPr>
        <w:t>The footnote in Table 2 matters: the raw-material and pre-kitting triangles (20 and 2) are in units of 100-pair batches, because material has not yet been batched at those stages. Downstream buffers (before Stitching, Steaming, Lasting, and Finished Goods) are in units of the current batch size, which for Group 8 is 40 pairs.</w:t>
      </w:r>
    </w:p>
    <w:p>
      <w:pPr>
        <w:pStyle w:val="Heading2"/>
      </w:pPr>
      <w:r>
        <w:rPr>
          <w:rFonts w:ascii="Calibri" w:hAnsi="Calibri"/>
          <w:color w:val="2C3E50"/>
          <w:sz w:val="24"/>
        </w:rPr>
        <w:t>3.1 WIP Inventory Conversion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3A5F"/>
            <w:vAlign w:val="center"/>
          </w:tcPr>
          <w:p>
            <w:pPr>
              <w:jc w:val="center"/>
            </w:pPr>
            <w:r/>
            <w:r>
              <w:rPr>
                <w:b/>
                <w:color w:val="FFFFFF"/>
                <w:sz w:val="21"/>
              </w:rPr>
              <w:t>Location</w:t>
            </w:r>
          </w:p>
        </w:tc>
        <w:tc>
          <w:tcPr>
            <w:tcW w:type="dxa" w:w="2436"/>
            <w:shd w:val="clear" w:color="auto" w:fill="1F3A5F"/>
            <w:vAlign w:val="center"/>
          </w:tcPr>
          <w:p>
            <w:pPr>
              <w:jc w:val="center"/>
            </w:pPr>
            <w:r/>
            <w:r>
              <w:rPr>
                <w:b/>
                <w:color w:val="FFFFFF"/>
                <w:sz w:val="21"/>
              </w:rPr>
              <w:t>Batches (Table 2)</w:t>
            </w:r>
          </w:p>
        </w:tc>
        <w:tc>
          <w:tcPr>
            <w:tcW w:type="dxa" w:w="2436"/>
            <w:shd w:val="clear" w:color="auto" w:fill="1F3A5F"/>
            <w:vAlign w:val="center"/>
          </w:tcPr>
          <w:p>
            <w:pPr>
              <w:jc w:val="center"/>
            </w:pPr>
            <w:r/>
            <w:r>
              <w:rPr>
                <w:b/>
                <w:color w:val="FFFFFF"/>
                <w:sz w:val="21"/>
              </w:rPr>
              <w:t>Pairs per batch</w:t>
            </w:r>
          </w:p>
        </w:tc>
        <w:tc>
          <w:tcPr>
            <w:tcW w:type="dxa" w:w="2436"/>
            <w:shd w:val="clear" w:color="auto" w:fill="1F3A5F"/>
            <w:vAlign w:val="center"/>
          </w:tcPr>
          <w:p>
            <w:pPr>
              <w:jc w:val="center"/>
            </w:pPr>
            <w:r/>
            <w:r>
              <w:rPr>
                <w:b/>
                <w:color w:val="FFFFFF"/>
                <w:sz w:val="21"/>
              </w:rPr>
              <w:t>Pairs in WIP</w:t>
            </w:r>
          </w:p>
        </w:tc>
      </w:tr>
      <w:tr>
        <w:tc>
          <w:tcPr>
            <w:tcW w:type="dxa" w:w="2436"/>
            <w:vAlign w:val="center"/>
          </w:tcPr>
          <w:p>
            <w:pPr>
              <w:jc w:val="left"/>
            </w:pPr>
            <w:r/>
            <w:r>
              <w:rPr>
                <w:b/>
                <w:sz w:val="21"/>
              </w:rPr>
              <w:t>Before Cutting (raw material)</w:t>
            </w:r>
          </w:p>
        </w:tc>
        <w:tc>
          <w:tcPr>
            <w:tcW w:type="dxa" w:w="2436"/>
            <w:vAlign w:val="center"/>
          </w:tcPr>
          <w:p>
            <w:pPr>
              <w:jc w:val="center"/>
            </w:pPr>
            <w:r/>
            <w:r>
              <w:rPr>
                <w:sz w:val="21"/>
              </w:rPr>
              <w:t>20</w:t>
            </w:r>
          </w:p>
        </w:tc>
        <w:tc>
          <w:tcPr>
            <w:tcW w:type="dxa" w:w="2436"/>
            <w:vAlign w:val="center"/>
          </w:tcPr>
          <w:p>
            <w:pPr>
              <w:jc w:val="center"/>
            </w:pPr>
            <w:r/>
            <w:r>
              <w:rPr>
                <w:sz w:val="21"/>
              </w:rPr>
              <w:t>100 (footnote)</w:t>
            </w:r>
          </w:p>
        </w:tc>
        <w:tc>
          <w:tcPr>
            <w:tcW w:type="dxa" w:w="2436"/>
            <w:vAlign w:val="center"/>
          </w:tcPr>
          <w:p>
            <w:pPr>
              <w:jc w:val="center"/>
            </w:pPr>
            <w:r/>
            <w:r>
              <w:rPr>
                <w:sz w:val="21"/>
              </w:rPr>
              <w:t>2,000</w:t>
            </w:r>
          </w:p>
        </w:tc>
      </w:tr>
      <w:tr>
        <w:tc>
          <w:tcPr>
            <w:tcW w:type="dxa" w:w="2436"/>
            <w:vAlign w:val="center"/>
          </w:tcPr>
          <w:p>
            <w:pPr>
              <w:jc w:val="left"/>
            </w:pPr>
            <w:r/>
            <w:r>
              <w:rPr>
                <w:b/>
                <w:sz w:val="21"/>
              </w:rPr>
              <w:t>Before Kitting</w:t>
            </w:r>
          </w:p>
        </w:tc>
        <w:tc>
          <w:tcPr>
            <w:tcW w:type="dxa" w:w="2436"/>
            <w:vAlign w:val="center"/>
          </w:tcPr>
          <w:p>
            <w:pPr>
              <w:jc w:val="center"/>
            </w:pPr>
            <w:r/>
            <w:r>
              <w:rPr>
                <w:sz w:val="21"/>
              </w:rPr>
              <w:t>2</w:t>
            </w:r>
          </w:p>
        </w:tc>
        <w:tc>
          <w:tcPr>
            <w:tcW w:type="dxa" w:w="2436"/>
            <w:vAlign w:val="center"/>
          </w:tcPr>
          <w:p>
            <w:pPr>
              <w:jc w:val="center"/>
            </w:pPr>
            <w:r/>
            <w:r>
              <w:rPr>
                <w:sz w:val="21"/>
              </w:rPr>
              <w:t>100 (footnote)</w:t>
            </w:r>
          </w:p>
        </w:tc>
        <w:tc>
          <w:tcPr>
            <w:tcW w:type="dxa" w:w="2436"/>
            <w:vAlign w:val="center"/>
          </w:tcPr>
          <w:p>
            <w:pPr>
              <w:jc w:val="center"/>
            </w:pPr>
            <w:r/>
            <w:r>
              <w:rPr>
                <w:sz w:val="21"/>
              </w:rPr>
              <w:t>200</w:t>
            </w:r>
          </w:p>
        </w:tc>
      </w:tr>
      <w:tr>
        <w:tc>
          <w:tcPr>
            <w:tcW w:type="dxa" w:w="2436"/>
            <w:vAlign w:val="center"/>
          </w:tcPr>
          <w:p>
            <w:pPr>
              <w:jc w:val="left"/>
            </w:pPr>
            <w:r/>
            <w:r>
              <w:rPr>
                <w:b/>
                <w:sz w:val="21"/>
              </w:rPr>
              <w:t>Before Stitching</w:t>
            </w:r>
          </w:p>
        </w:tc>
        <w:tc>
          <w:tcPr>
            <w:tcW w:type="dxa" w:w="2436"/>
            <w:vAlign w:val="center"/>
          </w:tcPr>
          <w:p>
            <w:pPr>
              <w:jc w:val="center"/>
            </w:pPr>
            <w:r/>
            <w:r>
              <w:rPr>
                <w:sz w:val="21"/>
              </w:rPr>
              <w:t>6</w:t>
            </w:r>
          </w:p>
        </w:tc>
        <w:tc>
          <w:tcPr>
            <w:tcW w:type="dxa" w:w="2436"/>
            <w:vAlign w:val="center"/>
          </w:tcPr>
          <w:p>
            <w:pPr>
              <w:jc w:val="center"/>
            </w:pPr>
            <w:r/>
            <w:r>
              <w:rPr>
                <w:sz w:val="21"/>
              </w:rPr>
              <w:t>40</w:t>
            </w:r>
          </w:p>
        </w:tc>
        <w:tc>
          <w:tcPr>
            <w:tcW w:type="dxa" w:w="2436"/>
            <w:vAlign w:val="center"/>
          </w:tcPr>
          <w:p>
            <w:pPr>
              <w:jc w:val="center"/>
            </w:pPr>
            <w:r/>
            <w:r>
              <w:rPr>
                <w:sz w:val="21"/>
              </w:rPr>
              <w:t>240</w:t>
            </w:r>
          </w:p>
        </w:tc>
      </w:tr>
      <w:tr>
        <w:tc>
          <w:tcPr>
            <w:tcW w:type="dxa" w:w="2436"/>
            <w:vAlign w:val="center"/>
          </w:tcPr>
          <w:p>
            <w:pPr>
              <w:jc w:val="left"/>
            </w:pPr>
            <w:r/>
            <w:r>
              <w:rPr>
                <w:b/>
                <w:sz w:val="21"/>
              </w:rPr>
              <w:t>Before Steaming</w:t>
            </w:r>
          </w:p>
        </w:tc>
        <w:tc>
          <w:tcPr>
            <w:tcW w:type="dxa" w:w="2436"/>
            <w:vAlign w:val="center"/>
          </w:tcPr>
          <w:p>
            <w:pPr>
              <w:jc w:val="center"/>
            </w:pPr>
            <w:r/>
            <w:r>
              <w:rPr>
                <w:sz w:val="21"/>
              </w:rPr>
              <w:t>6</w:t>
            </w:r>
          </w:p>
        </w:tc>
        <w:tc>
          <w:tcPr>
            <w:tcW w:type="dxa" w:w="2436"/>
            <w:vAlign w:val="center"/>
          </w:tcPr>
          <w:p>
            <w:pPr>
              <w:jc w:val="center"/>
            </w:pPr>
            <w:r/>
            <w:r>
              <w:rPr>
                <w:sz w:val="21"/>
              </w:rPr>
              <w:t>40</w:t>
            </w:r>
          </w:p>
        </w:tc>
        <w:tc>
          <w:tcPr>
            <w:tcW w:type="dxa" w:w="2436"/>
            <w:vAlign w:val="center"/>
          </w:tcPr>
          <w:p>
            <w:pPr>
              <w:jc w:val="center"/>
            </w:pPr>
            <w:r/>
            <w:r>
              <w:rPr>
                <w:sz w:val="21"/>
              </w:rPr>
              <w:t>240</w:t>
            </w:r>
          </w:p>
        </w:tc>
      </w:tr>
      <w:tr>
        <w:tc>
          <w:tcPr>
            <w:tcW w:type="dxa" w:w="2436"/>
            <w:vAlign w:val="center"/>
          </w:tcPr>
          <w:p>
            <w:pPr>
              <w:jc w:val="left"/>
            </w:pPr>
            <w:r/>
            <w:r>
              <w:rPr>
                <w:b/>
                <w:sz w:val="21"/>
              </w:rPr>
              <w:t>Before Lasting</w:t>
            </w:r>
          </w:p>
        </w:tc>
        <w:tc>
          <w:tcPr>
            <w:tcW w:type="dxa" w:w="2436"/>
            <w:vAlign w:val="center"/>
          </w:tcPr>
          <w:p>
            <w:pPr>
              <w:jc w:val="center"/>
            </w:pPr>
            <w:r/>
            <w:r>
              <w:rPr>
                <w:sz w:val="21"/>
              </w:rPr>
              <w:t>4</w:t>
            </w:r>
          </w:p>
        </w:tc>
        <w:tc>
          <w:tcPr>
            <w:tcW w:type="dxa" w:w="2436"/>
            <w:vAlign w:val="center"/>
          </w:tcPr>
          <w:p>
            <w:pPr>
              <w:jc w:val="center"/>
            </w:pPr>
            <w:r/>
            <w:r>
              <w:rPr>
                <w:sz w:val="21"/>
              </w:rPr>
              <w:t>40</w:t>
            </w:r>
          </w:p>
        </w:tc>
        <w:tc>
          <w:tcPr>
            <w:tcW w:type="dxa" w:w="2436"/>
            <w:vAlign w:val="center"/>
          </w:tcPr>
          <w:p>
            <w:pPr>
              <w:jc w:val="center"/>
            </w:pPr>
            <w:r/>
            <w:r>
              <w:rPr>
                <w:sz w:val="21"/>
              </w:rPr>
              <w:t>160</w:t>
            </w:r>
          </w:p>
        </w:tc>
      </w:tr>
      <w:tr>
        <w:tc>
          <w:tcPr>
            <w:tcW w:type="dxa" w:w="2436"/>
            <w:vAlign w:val="center"/>
          </w:tcPr>
          <w:p>
            <w:pPr>
              <w:jc w:val="left"/>
            </w:pPr>
            <w:r/>
            <w:r>
              <w:rPr>
                <w:b/>
                <w:sz w:val="21"/>
              </w:rPr>
              <w:t>After Lasting (Finished Goods)</w:t>
            </w:r>
          </w:p>
        </w:tc>
        <w:tc>
          <w:tcPr>
            <w:tcW w:type="dxa" w:w="2436"/>
            <w:vAlign w:val="center"/>
          </w:tcPr>
          <w:p>
            <w:pPr>
              <w:jc w:val="center"/>
            </w:pPr>
            <w:r/>
            <w:r>
              <w:rPr>
                <w:sz w:val="21"/>
              </w:rPr>
              <w:t>8</w:t>
            </w:r>
          </w:p>
        </w:tc>
        <w:tc>
          <w:tcPr>
            <w:tcW w:type="dxa" w:w="2436"/>
            <w:vAlign w:val="center"/>
          </w:tcPr>
          <w:p>
            <w:pPr>
              <w:jc w:val="center"/>
            </w:pPr>
            <w:r/>
            <w:r>
              <w:rPr>
                <w:sz w:val="21"/>
              </w:rPr>
              <w:t>40</w:t>
            </w:r>
          </w:p>
        </w:tc>
        <w:tc>
          <w:tcPr>
            <w:tcW w:type="dxa" w:w="2436"/>
            <w:vAlign w:val="center"/>
          </w:tcPr>
          <w:p>
            <w:pPr>
              <w:jc w:val="center"/>
            </w:pPr>
            <w:r/>
            <w:r>
              <w:rPr>
                <w:sz w:val="21"/>
              </w:rPr>
              <w:t>320</w:t>
            </w:r>
          </w:p>
        </w:tc>
      </w:tr>
      <w:tr>
        <w:tc>
          <w:tcPr>
            <w:tcW w:type="dxa" w:w="2436"/>
            <w:vAlign w:val="center"/>
            <w:shd w:val="clear" w:color="auto" w:fill="FFF3CD"/>
          </w:tcPr>
          <w:p>
            <w:pPr>
              <w:jc w:val="left"/>
            </w:pPr>
            <w:r/>
            <w:r>
              <w:rPr>
                <w:b/>
                <w:sz w:val="21"/>
              </w:rPr>
              <w:t>Total WIP</w:t>
            </w:r>
          </w:p>
        </w:tc>
        <w:tc>
          <w:tcPr>
            <w:tcW w:type="dxa" w:w="2436"/>
            <w:vAlign w:val="center"/>
            <w:shd w:val="clear" w:color="auto" w:fill="FFF3CD"/>
          </w:tcPr>
          <w:p>
            <w:pPr>
              <w:jc w:val="center"/>
            </w:pPr>
            <w:r/>
            <w:r>
              <w:rPr>
                <w:sz w:val="21"/>
              </w:rPr>
            </w:r>
          </w:p>
        </w:tc>
        <w:tc>
          <w:tcPr>
            <w:tcW w:type="dxa" w:w="2436"/>
            <w:vAlign w:val="center"/>
            <w:shd w:val="clear" w:color="auto" w:fill="FFF3CD"/>
          </w:tcPr>
          <w:p>
            <w:pPr>
              <w:jc w:val="center"/>
            </w:pPr>
            <w:r/>
            <w:r>
              <w:rPr>
                <w:sz w:val="21"/>
              </w:rPr>
            </w:r>
          </w:p>
        </w:tc>
        <w:tc>
          <w:tcPr>
            <w:tcW w:type="dxa" w:w="2436"/>
            <w:vAlign w:val="center"/>
            <w:shd w:val="clear" w:color="auto" w:fill="FFF3CD"/>
          </w:tcPr>
          <w:p>
            <w:pPr>
              <w:jc w:val="center"/>
            </w:pPr>
            <w:r/>
            <w:r>
              <w:rPr>
                <w:sz w:val="21"/>
              </w:rPr>
              <w:t>3,160</w:t>
            </w:r>
          </w:p>
        </w:tc>
      </w:tr>
    </w:tbl>
    <w:p>
      <w:pPr>
        <w:spacing w:after="80"/>
      </w:pPr>
    </w:p>
    <w:p>
      <w:pPr>
        <w:pStyle w:val="Heading2"/>
      </w:pPr>
      <w:r>
        <w:rPr>
          <w:rFonts w:ascii="Calibri" w:hAnsi="Calibri"/>
          <w:color w:val="2C3E50"/>
          <w:sz w:val="24"/>
        </w:rPr>
        <w:t>3.2 Applying Little's Law</w:t>
      </w:r>
    </w:p>
    <w:p>
      <w:r>
        <w:rPr>
          <w:sz w:val="22"/>
        </w:rPr>
        <w:t xml:space="preserve">MLT = </w:t>
      </w:r>
      <w:r>
        <w:rPr>
          <w:b/>
          <w:sz w:val="22"/>
        </w:rPr>
        <w:t>3,160 pairs ÷ 384 pairs/day</w:t>
      </w:r>
      <w:r>
        <w:rPr>
          <w:b/>
          <w:sz w:val="22"/>
        </w:rPr>
        <w:t xml:space="preserve"> ≈ 8.23 working days</w:t>
      </w:r>
    </w:p>
    <w:p>
      <w:pPr>
        <w:spacing w:after="120"/>
      </w:pPr>
      <w:r>
        <w:rPr>
          <w:b w:val="0"/>
          <w:i w:val="0"/>
        </w:rPr>
        <w:t>In hours: 8.23 × 8 ≈ 66 working hours. In minutes: about 3,950 minutes of factory clock time from raw leather entering the plant to finished shoes leaving as inventory.</w:t>
      </w:r>
    </w:p>
    <w:p>
      <w:pPr>
        <w:spacing w:before="120"/>
      </w:pPr>
      <w:r>
        <w:rPr>
          <w:b/>
          <w:sz w:val="24"/>
        </w:rPr>
        <w:t xml:space="preserve">Answer to Q2: </w:t>
      </w:r>
      <w:r>
        <w:rPr>
          <w:sz w:val="24"/>
        </w:rPr>
        <w:t>Manufacturing Lead Time ≈ 8.23 working days for a 40-pair batch.</w:t>
      </w:r>
    </w:p>
    <w:p>
      <w:pPr>
        <w:pStyle w:val="Heading1"/>
      </w:pPr>
      <w:r>
        <w:rPr>
          <w:rFonts w:ascii="Calibri" w:hAnsi="Calibri"/>
          <w:color w:val="1F3A5F"/>
          <w:sz w:val="28"/>
        </w:rPr>
        <w:t>4. Assumptions and Interpretation Notes</w:t>
      </w:r>
    </w:p>
    <w:p>
      <w:pPr>
        <w:pStyle w:val="ListBullet"/>
        <w:spacing w:after="80"/>
      </w:pPr>
      <w:r>
        <w:rPr>
          <w:sz w:val="22"/>
        </w:rPr>
        <w:t>Table 2 downstream buffers are read as fixed batch counts (6, 6, 4, 8) at the new batch size of 40. An alternate reading holds the physical pair inventory constant at the case's original 100-pair values (600, 600, 400, 800 pairs), giving total WIP = 4,600 and MLT ≈ 12 days. Our reading is consistent with the batch-size sensitivity theme of the question.</w:t>
      </w:r>
    </w:p>
    <w:p>
      <w:pPr>
        <w:pStyle w:val="ListBullet"/>
        <w:spacing w:after="80"/>
      </w:pPr>
      <w:r>
        <w:rPr>
          <w:sz w:val="22"/>
        </w:rPr>
        <w:t>Little's Law returns total flow time. This bundles queueing and processing. If processing time is required separately, the sum of departmental cycle times (29 + 10 + 420 + 360 + 44 = 863 minutes ≈ 1.8 days) can be split out from the WIP-based figure.</w:t>
      </w:r>
    </w:p>
    <w:p>
      <w:pPr>
        <w:pStyle w:val="ListBullet"/>
        <w:spacing w:after="80"/>
      </w:pPr>
      <w:r>
        <w:rPr>
          <w:sz w:val="22"/>
        </w:rPr>
        <w:t>Stitching capacity assumes buffers stay full so workers do not starve. The case notes that the supervisor-mediated kit routing can leave some workers idle, but this is a queueing issue affecting lead time, not steady-state throughput.</w:t>
      </w:r>
    </w:p>
    <w:p>
      <w:pPr>
        <w:pStyle w:val="ListBullet"/>
        <w:spacing w:after="80"/>
      </w:pPr>
      <w:r>
        <w:rPr>
          <w:sz w:val="22"/>
        </w:rPr>
        <w:t>Steaming's oven is treated as unlimited because the case states it has significant excess capacity. If the oven were sized to hold only two or three batches at once, its throughput would need to be modelled explicitly.</w:t>
      </w:r>
    </w:p>
    <w:p>
      <w:pPr>
        <w:pStyle w:val="ListBullet"/>
        <w:spacing w:after="80"/>
      </w:pPr>
      <w:r>
        <w:rPr>
          <w:sz w:val="22"/>
        </w:rPr>
        <w:t>All setup and run times used in Cutting come directly from Table 1. Die-change time dominates the cutting cycle at this batch size (21 of 29 minutes on M1), which is the arithmetic reason small batches are expensive on this step.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