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Material Requirements Planning at A-CAT Corp</w:t>
      </w:r>
    </w:p>
    <w:p/>
    <w:p>
      <w:pPr>
        <w:pStyle w:val="Heading1"/>
      </w:pPr>
      <w:r>
        <w:t xml:space="preserve">1. Case Diagnosis</w:t>
      </w:r>
    </w:p>
    <w:p>
      <w:r>
        <w:t xml:space="preserve">The problem confronting Sunita Menon at A-CAT Corp extends well beyond meeting demand for the next eight weeks. With 240 units of P0110 already in stock and only 400 units required in Week 1, availability is not, in itself, a concern. The actual challenge lies in determining how to produce and order the required components economically, while accounting for a multi-level product structure, fixed lead times, and existing inventory. P0110 sits at the top of a three-level bill of materials: each unit requires two units of P0X and two units of P0Y, and each P0X, in turn, requires four units of P1X1 and three units of P1X2. None of these components carries independent demand; their requirements are derived entirely from the master schedule for P0110 and from one another. This is precisely the function that material requirements planning (MRP) performs. The master schedule establishes the weekly gross requirement for P0110; the bill of materials translates this into requirements for each component; lead times determine how far in advance orders must be released; and on-hand inventory is netted against gross requirements to arrive at the true quantity to be ordered. Because A-CAT applies fixed lot sizes rather than ordering to exact requirements, these net requirements are rounded upward, which is where unnecessary inventory build-up can arise.</w:t>
      </w:r>
    </w:p>
    <w:p/>
    <w:p>
      <w:pPr>
        <w:pStyle w:val="Heading1"/>
      </w:pPr>
      <w:r>
        <w:t xml:space="preserve">2. MRP Matrix</w:t>
      </w:r>
    </w:p>
    <w:p>
      <w:r>
        <w:rPr>
          <w:i/>
          <w:iCs/>
          <w:sz w:val="18"/>
          <w:szCs w:val="18"/>
        </w:rPr>
        <w:t xml:space="preserve">Note: Week 1 shortfalls are shown as scheduled receipts (sized to the fixed lot quantity), since any order that would need to be released before Week 1 is assumed to be already committed. Projected available balance is shown at the start of each period.</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400"/>
            <w:gridSpan w:val="9"/>
            <w:shd w:fill="D9E1F2" w:val="clear"/>
          </w:tcPr>
          <w:p>
            <w:r>
              <w:rPr>
                <w:b/>
                <w:bCs/>
                <w:sz w:val="20"/>
                <w:szCs w:val="20"/>
              </w:rPr>
              <w:t xml:space="preserve">Item: P0110    OH: 240    LT: 2 week(s)    Lot size (Q): 613</w:t>
            </w:r>
          </w:p>
        </w:tc>
      </w:tr>
      <w:tr>
        <w:tc>
          <w:tcPr>
            <w:tcW w:type="dxa" w:w="2400"/>
            <w:shd w:fill="F2F2F2" w:val="clear"/>
          </w:tcPr>
          <w:p>
            <w:pPr>
              <w:jc w:val="center"/>
            </w:pPr>
            <w:r>
              <w:rPr>
                <w:b/>
                <w:bCs/>
                <w:sz w:val="18"/>
                <w:szCs w:val="18"/>
              </w:rPr>
              <w:t xml:space="preserve">Period</w:t>
            </w:r>
          </w:p>
        </w:tc>
        <w:tc>
          <w:tcPr>
            <w:tcW w:type="dxa" w:w="1500"/>
            <w:shd w:fill="F2F2F2" w:val="clear"/>
          </w:tcPr>
          <w:p>
            <w:pPr>
              <w:jc w:val="center"/>
            </w:pPr>
            <w:r>
              <w:rPr>
                <w:b/>
                <w:bCs/>
                <w:sz w:val="18"/>
                <w:szCs w:val="18"/>
              </w:rPr>
              <w:t xml:space="preserve">1</w:t>
            </w:r>
          </w:p>
        </w:tc>
        <w:tc>
          <w:tcPr>
            <w:tcW w:type="dxa" w:w="1500"/>
            <w:shd w:fill="F2F2F2" w:val="clear"/>
          </w:tcPr>
          <w:p>
            <w:pPr>
              <w:jc w:val="center"/>
            </w:pPr>
            <w:r>
              <w:rPr>
                <w:b/>
                <w:bCs/>
                <w:sz w:val="18"/>
                <w:szCs w:val="18"/>
              </w:rPr>
              <w:t xml:space="preserve">2</w:t>
            </w:r>
          </w:p>
        </w:tc>
        <w:tc>
          <w:tcPr>
            <w:tcW w:type="dxa" w:w="1500"/>
            <w:shd w:fill="F2F2F2" w:val="clear"/>
          </w:tcPr>
          <w:p>
            <w:pPr>
              <w:jc w:val="center"/>
            </w:pPr>
            <w:r>
              <w:rPr>
                <w:b/>
                <w:bCs/>
                <w:sz w:val="18"/>
                <w:szCs w:val="18"/>
              </w:rPr>
              <w:t xml:space="preserve">3</w:t>
            </w:r>
          </w:p>
        </w:tc>
        <w:tc>
          <w:tcPr>
            <w:tcW w:type="dxa" w:w="1500"/>
            <w:shd w:fill="F2F2F2" w:val="clear"/>
          </w:tcPr>
          <w:p>
            <w:pPr>
              <w:jc w:val="center"/>
            </w:pPr>
            <w:r>
              <w:rPr>
                <w:b/>
                <w:bCs/>
                <w:sz w:val="18"/>
                <w:szCs w:val="18"/>
              </w:rPr>
              <w:t xml:space="preserve">4</w:t>
            </w:r>
          </w:p>
        </w:tc>
        <w:tc>
          <w:tcPr>
            <w:tcW w:type="dxa" w:w="1500"/>
            <w:shd w:fill="F2F2F2" w:val="clear"/>
          </w:tcPr>
          <w:p>
            <w:pPr>
              <w:jc w:val="center"/>
            </w:pPr>
            <w:r>
              <w:rPr>
                <w:b/>
                <w:bCs/>
                <w:sz w:val="18"/>
                <w:szCs w:val="18"/>
              </w:rPr>
              <w:t xml:space="preserve">5</w:t>
            </w:r>
          </w:p>
        </w:tc>
        <w:tc>
          <w:tcPr>
            <w:tcW w:type="dxa" w:w="1500"/>
            <w:shd w:fill="F2F2F2" w:val="clear"/>
          </w:tcPr>
          <w:p>
            <w:pPr>
              <w:jc w:val="center"/>
            </w:pPr>
            <w:r>
              <w:rPr>
                <w:b/>
                <w:bCs/>
                <w:sz w:val="18"/>
                <w:szCs w:val="18"/>
              </w:rPr>
              <w:t xml:space="preserve">6</w:t>
            </w:r>
          </w:p>
        </w:tc>
        <w:tc>
          <w:tcPr>
            <w:tcW w:type="dxa" w:w="1500"/>
            <w:shd w:fill="F2F2F2" w:val="clear"/>
          </w:tcPr>
          <w:p>
            <w:pPr>
              <w:jc w:val="center"/>
            </w:pPr>
            <w:r>
              <w:rPr>
                <w:b/>
                <w:bCs/>
                <w:sz w:val="18"/>
                <w:szCs w:val="18"/>
              </w:rPr>
              <w:t xml:space="preserve">7</w:t>
            </w:r>
          </w:p>
        </w:tc>
        <w:tc>
          <w:tcPr>
            <w:tcW w:type="dxa" w:w="1500"/>
            <w:shd w:fill="F2F2F2" w:val="clear"/>
          </w:tcPr>
          <w:p>
            <w:pPr>
              <w:jc w:val="center"/>
            </w:pPr>
            <w:r>
              <w:rPr>
                <w:b/>
                <w:bCs/>
                <w:sz w:val="18"/>
                <w:szCs w:val="18"/>
              </w:rPr>
              <w:t xml:space="preserve">8</w:t>
            </w:r>
          </w:p>
        </w:tc>
      </w:tr>
      <w:tr>
        <w:tc>
          <w:tcPr>
            <w:tcW w:type="dxa" w:w="2400"/>
          </w:tcPr>
          <w:p>
            <w:pPr>
              <w:jc w:val="left"/>
            </w:pPr>
            <w:r>
              <w:rPr>
                <w:b w:val="false"/>
                <w:bCs w:val="false"/>
                <w:sz w:val="18"/>
                <w:szCs w:val="18"/>
              </w:rPr>
              <w:t xml:space="preserve">Gross requirements</w:t>
            </w:r>
          </w:p>
        </w:tc>
        <w:tc>
          <w:tcPr>
            <w:tcW w:type="dxa" w:w="1500"/>
          </w:tcPr>
          <w:p>
            <w:pPr>
              <w:jc w:val="center"/>
            </w:pPr>
            <w:r>
              <w:rPr>
                <w:b w:val="false"/>
                <w:bCs w:val="false"/>
                <w:sz w:val="18"/>
                <w:szCs w:val="18"/>
              </w:rPr>
              <w:t xml:space="preserve">400</w:t>
            </w:r>
          </w:p>
        </w:tc>
        <w:tc>
          <w:tcPr>
            <w:tcW w:type="dxa" w:w="1500"/>
          </w:tcPr>
          <w:p>
            <w:pPr>
              <w:jc w:val="center"/>
            </w:pPr>
            <w:r>
              <w:rPr>
                <w:b w:val="false"/>
                <w:bCs w:val="false"/>
                <w:sz w:val="18"/>
                <w:szCs w:val="18"/>
              </w:rPr>
              <w:t xml:space="preserve">350</w:t>
            </w:r>
          </w:p>
        </w:tc>
        <w:tc>
          <w:tcPr>
            <w:tcW w:type="dxa" w:w="1500"/>
          </w:tcPr>
          <w:p>
            <w:pPr>
              <w:jc w:val="center"/>
            </w:pPr>
            <w:r>
              <w:rPr>
                <w:b w:val="false"/>
                <w:bCs w:val="false"/>
                <w:sz w:val="18"/>
                <w:szCs w:val="18"/>
              </w:rPr>
              <w:t xml:space="preserve">300</w:t>
            </w:r>
          </w:p>
        </w:tc>
        <w:tc>
          <w:tcPr>
            <w:tcW w:type="dxa" w:w="1500"/>
          </w:tcPr>
          <w:p>
            <w:pPr>
              <w:jc w:val="center"/>
            </w:pPr>
            <w:r>
              <w:rPr>
                <w:b w:val="false"/>
                <w:bCs w:val="false"/>
                <w:sz w:val="18"/>
                <w:szCs w:val="18"/>
              </w:rPr>
              <w:t xml:space="preserve">450</w:t>
            </w:r>
          </w:p>
        </w:tc>
        <w:tc>
          <w:tcPr>
            <w:tcW w:type="dxa" w:w="1500"/>
          </w:tcPr>
          <w:p>
            <w:pPr>
              <w:jc w:val="center"/>
            </w:pPr>
            <w:r>
              <w:rPr>
                <w:b w:val="false"/>
                <w:bCs w:val="false"/>
                <w:sz w:val="18"/>
                <w:szCs w:val="18"/>
              </w:rPr>
              <w:t xml:space="preserve">300</w:t>
            </w:r>
          </w:p>
        </w:tc>
        <w:tc>
          <w:tcPr>
            <w:tcW w:type="dxa" w:w="1500"/>
          </w:tcPr>
          <w:p>
            <w:pPr>
              <w:jc w:val="center"/>
            </w:pPr>
            <w:r>
              <w:rPr>
                <w:b w:val="false"/>
                <w:bCs w:val="false"/>
                <w:sz w:val="18"/>
                <w:szCs w:val="18"/>
              </w:rPr>
              <w:t xml:space="preserve">450</w:t>
            </w:r>
          </w:p>
        </w:tc>
        <w:tc>
          <w:tcPr>
            <w:tcW w:type="dxa" w:w="1500"/>
          </w:tcPr>
          <w:p>
            <w:pPr>
              <w:jc w:val="center"/>
            </w:pPr>
            <w:r>
              <w:rPr>
                <w:b w:val="false"/>
                <w:bCs w:val="false"/>
                <w:sz w:val="18"/>
                <w:szCs w:val="18"/>
              </w:rPr>
              <w:t xml:space="preserve">225</w:t>
            </w:r>
          </w:p>
        </w:tc>
        <w:tc>
          <w:tcPr>
            <w:tcW w:type="dxa" w:w="1500"/>
          </w:tcPr>
          <w:p>
            <w:pPr>
              <w:jc w:val="center"/>
            </w:pPr>
            <w:r>
              <w:rPr>
                <w:b w:val="false"/>
                <w:bCs w:val="false"/>
                <w:sz w:val="18"/>
                <w:szCs w:val="18"/>
              </w:rPr>
              <w:t xml:space="preserve">525</w:t>
            </w:r>
          </w:p>
        </w:tc>
      </w:tr>
      <w:tr>
        <w:tc>
          <w:tcPr>
            <w:tcW w:type="dxa" w:w="2400"/>
          </w:tcPr>
          <w:p>
            <w:pPr>
              <w:jc w:val="left"/>
            </w:pPr>
            <w:r>
              <w:rPr>
                <w:b w:val="false"/>
                <w:bCs w:val="false"/>
                <w:sz w:val="18"/>
                <w:szCs w:val="18"/>
              </w:rPr>
              <w:t xml:space="preserve">Scheduled receipts</w:t>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bCs/>
                <w:sz w:val="18"/>
                <w:szCs w:val="18"/>
              </w:rPr>
              <w:t xml:space="preserve">Projected available balance</w:t>
            </w:r>
          </w:p>
        </w:tc>
        <w:tc>
          <w:tcPr>
            <w:tcW w:type="dxa" w:w="1500"/>
          </w:tcPr>
          <w:p>
            <w:pPr>
              <w:jc w:val="center"/>
            </w:pPr>
            <w:r>
              <w:rPr>
                <w:b/>
                <w:bCs/>
                <w:sz w:val="18"/>
                <w:szCs w:val="18"/>
              </w:rPr>
              <w:t xml:space="preserve">240</w:t>
            </w:r>
          </w:p>
        </w:tc>
        <w:tc>
          <w:tcPr>
            <w:tcW w:type="dxa" w:w="1500"/>
          </w:tcPr>
          <w:p>
            <w:pPr>
              <w:jc w:val="center"/>
            </w:pPr>
            <w:r>
              <w:rPr>
                <w:b/>
                <w:bCs/>
                <w:sz w:val="18"/>
                <w:szCs w:val="18"/>
              </w:rPr>
              <w:t xml:space="preserve">453</w:t>
            </w:r>
          </w:p>
        </w:tc>
        <w:tc>
          <w:tcPr>
            <w:tcW w:type="dxa" w:w="1500"/>
          </w:tcPr>
          <w:p>
            <w:pPr>
              <w:jc w:val="center"/>
            </w:pPr>
            <w:r>
              <w:rPr>
                <w:b/>
                <w:bCs/>
                <w:sz w:val="18"/>
                <w:szCs w:val="18"/>
              </w:rPr>
              <w:t xml:space="preserve">103</w:t>
            </w:r>
          </w:p>
        </w:tc>
        <w:tc>
          <w:tcPr>
            <w:tcW w:type="dxa" w:w="1500"/>
          </w:tcPr>
          <w:p>
            <w:pPr>
              <w:jc w:val="center"/>
            </w:pPr>
            <w:r>
              <w:rPr>
                <w:b/>
                <w:bCs/>
                <w:sz w:val="18"/>
                <w:szCs w:val="18"/>
              </w:rPr>
              <w:t xml:space="preserve">416</w:t>
            </w:r>
          </w:p>
        </w:tc>
        <w:tc>
          <w:tcPr>
            <w:tcW w:type="dxa" w:w="1500"/>
          </w:tcPr>
          <w:p>
            <w:pPr>
              <w:jc w:val="center"/>
            </w:pPr>
            <w:r>
              <w:rPr>
                <w:b/>
                <w:bCs/>
                <w:sz w:val="18"/>
                <w:szCs w:val="18"/>
              </w:rPr>
              <w:t xml:space="preserve">579</w:t>
            </w:r>
          </w:p>
        </w:tc>
        <w:tc>
          <w:tcPr>
            <w:tcW w:type="dxa" w:w="1500"/>
          </w:tcPr>
          <w:p>
            <w:pPr>
              <w:jc w:val="center"/>
            </w:pPr>
            <w:r>
              <w:rPr>
                <w:b/>
                <w:bCs/>
                <w:sz w:val="18"/>
                <w:szCs w:val="18"/>
              </w:rPr>
              <w:t xml:space="preserve">279</w:t>
            </w:r>
          </w:p>
        </w:tc>
        <w:tc>
          <w:tcPr>
            <w:tcW w:type="dxa" w:w="1500"/>
          </w:tcPr>
          <w:p>
            <w:pPr>
              <w:jc w:val="center"/>
            </w:pPr>
            <w:r>
              <w:rPr>
                <w:b/>
                <w:bCs/>
                <w:sz w:val="18"/>
                <w:szCs w:val="18"/>
              </w:rPr>
              <w:t xml:space="preserve">442</w:t>
            </w:r>
          </w:p>
        </w:tc>
        <w:tc>
          <w:tcPr>
            <w:tcW w:type="dxa" w:w="1500"/>
          </w:tcPr>
          <w:p>
            <w:pPr>
              <w:jc w:val="center"/>
            </w:pPr>
            <w:r>
              <w:rPr>
                <w:b/>
                <w:bCs/>
                <w:sz w:val="18"/>
                <w:szCs w:val="18"/>
              </w:rPr>
              <w:t xml:space="preserve">217</w:t>
            </w:r>
          </w:p>
        </w:tc>
      </w:tr>
      <w:tr>
        <w:tc>
          <w:tcPr>
            <w:tcW w:type="dxa" w:w="2400"/>
          </w:tcPr>
          <w:p>
            <w:pPr>
              <w:jc w:val="left"/>
            </w:pPr>
            <w:r>
              <w:rPr>
                <w:b w:val="false"/>
                <w:bCs w:val="false"/>
                <w:sz w:val="18"/>
                <w:szCs w:val="18"/>
              </w:rPr>
              <w:t xml:space="preserve">Net requirements</w:t>
            </w:r>
          </w:p>
        </w:tc>
        <w:tc>
          <w:tcPr>
            <w:tcW w:type="dxa" w:w="1500"/>
          </w:tcPr>
          <w:p>
            <w:pPr>
              <w:jc w:val="center"/>
            </w:pPr>
            <w:r>
              <w:rPr>
                <w:b w:val="false"/>
                <w:bCs w:val="false"/>
                <w:sz w:val="18"/>
                <w:szCs w:val="18"/>
              </w:rPr>
              <w:t xml:space="preserve">160</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197</w:t>
            </w:r>
          </w:p>
        </w:tc>
        <w:tc>
          <w:tcPr>
            <w:tcW w:type="dxa" w:w="1500"/>
          </w:tcPr>
          <w:p>
            <w:pPr>
              <w:jc w:val="center"/>
            </w:pPr>
            <w:r>
              <w:rPr>
                <w:b w:val="false"/>
                <w:bCs w:val="false"/>
                <w:sz w:val="18"/>
                <w:szCs w:val="18"/>
              </w:rPr>
              <w:t xml:space="preserve">34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171</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308</w:t>
            </w:r>
          </w:p>
        </w:tc>
      </w:tr>
      <w:tr>
        <w:tc>
          <w:tcPr>
            <w:tcW w:type="dxa" w:w="2400"/>
          </w:tcPr>
          <w:p>
            <w:pPr>
              <w:jc w:val="left"/>
            </w:pPr>
            <w:r>
              <w:rPr>
                <w:b w:val="false"/>
                <w:bCs w:val="false"/>
                <w:sz w:val="18"/>
                <w:szCs w:val="18"/>
              </w:rPr>
              <w:t xml:space="preserve">Planned order receipts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613</w:t>
            </w:r>
          </w:p>
        </w:tc>
      </w:tr>
      <w:tr>
        <w:tc>
          <w:tcPr>
            <w:tcW w:type="dxa" w:w="2400"/>
          </w:tcPr>
          <w:p>
            <w:pPr>
              <w:jc w:val="left"/>
            </w:pPr>
            <w:r>
              <w:rPr>
                <w:b w:val="false"/>
                <w:bCs w:val="false"/>
                <w:sz w:val="18"/>
                <w:szCs w:val="18"/>
              </w:rPr>
              <w:t xml:space="preserve">Planned order releases</w:t>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613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bl>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400"/>
            <w:gridSpan w:val="9"/>
            <w:shd w:fill="D9E1F2" w:val="clear"/>
          </w:tcPr>
          <w:p>
            <w:r>
              <w:rPr>
                <w:b/>
                <w:bCs/>
                <w:sz w:val="20"/>
                <w:szCs w:val="20"/>
              </w:rPr>
              <w:t xml:space="preserve">Item: P0X    OH: 500    LT: 1 week(s)    Lot size (Q): 1226</w:t>
            </w:r>
          </w:p>
        </w:tc>
      </w:tr>
      <w:tr>
        <w:tc>
          <w:tcPr>
            <w:tcW w:type="dxa" w:w="2400"/>
            <w:shd w:fill="F2F2F2" w:val="clear"/>
          </w:tcPr>
          <w:p>
            <w:pPr>
              <w:jc w:val="center"/>
            </w:pPr>
            <w:r>
              <w:rPr>
                <w:b/>
                <w:bCs/>
                <w:sz w:val="18"/>
                <w:szCs w:val="18"/>
              </w:rPr>
              <w:t xml:space="preserve">Period</w:t>
            </w:r>
          </w:p>
        </w:tc>
        <w:tc>
          <w:tcPr>
            <w:tcW w:type="dxa" w:w="1500"/>
            <w:shd w:fill="F2F2F2" w:val="clear"/>
          </w:tcPr>
          <w:p>
            <w:pPr>
              <w:jc w:val="center"/>
            </w:pPr>
            <w:r>
              <w:rPr>
                <w:b/>
                <w:bCs/>
                <w:sz w:val="18"/>
                <w:szCs w:val="18"/>
              </w:rPr>
              <w:t xml:space="preserve">1</w:t>
            </w:r>
          </w:p>
        </w:tc>
        <w:tc>
          <w:tcPr>
            <w:tcW w:type="dxa" w:w="1500"/>
            <w:shd w:fill="F2F2F2" w:val="clear"/>
          </w:tcPr>
          <w:p>
            <w:pPr>
              <w:jc w:val="center"/>
            </w:pPr>
            <w:r>
              <w:rPr>
                <w:b/>
                <w:bCs/>
                <w:sz w:val="18"/>
                <w:szCs w:val="18"/>
              </w:rPr>
              <w:t xml:space="preserve">2</w:t>
            </w:r>
          </w:p>
        </w:tc>
        <w:tc>
          <w:tcPr>
            <w:tcW w:type="dxa" w:w="1500"/>
            <w:shd w:fill="F2F2F2" w:val="clear"/>
          </w:tcPr>
          <w:p>
            <w:pPr>
              <w:jc w:val="center"/>
            </w:pPr>
            <w:r>
              <w:rPr>
                <w:b/>
                <w:bCs/>
                <w:sz w:val="18"/>
                <w:szCs w:val="18"/>
              </w:rPr>
              <w:t xml:space="preserve">3</w:t>
            </w:r>
          </w:p>
        </w:tc>
        <w:tc>
          <w:tcPr>
            <w:tcW w:type="dxa" w:w="1500"/>
            <w:shd w:fill="F2F2F2" w:val="clear"/>
          </w:tcPr>
          <w:p>
            <w:pPr>
              <w:jc w:val="center"/>
            </w:pPr>
            <w:r>
              <w:rPr>
                <w:b/>
                <w:bCs/>
                <w:sz w:val="18"/>
                <w:szCs w:val="18"/>
              </w:rPr>
              <w:t xml:space="preserve">4</w:t>
            </w:r>
          </w:p>
        </w:tc>
        <w:tc>
          <w:tcPr>
            <w:tcW w:type="dxa" w:w="1500"/>
            <w:shd w:fill="F2F2F2" w:val="clear"/>
          </w:tcPr>
          <w:p>
            <w:pPr>
              <w:jc w:val="center"/>
            </w:pPr>
            <w:r>
              <w:rPr>
                <w:b/>
                <w:bCs/>
                <w:sz w:val="18"/>
                <w:szCs w:val="18"/>
              </w:rPr>
              <w:t xml:space="preserve">5</w:t>
            </w:r>
          </w:p>
        </w:tc>
        <w:tc>
          <w:tcPr>
            <w:tcW w:type="dxa" w:w="1500"/>
            <w:shd w:fill="F2F2F2" w:val="clear"/>
          </w:tcPr>
          <w:p>
            <w:pPr>
              <w:jc w:val="center"/>
            </w:pPr>
            <w:r>
              <w:rPr>
                <w:b/>
                <w:bCs/>
                <w:sz w:val="18"/>
                <w:szCs w:val="18"/>
              </w:rPr>
              <w:t xml:space="preserve">6</w:t>
            </w:r>
          </w:p>
        </w:tc>
        <w:tc>
          <w:tcPr>
            <w:tcW w:type="dxa" w:w="1500"/>
            <w:shd w:fill="F2F2F2" w:val="clear"/>
          </w:tcPr>
          <w:p>
            <w:pPr>
              <w:jc w:val="center"/>
            </w:pPr>
            <w:r>
              <w:rPr>
                <w:b/>
                <w:bCs/>
                <w:sz w:val="18"/>
                <w:szCs w:val="18"/>
              </w:rPr>
              <w:t xml:space="preserve">7</w:t>
            </w:r>
          </w:p>
        </w:tc>
        <w:tc>
          <w:tcPr>
            <w:tcW w:type="dxa" w:w="1500"/>
            <w:shd w:fill="F2F2F2" w:val="clear"/>
          </w:tcPr>
          <w:p>
            <w:pPr>
              <w:jc w:val="center"/>
            </w:pPr>
            <w:r>
              <w:rPr>
                <w:b/>
                <w:bCs/>
                <w:sz w:val="18"/>
                <w:szCs w:val="18"/>
              </w:rPr>
              <w:t xml:space="preserve">8</w:t>
            </w:r>
          </w:p>
        </w:tc>
      </w:tr>
      <w:tr>
        <w:tc>
          <w:tcPr>
            <w:tcW w:type="dxa" w:w="2400"/>
          </w:tcPr>
          <w:p>
            <w:pPr>
              <w:jc w:val="left"/>
            </w:pPr>
            <w:r>
              <w:rPr>
                <w:b w:val="false"/>
                <w:bCs w:val="false"/>
                <w:sz w:val="18"/>
                <w:szCs w:val="18"/>
              </w:rPr>
              <w:t xml:space="preserve">Gross requirements</w:t>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Scheduled receipts</w:t>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bCs/>
                <w:sz w:val="18"/>
                <w:szCs w:val="18"/>
              </w:rPr>
              <w:t xml:space="preserve">Projected available balance</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r>
      <w:tr>
        <w:tc>
          <w:tcPr>
            <w:tcW w:type="dxa" w:w="2400"/>
          </w:tcPr>
          <w:p>
            <w:pPr>
              <w:jc w:val="left"/>
            </w:pPr>
            <w:r>
              <w:rPr>
                <w:b w:val="false"/>
                <w:bCs w:val="false"/>
                <w:sz w:val="18"/>
                <w:szCs w:val="18"/>
              </w:rPr>
              <w:t xml:space="preserve">Net requirements</w:t>
            </w:r>
          </w:p>
        </w:tc>
        <w:tc>
          <w:tcPr>
            <w:tcW w:type="dxa" w:w="1500"/>
          </w:tcPr>
          <w:p>
            <w:pPr>
              <w:jc w:val="center"/>
            </w:pPr>
            <w:r>
              <w:rPr>
                <w:b w:val="false"/>
                <w:bCs w:val="false"/>
                <w:sz w:val="18"/>
                <w:szCs w:val="18"/>
              </w:rPr>
              <w:t xml:space="preserve">726</w:t>
            </w:r>
          </w:p>
        </w:tc>
        <w:tc>
          <w:tcPr>
            <w:tcW w:type="dxa" w:w="1500"/>
          </w:tcPr>
          <w:p>
            <w:pPr>
              <w:jc w:val="center"/>
            </w:pPr>
            <w:r>
              <w:rPr>
                <w:b w:val="false"/>
                <w:bCs w:val="false"/>
                <w:sz w:val="18"/>
                <w:szCs w:val="18"/>
              </w:rPr>
              <w:t xml:space="preserve">726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726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726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receipts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releases</w:t>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bl>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400"/>
            <w:gridSpan w:val="9"/>
            <w:shd w:fill="D9E1F2" w:val="clear"/>
          </w:tcPr>
          <w:p>
            <w:r>
              <w:rPr>
                <w:b/>
                <w:bCs/>
                <w:sz w:val="20"/>
                <w:szCs w:val="20"/>
              </w:rPr>
              <w:t xml:space="preserve">Item: P0Y    OH: 340    LT: 1 week(s)    Lot size (Q): 1839</w:t>
            </w:r>
          </w:p>
        </w:tc>
      </w:tr>
      <w:tr>
        <w:tc>
          <w:tcPr>
            <w:tcW w:type="dxa" w:w="2400"/>
            <w:shd w:fill="F2F2F2" w:val="clear"/>
          </w:tcPr>
          <w:p>
            <w:pPr>
              <w:jc w:val="center"/>
            </w:pPr>
            <w:r>
              <w:rPr>
                <w:b/>
                <w:bCs/>
                <w:sz w:val="18"/>
                <w:szCs w:val="18"/>
              </w:rPr>
              <w:t xml:space="preserve">Period</w:t>
            </w:r>
          </w:p>
        </w:tc>
        <w:tc>
          <w:tcPr>
            <w:tcW w:type="dxa" w:w="1500"/>
            <w:shd w:fill="F2F2F2" w:val="clear"/>
          </w:tcPr>
          <w:p>
            <w:pPr>
              <w:jc w:val="center"/>
            </w:pPr>
            <w:r>
              <w:rPr>
                <w:b/>
                <w:bCs/>
                <w:sz w:val="18"/>
                <w:szCs w:val="18"/>
              </w:rPr>
              <w:t xml:space="preserve">1</w:t>
            </w:r>
          </w:p>
        </w:tc>
        <w:tc>
          <w:tcPr>
            <w:tcW w:type="dxa" w:w="1500"/>
            <w:shd w:fill="F2F2F2" w:val="clear"/>
          </w:tcPr>
          <w:p>
            <w:pPr>
              <w:jc w:val="center"/>
            </w:pPr>
            <w:r>
              <w:rPr>
                <w:b/>
                <w:bCs/>
                <w:sz w:val="18"/>
                <w:szCs w:val="18"/>
              </w:rPr>
              <w:t xml:space="preserve">2</w:t>
            </w:r>
          </w:p>
        </w:tc>
        <w:tc>
          <w:tcPr>
            <w:tcW w:type="dxa" w:w="1500"/>
            <w:shd w:fill="F2F2F2" w:val="clear"/>
          </w:tcPr>
          <w:p>
            <w:pPr>
              <w:jc w:val="center"/>
            </w:pPr>
            <w:r>
              <w:rPr>
                <w:b/>
                <w:bCs/>
                <w:sz w:val="18"/>
                <w:szCs w:val="18"/>
              </w:rPr>
              <w:t xml:space="preserve">3</w:t>
            </w:r>
          </w:p>
        </w:tc>
        <w:tc>
          <w:tcPr>
            <w:tcW w:type="dxa" w:w="1500"/>
            <w:shd w:fill="F2F2F2" w:val="clear"/>
          </w:tcPr>
          <w:p>
            <w:pPr>
              <w:jc w:val="center"/>
            </w:pPr>
            <w:r>
              <w:rPr>
                <w:b/>
                <w:bCs/>
                <w:sz w:val="18"/>
                <w:szCs w:val="18"/>
              </w:rPr>
              <w:t xml:space="preserve">4</w:t>
            </w:r>
          </w:p>
        </w:tc>
        <w:tc>
          <w:tcPr>
            <w:tcW w:type="dxa" w:w="1500"/>
            <w:shd w:fill="F2F2F2" w:val="clear"/>
          </w:tcPr>
          <w:p>
            <w:pPr>
              <w:jc w:val="center"/>
            </w:pPr>
            <w:r>
              <w:rPr>
                <w:b/>
                <w:bCs/>
                <w:sz w:val="18"/>
                <w:szCs w:val="18"/>
              </w:rPr>
              <w:t xml:space="preserve">5</w:t>
            </w:r>
          </w:p>
        </w:tc>
        <w:tc>
          <w:tcPr>
            <w:tcW w:type="dxa" w:w="1500"/>
            <w:shd w:fill="F2F2F2" w:val="clear"/>
          </w:tcPr>
          <w:p>
            <w:pPr>
              <w:jc w:val="center"/>
            </w:pPr>
            <w:r>
              <w:rPr>
                <w:b/>
                <w:bCs/>
                <w:sz w:val="18"/>
                <w:szCs w:val="18"/>
              </w:rPr>
              <w:t xml:space="preserve">6</w:t>
            </w:r>
          </w:p>
        </w:tc>
        <w:tc>
          <w:tcPr>
            <w:tcW w:type="dxa" w:w="1500"/>
            <w:shd w:fill="F2F2F2" w:val="clear"/>
          </w:tcPr>
          <w:p>
            <w:pPr>
              <w:jc w:val="center"/>
            </w:pPr>
            <w:r>
              <w:rPr>
                <w:b/>
                <w:bCs/>
                <w:sz w:val="18"/>
                <w:szCs w:val="18"/>
              </w:rPr>
              <w:t xml:space="preserve">7</w:t>
            </w:r>
          </w:p>
        </w:tc>
        <w:tc>
          <w:tcPr>
            <w:tcW w:type="dxa" w:w="1500"/>
            <w:shd w:fill="F2F2F2" w:val="clear"/>
          </w:tcPr>
          <w:p>
            <w:pPr>
              <w:jc w:val="center"/>
            </w:pPr>
            <w:r>
              <w:rPr>
                <w:b/>
                <w:bCs/>
                <w:sz w:val="18"/>
                <w:szCs w:val="18"/>
              </w:rPr>
              <w:t xml:space="preserve">8</w:t>
            </w:r>
          </w:p>
        </w:tc>
      </w:tr>
      <w:tr>
        <w:tc>
          <w:tcPr>
            <w:tcW w:type="dxa" w:w="2400"/>
          </w:tcPr>
          <w:p>
            <w:pPr>
              <w:jc w:val="left"/>
            </w:pPr>
            <w:r>
              <w:rPr>
                <w:b w:val="false"/>
                <w:bCs w:val="false"/>
                <w:sz w:val="18"/>
                <w:szCs w:val="18"/>
              </w:rPr>
              <w:t xml:space="preserve">Gross requirements</w:t>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1226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Scheduled receipts</w:t>
            </w:r>
          </w:p>
        </w:tc>
        <w:tc>
          <w:tcPr>
            <w:tcW w:type="dxa" w:w="1500"/>
          </w:tcPr>
          <w:p>
            <w:pPr>
              <w:jc w:val="center"/>
            </w:pPr>
            <w:r>
              <w:rPr>
                <w:b w:val="false"/>
                <w:bCs w:val="false"/>
                <w:sz w:val="18"/>
                <w:szCs w:val="18"/>
              </w:rPr>
              <w:t xml:space="preserve">1839</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bCs/>
                <w:sz w:val="18"/>
                <w:szCs w:val="18"/>
              </w:rPr>
              <w:t xml:space="preserve">Projected available balance</w:t>
            </w:r>
          </w:p>
        </w:tc>
        <w:tc>
          <w:tcPr>
            <w:tcW w:type="dxa" w:w="1500"/>
          </w:tcPr>
          <w:p>
            <w:pPr>
              <w:jc w:val="center"/>
            </w:pPr>
            <w:r>
              <w:rPr>
                <w:b/>
                <w:bCs/>
                <w:sz w:val="18"/>
                <w:szCs w:val="18"/>
              </w:rPr>
              <w:t xml:space="preserve">340</w:t>
            </w:r>
          </w:p>
        </w:tc>
        <w:tc>
          <w:tcPr>
            <w:tcW w:type="dxa" w:w="1500"/>
          </w:tcPr>
          <w:p>
            <w:pPr>
              <w:jc w:val="center"/>
            </w:pPr>
            <w:r>
              <w:rPr>
                <w:b/>
                <w:bCs/>
                <w:sz w:val="18"/>
                <w:szCs w:val="18"/>
              </w:rPr>
              <w:t xml:space="preserve">953</w:t>
            </w:r>
          </w:p>
        </w:tc>
        <w:tc>
          <w:tcPr>
            <w:tcW w:type="dxa" w:w="1500"/>
          </w:tcPr>
          <w:p>
            <w:pPr>
              <w:jc w:val="center"/>
            </w:pPr>
            <w:r>
              <w:rPr>
                <w:b/>
                <w:bCs/>
                <w:sz w:val="18"/>
                <w:szCs w:val="18"/>
              </w:rPr>
              <w:t xml:space="preserve">1566</w:t>
            </w:r>
          </w:p>
        </w:tc>
        <w:tc>
          <w:tcPr>
            <w:tcW w:type="dxa" w:w="1500"/>
          </w:tcPr>
          <w:p>
            <w:pPr>
              <w:jc w:val="center"/>
            </w:pPr>
            <w:r>
              <w:rPr>
                <w:b/>
                <w:bCs/>
                <w:sz w:val="18"/>
                <w:szCs w:val="18"/>
              </w:rPr>
              <w:t xml:space="preserve">1566</w:t>
            </w:r>
          </w:p>
        </w:tc>
        <w:tc>
          <w:tcPr>
            <w:tcW w:type="dxa" w:w="1500"/>
          </w:tcPr>
          <w:p>
            <w:pPr>
              <w:jc w:val="center"/>
            </w:pPr>
            <w:r>
              <w:rPr>
                <w:b/>
                <w:bCs/>
                <w:sz w:val="18"/>
                <w:szCs w:val="18"/>
              </w:rPr>
              <w:t xml:space="preserve">340</w:t>
            </w:r>
          </w:p>
        </w:tc>
        <w:tc>
          <w:tcPr>
            <w:tcW w:type="dxa" w:w="1500"/>
          </w:tcPr>
          <w:p>
            <w:pPr>
              <w:jc w:val="center"/>
            </w:pPr>
            <w:r>
              <w:rPr>
                <w:b/>
                <w:bCs/>
                <w:sz w:val="18"/>
                <w:szCs w:val="18"/>
              </w:rPr>
              <w:t xml:space="preserve">340</w:t>
            </w:r>
          </w:p>
        </w:tc>
        <w:tc>
          <w:tcPr>
            <w:tcW w:type="dxa" w:w="1500"/>
          </w:tcPr>
          <w:p>
            <w:pPr>
              <w:jc w:val="center"/>
            </w:pPr>
            <w:r>
              <w:rPr>
                <w:b/>
                <w:bCs/>
                <w:sz w:val="18"/>
                <w:szCs w:val="18"/>
              </w:rPr>
              <w:t xml:space="preserve">953</w:t>
            </w:r>
          </w:p>
        </w:tc>
        <w:tc>
          <w:tcPr>
            <w:tcW w:type="dxa" w:w="1500"/>
          </w:tcPr>
          <w:p>
            <w:pPr>
              <w:jc w:val="center"/>
            </w:pPr>
            <w:r>
              <w:rPr>
                <w:b/>
                <w:bCs/>
                <w:sz w:val="18"/>
                <w:szCs w:val="18"/>
              </w:rPr>
              <w:t xml:space="preserve">953</w:t>
            </w:r>
          </w:p>
        </w:tc>
      </w:tr>
      <w:tr>
        <w:tc>
          <w:tcPr>
            <w:tcW w:type="dxa" w:w="2400"/>
          </w:tcPr>
          <w:p>
            <w:pPr>
              <w:jc w:val="left"/>
            </w:pPr>
            <w:r>
              <w:rPr>
                <w:b w:val="false"/>
                <w:bCs w:val="false"/>
                <w:sz w:val="18"/>
                <w:szCs w:val="18"/>
              </w:rPr>
              <w:t xml:space="preserve">Net requirements</w:t>
            </w:r>
          </w:p>
        </w:tc>
        <w:tc>
          <w:tcPr>
            <w:tcW w:type="dxa" w:w="1500"/>
          </w:tcPr>
          <w:p>
            <w:pPr>
              <w:jc w:val="center"/>
            </w:pPr>
            <w:r>
              <w:rPr>
                <w:b w:val="false"/>
                <w:bCs w:val="false"/>
                <w:sz w:val="18"/>
                <w:szCs w:val="18"/>
              </w:rPr>
              <w:t xml:space="preserve">886</w:t>
            </w:r>
          </w:p>
        </w:tc>
        <w:tc>
          <w:tcPr>
            <w:tcW w:type="dxa" w:w="1500"/>
          </w:tcPr>
          <w:p>
            <w:pPr>
              <w:jc w:val="center"/>
            </w:pPr>
            <w:r>
              <w:rPr>
                <w:b w:val="false"/>
                <w:bCs w:val="false"/>
                <w:sz w:val="18"/>
                <w:szCs w:val="18"/>
              </w:rPr>
              <w:t xml:space="preserve">273</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886</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receipts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1839</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1839</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releases</w:t>
            </w:r>
          </w:p>
        </w:tc>
        <w:tc>
          <w:tcPr>
            <w:tcW w:type="dxa" w:w="1500"/>
          </w:tcPr>
          <w:p>
            <w:pPr>
              <w:jc w:val="center"/>
            </w:pPr>
            <w:r>
              <w:rPr>
                <w:b w:val="false"/>
                <w:bCs w:val="false"/>
                <w:sz w:val="18"/>
                <w:szCs w:val="18"/>
              </w:rPr>
              <w:t xml:space="preserve">1839</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1839</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bl>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400"/>
            <w:gridSpan w:val="9"/>
            <w:shd w:fill="D9E1F2" w:val="clear"/>
          </w:tcPr>
          <w:p>
            <w:r>
              <w:rPr>
                <w:b/>
                <w:bCs/>
                <w:sz w:val="20"/>
                <w:szCs w:val="20"/>
              </w:rPr>
              <w:t xml:space="preserve">Item: P1X1    OH: 500    LT: 1 week(s)    Lot size (Q): 2452</w:t>
            </w:r>
          </w:p>
        </w:tc>
      </w:tr>
      <w:tr>
        <w:tc>
          <w:tcPr>
            <w:tcW w:type="dxa" w:w="2400"/>
            <w:shd w:fill="F2F2F2" w:val="clear"/>
          </w:tcPr>
          <w:p>
            <w:pPr>
              <w:jc w:val="center"/>
            </w:pPr>
            <w:r>
              <w:rPr>
                <w:b/>
                <w:bCs/>
                <w:sz w:val="18"/>
                <w:szCs w:val="18"/>
              </w:rPr>
              <w:t xml:space="preserve">Period</w:t>
            </w:r>
          </w:p>
        </w:tc>
        <w:tc>
          <w:tcPr>
            <w:tcW w:type="dxa" w:w="1500"/>
            <w:shd w:fill="F2F2F2" w:val="clear"/>
          </w:tcPr>
          <w:p>
            <w:pPr>
              <w:jc w:val="center"/>
            </w:pPr>
            <w:r>
              <w:rPr>
                <w:b/>
                <w:bCs/>
                <w:sz w:val="18"/>
                <w:szCs w:val="18"/>
              </w:rPr>
              <w:t xml:space="preserve">1</w:t>
            </w:r>
          </w:p>
        </w:tc>
        <w:tc>
          <w:tcPr>
            <w:tcW w:type="dxa" w:w="1500"/>
            <w:shd w:fill="F2F2F2" w:val="clear"/>
          </w:tcPr>
          <w:p>
            <w:pPr>
              <w:jc w:val="center"/>
            </w:pPr>
            <w:r>
              <w:rPr>
                <w:b/>
                <w:bCs/>
                <w:sz w:val="18"/>
                <w:szCs w:val="18"/>
              </w:rPr>
              <w:t xml:space="preserve">2</w:t>
            </w:r>
          </w:p>
        </w:tc>
        <w:tc>
          <w:tcPr>
            <w:tcW w:type="dxa" w:w="1500"/>
            <w:shd w:fill="F2F2F2" w:val="clear"/>
          </w:tcPr>
          <w:p>
            <w:pPr>
              <w:jc w:val="center"/>
            </w:pPr>
            <w:r>
              <w:rPr>
                <w:b/>
                <w:bCs/>
                <w:sz w:val="18"/>
                <w:szCs w:val="18"/>
              </w:rPr>
              <w:t xml:space="preserve">3</w:t>
            </w:r>
          </w:p>
        </w:tc>
        <w:tc>
          <w:tcPr>
            <w:tcW w:type="dxa" w:w="1500"/>
            <w:shd w:fill="F2F2F2" w:val="clear"/>
          </w:tcPr>
          <w:p>
            <w:pPr>
              <w:jc w:val="center"/>
            </w:pPr>
            <w:r>
              <w:rPr>
                <w:b/>
                <w:bCs/>
                <w:sz w:val="18"/>
                <w:szCs w:val="18"/>
              </w:rPr>
              <w:t xml:space="preserve">4</w:t>
            </w:r>
          </w:p>
        </w:tc>
        <w:tc>
          <w:tcPr>
            <w:tcW w:type="dxa" w:w="1500"/>
            <w:shd w:fill="F2F2F2" w:val="clear"/>
          </w:tcPr>
          <w:p>
            <w:pPr>
              <w:jc w:val="center"/>
            </w:pPr>
            <w:r>
              <w:rPr>
                <w:b/>
                <w:bCs/>
                <w:sz w:val="18"/>
                <w:szCs w:val="18"/>
              </w:rPr>
              <w:t xml:space="preserve">5</w:t>
            </w:r>
          </w:p>
        </w:tc>
        <w:tc>
          <w:tcPr>
            <w:tcW w:type="dxa" w:w="1500"/>
            <w:shd w:fill="F2F2F2" w:val="clear"/>
          </w:tcPr>
          <w:p>
            <w:pPr>
              <w:jc w:val="center"/>
            </w:pPr>
            <w:r>
              <w:rPr>
                <w:b/>
                <w:bCs/>
                <w:sz w:val="18"/>
                <w:szCs w:val="18"/>
              </w:rPr>
              <w:t xml:space="preserve">6</w:t>
            </w:r>
          </w:p>
        </w:tc>
        <w:tc>
          <w:tcPr>
            <w:tcW w:type="dxa" w:w="1500"/>
            <w:shd w:fill="F2F2F2" w:val="clear"/>
          </w:tcPr>
          <w:p>
            <w:pPr>
              <w:jc w:val="center"/>
            </w:pPr>
            <w:r>
              <w:rPr>
                <w:b/>
                <w:bCs/>
                <w:sz w:val="18"/>
                <w:szCs w:val="18"/>
              </w:rPr>
              <w:t xml:space="preserve">7</w:t>
            </w:r>
          </w:p>
        </w:tc>
        <w:tc>
          <w:tcPr>
            <w:tcW w:type="dxa" w:w="1500"/>
            <w:shd w:fill="F2F2F2" w:val="clear"/>
          </w:tcPr>
          <w:p>
            <w:pPr>
              <w:jc w:val="center"/>
            </w:pPr>
            <w:r>
              <w:rPr>
                <w:b/>
                <w:bCs/>
                <w:sz w:val="18"/>
                <w:szCs w:val="18"/>
              </w:rPr>
              <w:t xml:space="preserve">8</w:t>
            </w:r>
          </w:p>
        </w:tc>
      </w:tr>
      <w:tr>
        <w:tc>
          <w:tcPr>
            <w:tcW w:type="dxa" w:w="2400"/>
          </w:tcPr>
          <w:p>
            <w:pPr>
              <w:jc w:val="left"/>
            </w:pPr>
            <w:r>
              <w:rPr>
                <w:b w:val="false"/>
                <w:bCs w:val="false"/>
                <w:sz w:val="18"/>
                <w:szCs w:val="18"/>
              </w:rPr>
              <w:t xml:space="preserve">Gross requirements</w:t>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Scheduled receipts</w:t>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bCs/>
                <w:sz w:val="18"/>
                <w:szCs w:val="18"/>
              </w:rPr>
              <w:t xml:space="preserve">Projected available balance</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c>
          <w:tcPr>
            <w:tcW w:type="dxa" w:w="1500"/>
          </w:tcPr>
          <w:p>
            <w:pPr>
              <w:jc w:val="center"/>
            </w:pPr>
            <w:r>
              <w:rPr>
                <w:b/>
                <w:bCs/>
                <w:sz w:val="18"/>
                <w:szCs w:val="18"/>
              </w:rPr>
              <w:t xml:space="preserve">500</w:t>
            </w:r>
          </w:p>
        </w:tc>
      </w:tr>
      <w:tr>
        <w:tc>
          <w:tcPr>
            <w:tcW w:type="dxa" w:w="2400"/>
          </w:tcPr>
          <w:p>
            <w:pPr>
              <w:jc w:val="left"/>
            </w:pPr>
            <w:r>
              <w:rPr>
                <w:b w:val="false"/>
                <w:bCs w:val="false"/>
                <w:sz w:val="18"/>
                <w:szCs w:val="18"/>
              </w:rPr>
              <w:t xml:space="preserve">Net requirements</w:t>
            </w:r>
          </w:p>
        </w:tc>
        <w:tc>
          <w:tcPr>
            <w:tcW w:type="dxa" w:w="1500"/>
          </w:tcPr>
          <w:p>
            <w:pPr>
              <w:jc w:val="center"/>
            </w:pPr>
            <w:r>
              <w:rPr>
                <w:b w:val="false"/>
                <w:bCs w:val="false"/>
                <w:sz w:val="18"/>
                <w:szCs w:val="18"/>
              </w:rPr>
              <w:t xml:space="preserve">4404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4404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4404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receipts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releases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4904</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bl>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400"/>
            <w:gridSpan w:val="9"/>
            <w:shd w:fill="D9E1F2" w:val="clear"/>
          </w:tcPr>
          <w:p>
            <w:r>
              <w:rPr>
                <w:b/>
                <w:bCs/>
                <w:sz w:val="20"/>
                <w:szCs w:val="20"/>
              </w:rPr>
              <w:t xml:space="preserve">Item: P1X2    OH: 600    LT: 1 week(s)    Lot size (Q): 1839</w:t>
            </w:r>
          </w:p>
        </w:tc>
      </w:tr>
      <w:tr>
        <w:tc>
          <w:tcPr>
            <w:tcW w:type="dxa" w:w="2400"/>
            <w:shd w:fill="F2F2F2" w:val="clear"/>
          </w:tcPr>
          <w:p>
            <w:pPr>
              <w:jc w:val="center"/>
            </w:pPr>
            <w:r>
              <w:rPr>
                <w:b/>
                <w:bCs/>
                <w:sz w:val="18"/>
                <w:szCs w:val="18"/>
              </w:rPr>
              <w:t xml:space="preserve">Period</w:t>
            </w:r>
          </w:p>
        </w:tc>
        <w:tc>
          <w:tcPr>
            <w:tcW w:type="dxa" w:w="1500"/>
            <w:shd w:fill="F2F2F2" w:val="clear"/>
          </w:tcPr>
          <w:p>
            <w:pPr>
              <w:jc w:val="center"/>
            </w:pPr>
            <w:r>
              <w:rPr>
                <w:b/>
                <w:bCs/>
                <w:sz w:val="18"/>
                <w:szCs w:val="18"/>
              </w:rPr>
              <w:t xml:space="preserve">1</w:t>
            </w:r>
          </w:p>
        </w:tc>
        <w:tc>
          <w:tcPr>
            <w:tcW w:type="dxa" w:w="1500"/>
            <w:shd w:fill="F2F2F2" w:val="clear"/>
          </w:tcPr>
          <w:p>
            <w:pPr>
              <w:jc w:val="center"/>
            </w:pPr>
            <w:r>
              <w:rPr>
                <w:b/>
                <w:bCs/>
                <w:sz w:val="18"/>
                <w:szCs w:val="18"/>
              </w:rPr>
              <w:t xml:space="preserve">2</w:t>
            </w:r>
          </w:p>
        </w:tc>
        <w:tc>
          <w:tcPr>
            <w:tcW w:type="dxa" w:w="1500"/>
            <w:shd w:fill="F2F2F2" w:val="clear"/>
          </w:tcPr>
          <w:p>
            <w:pPr>
              <w:jc w:val="center"/>
            </w:pPr>
            <w:r>
              <w:rPr>
                <w:b/>
                <w:bCs/>
                <w:sz w:val="18"/>
                <w:szCs w:val="18"/>
              </w:rPr>
              <w:t xml:space="preserve">3</w:t>
            </w:r>
          </w:p>
        </w:tc>
        <w:tc>
          <w:tcPr>
            <w:tcW w:type="dxa" w:w="1500"/>
            <w:shd w:fill="F2F2F2" w:val="clear"/>
          </w:tcPr>
          <w:p>
            <w:pPr>
              <w:jc w:val="center"/>
            </w:pPr>
            <w:r>
              <w:rPr>
                <w:b/>
                <w:bCs/>
                <w:sz w:val="18"/>
                <w:szCs w:val="18"/>
              </w:rPr>
              <w:t xml:space="preserve">4</w:t>
            </w:r>
          </w:p>
        </w:tc>
        <w:tc>
          <w:tcPr>
            <w:tcW w:type="dxa" w:w="1500"/>
            <w:shd w:fill="F2F2F2" w:val="clear"/>
          </w:tcPr>
          <w:p>
            <w:pPr>
              <w:jc w:val="center"/>
            </w:pPr>
            <w:r>
              <w:rPr>
                <w:b/>
                <w:bCs/>
                <w:sz w:val="18"/>
                <w:szCs w:val="18"/>
              </w:rPr>
              <w:t xml:space="preserve">5</w:t>
            </w:r>
          </w:p>
        </w:tc>
        <w:tc>
          <w:tcPr>
            <w:tcW w:type="dxa" w:w="1500"/>
            <w:shd w:fill="F2F2F2" w:val="clear"/>
          </w:tcPr>
          <w:p>
            <w:pPr>
              <w:jc w:val="center"/>
            </w:pPr>
            <w:r>
              <w:rPr>
                <w:b/>
                <w:bCs/>
                <w:sz w:val="18"/>
                <w:szCs w:val="18"/>
              </w:rPr>
              <w:t xml:space="preserve">6</w:t>
            </w:r>
          </w:p>
        </w:tc>
        <w:tc>
          <w:tcPr>
            <w:tcW w:type="dxa" w:w="1500"/>
            <w:shd w:fill="F2F2F2" w:val="clear"/>
          </w:tcPr>
          <w:p>
            <w:pPr>
              <w:jc w:val="center"/>
            </w:pPr>
            <w:r>
              <w:rPr>
                <w:b/>
                <w:bCs/>
                <w:sz w:val="18"/>
                <w:szCs w:val="18"/>
              </w:rPr>
              <w:t xml:space="preserve">7</w:t>
            </w:r>
          </w:p>
        </w:tc>
        <w:tc>
          <w:tcPr>
            <w:tcW w:type="dxa" w:w="1500"/>
            <w:shd w:fill="F2F2F2" w:val="clear"/>
          </w:tcPr>
          <w:p>
            <w:pPr>
              <w:jc w:val="center"/>
            </w:pPr>
            <w:r>
              <w:rPr>
                <w:b/>
                <w:bCs/>
                <w:sz w:val="18"/>
                <w:szCs w:val="18"/>
              </w:rPr>
              <w:t xml:space="preserve">8</w:t>
            </w:r>
          </w:p>
        </w:tc>
      </w:tr>
      <w:tr>
        <w:tc>
          <w:tcPr>
            <w:tcW w:type="dxa" w:w="2400"/>
          </w:tcPr>
          <w:p>
            <w:pPr>
              <w:jc w:val="left"/>
            </w:pPr>
            <w:r>
              <w:rPr>
                <w:b w:val="false"/>
                <w:bCs w:val="false"/>
                <w:sz w:val="18"/>
                <w:szCs w:val="18"/>
              </w:rPr>
              <w:t xml:space="preserve">Gross requirements</w:t>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Scheduled receipts</w:t>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bCs/>
                <w:sz w:val="18"/>
                <w:szCs w:val="18"/>
              </w:rPr>
              <w:t xml:space="preserve">Projected available balance</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c>
          <w:tcPr>
            <w:tcW w:type="dxa" w:w="1500"/>
          </w:tcPr>
          <w:p>
            <w:pPr>
              <w:jc w:val="center"/>
            </w:pPr>
            <w:r>
              <w:rPr>
                <w:b/>
                <w:bCs/>
                <w:sz w:val="18"/>
                <w:szCs w:val="18"/>
              </w:rPr>
              <w:t xml:space="preserve">600</w:t>
            </w:r>
          </w:p>
        </w:tc>
      </w:tr>
      <w:tr>
        <w:tc>
          <w:tcPr>
            <w:tcW w:type="dxa" w:w="2400"/>
          </w:tcPr>
          <w:p>
            <w:pPr>
              <w:jc w:val="left"/>
            </w:pPr>
            <w:r>
              <w:rPr>
                <w:b w:val="false"/>
                <w:bCs w:val="false"/>
                <w:sz w:val="18"/>
                <w:szCs w:val="18"/>
              </w:rPr>
              <w:t xml:space="preserve">Net requirements</w:t>
            </w:r>
          </w:p>
        </w:tc>
        <w:tc>
          <w:tcPr>
            <w:tcW w:type="dxa" w:w="1500"/>
          </w:tcPr>
          <w:p>
            <w:pPr>
              <w:jc w:val="center"/>
            </w:pPr>
            <w:r>
              <w:rPr>
                <w:b w:val="false"/>
                <w:bCs w:val="false"/>
                <w:sz w:val="18"/>
                <w:szCs w:val="18"/>
              </w:rPr>
              <w:t xml:space="preserve">3078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3078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3078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receipts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r>
        <w:tc>
          <w:tcPr>
            <w:tcW w:type="dxa" w:w="2400"/>
          </w:tcPr>
          <w:p>
            <w:pPr>
              <w:jc w:val="left"/>
            </w:pPr>
            <w:r>
              <w:rPr>
                <w:b w:val="false"/>
                <w:bCs w:val="false"/>
                <w:sz w:val="18"/>
                <w:szCs w:val="18"/>
              </w:rPr>
              <w:t xml:space="preserve">Planned order releases</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3678</w:t>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c>
          <w:tcPr>
            <w:tcW w:type="dxa" w:w="1500"/>
          </w:tcPr>
          <w:p>
            <w:pPr>
              <w:jc w:val="center"/>
            </w:pPr>
            <w:r>
              <w:rPr>
                <w:b w:val="false"/>
                <w:bCs w:val="false"/>
                <w:sz w:val="18"/>
                <w:szCs w:val="18"/>
              </w:rPr>
              <w:t xml:space="preserve"/>
            </w:r>
          </w:p>
        </w:tc>
      </w:tr>
    </w:tbl>
    <w:p/>
    <w:p>
      <w:pPr>
        <w:pStyle w:val="Heading1"/>
      </w:pPr>
      <w:r>
        <w:t xml:space="preserve">3. Short Interpretation</w:t>
      </w:r>
    </w:p>
    <w:p>
      <w:r>
        <w:t xml:space="preserve">Treating the Week 1 shortfall as a scheduled receipt already in hand, rather than as a planned order released before the start of the horizon, allows every item to begin the plan with the necessary supply already available. This is a reasonable simplifying assumption, though it does not reveal how that initial batch was actually authorized. The item most worth flagging to Ratnaparkhi is P0Y: its fixed lot size of 1,839 units considerably exceeds the recurring requirement of 1,226 units, so a single order frequently covers more than one period's need, leaving inventory as high as 1,566 units unused for extended stretches of the plan. P1X1 and P1X2 exhibit a similar, though smaller, pattern. Before approving this plan, Menon should question whether the large fixed lot sizes, presumably adopted to reduce the frequency of set-up costs, justify the additional carrying cost they generate, particularly given that A-CAT already entered this planning cycle with higher-than-normal inventory levels.</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2026-09-08T14:59:13.685Z</dcterms:created>
  <dcterms:modified xsi:type="dcterms:W3CDTF">2026-09-08T14:59:13.700Z</dcterms:modified>
</cp:coreProperties>
</file>

<file path=docProps/custom.xml><?xml version="1.0" encoding="utf-8"?>
<Properties xmlns="http://schemas.openxmlformats.org/officeDocument/2006/custom-properties" xmlns:vt="http://schemas.openxmlformats.org/officeDocument/2006/docPropsVTypes"/>
</file>