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Liz Motor Corp.: Capital Budgeting for an ESG Project</w:t>
      </w:r>
    </w:p>
    <w:p>
      <w:pPr>
        <w:spacing w:after="300"/>
        <w:jc w:val="center"/>
      </w:pPr>
      <w:r>
        <w:rPr>
          <w:i/>
          <w:iCs/>
          <w:color w:val="555555"/>
          <w:sz w:val="22"/>
          <w:szCs w:val="22"/>
        </w:rPr>
        <w:t xml:space="preserve">Ivey Case W32397 — Answers to the Assigned Questions</w:t>
      </w:r>
    </w:p>
    <w:p>
      <w:pPr>
        <w:pStyle w:val="Heading1"/>
        <w:spacing w:after="100" w:before="320"/>
      </w:pPr>
      <w:r>
        <w:t xml:space="preserve">Question 1 — Qualitative Assessment: Is Liz Well Positioned for Success?</w:t>
      </w:r>
    </w:p>
    <w:p>
      <w:pPr>
        <w:pStyle w:val="Heading2"/>
        <w:spacing w:after="80" w:before="240"/>
      </w:pPr>
      <w:r>
        <w:t xml:space="preserve">Strengths</w:t>
      </w:r>
    </w:p>
    <w:p>
      <w:pPr>
        <w:pStyle w:val="ListParagraph"/>
        <w:numPr>
          <w:ilvl w:val="0"/>
          <w:numId w:val="1"/>
        </w:numPr>
        <w:spacing w:after="60"/>
      </w:pPr>
      <w:r>
        <w:t xml:space="preserve">Liz has aspired to EV market leadership since its 2012 founding and has expanded from cars into battery-powered buses and trucks, with healthy sales growth over the past four years driven by younger consumers' interest in its compact and sports cars.</w:t>
      </w:r>
    </w:p>
    <w:p>
      <w:pPr>
        <w:pStyle w:val="ListParagraph"/>
        <w:numPr>
          <w:ilvl w:val="0"/>
          <w:numId w:val="1"/>
        </w:numPr>
        <w:spacing w:after="60"/>
      </w:pPr>
      <w:r>
        <w:t xml:space="preserve">As a young company, Liz is structurally lighter than legacy automakers: it has no extensive dealer network, no entrenched labour unions, and no legacy fuel-powered business it must protect while transitioning — incumbents can't simply walk away from the business that still generates most of their revenue.</w:t>
      </w:r>
    </w:p>
    <w:p>
      <w:pPr>
        <w:pStyle w:val="ListParagraph"/>
        <w:numPr>
          <w:ilvl w:val="0"/>
          <w:numId w:val="1"/>
        </w:numPr>
        <w:spacing w:after="60"/>
      </w:pPr>
      <w:r>
        <w:t xml:space="preserve">Liz is investing heavily in a modular EV production platform across factories in the US, Canada, and China, and has secured $3.5 billion in financing over the next three years to launch 20 new EV models by 2027.</w:t>
      </w:r>
    </w:p>
    <w:p>
      <w:pPr>
        <w:pStyle w:val="ListParagraph"/>
        <w:numPr>
          <w:ilvl w:val="0"/>
          <w:numId w:val="1"/>
        </w:numPr>
        <w:spacing w:after="60"/>
      </w:pPr>
      <w:r>
        <w:t xml:space="preserve">Liz surprised the market by announcing it will manufacture its own batteries for its entire EV line-up — vertical integration that, combined with first-mover use of solid-state battery technology, could be a genuine differentiator (a 39% cut in battery-related carbon footprint) at large scale, ahead of any major competitor.</w:t>
      </w:r>
    </w:p>
    <w:p>
      <w:pPr>
        <w:pStyle w:val="ListParagraph"/>
        <w:numPr>
          <w:ilvl w:val="0"/>
          <w:numId w:val="1"/>
        </w:numPr>
        <w:spacing w:after="60"/>
      </w:pPr>
      <w:r>
        <w:t xml:space="preserve">Regulatory tailwinds favour EV investment broadly: the US has pledged to halve greenhouse-gas emissions by 2030, the EU has proposed a 55% CO2 cut by 2030 (and a further 100% cut over the following five years, making fossil-fuel vehicle sales in the EU nearly impossible by 2035), and China has pledged carbon neutrality by 2060.</w:t>
      </w:r>
    </w:p>
    <w:p>
      <w:pPr>
        <w:pStyle w:val="Heading2"/>
        <w:spacing w:after="80" w:before="240"/>
      </w:pPr>
      <w:r>
        <w:t xml:space="preserve">Weaknesses / Risks</w:t>
      </w:r>
    </w:p>
    <w:p>
      <w:pPr>
        <w:pStyle w:val="ListParagraph"/>
        <w:numPr>
          <w:ilvl w:val="0"/>
          <w:numId w:val="1"/>
        </w:numPr>
        <w:spacing w:after="60"/>
      </w:pPr>
      <w:r>
        <w:t xml:space="preserve">Liz's sales growth is decelerating sharply — from 26% in 2021 to 17% in 2022 — as the EV market becomes crowded with legacy automakers adding EVs to their line-ups, eroding Liz's early advantage.</w:t>
      </w:r>
    </w:p>
    <w:p>
      <w:pPr>
        <w:pStyle w:val="ListParagraph"/>
        <w:numPr>
          <w:ilvl w:val="0"/>
          <w:numId w:val="1"/>
        </w:numPr>
        <w:spacing w:after="60"/>
      </w:pPr>
      <w:r>
        <w:t xml:space="preserve">Liz's ESG rankings for 2022 were weak enough to drop the stock price 6.2% in a single reaction, prompting the board to demand a 'quick turnaround' — ESG has become a live strategic vulnerability, not a side issue.</w:t>
      </w:r>
    </w:p>
    <w:p>
      <w:pPr>
        <w:pStyle w:val="ListParagraph"/>
        <w:numPr>
          <w:ilvl w:val="0"/>
          <w:numId w:val="1"/>
        </w:numPr>
        <w:spacing w:after="60"/>
      </w:pPr>
      <w:r>
        <w:t xml:space="preserve">The $3.5 billion financing commitment plus this project's own $800M+ up-front outlay represent very high capital intensity and execution risk, and solid-state battery technology is unproven at scale — Liz would be the first major automaker to deploy it, with no track record to rely on.</w:t>
      </w:r>
    </w:p>
    <w:p>
      <w:pPr>
        <w:pStyle w:val="ListParagraph"/>
        <w:numPr>
          <w:ilvl w:val="0"/>
          <w:numId w:val="1"/>
        </w:numPr>
        <w:spacing w:after="60"/>
      </w:pPr>
      <w:r>
        <w:t xml:space="preserve">Liz is exposed to interest-rate risk (a Fed rate hike raises its cost of debt, as Scenario (a) shows) and competitive/technology risk (rival automakers or a hydrogen breakthrough could erode the project's returns, as Scenario (f) shows).</w:t>
      </w:r>
    </w:p>
    <w:p>
      <w:pPr>
        <w:spacing w:after="120"/>
      </w:pPr>
      <w:r>
        <w:rPr>
          <w:b/>
          <w:bCs/>
          <w:color w:val="1F4E78"/>
        </w:rPr>
        <w:t xml:space="preserve">Assessment: </w:t>
      </w:r>
      <w:r>
        <w:t xml:space="preserve">Liz is reasonably well positioned, but not comfortably so. Its structural advantages over legacy automakers (no legacy business to protect, secured financing, vertical integration into batteries) and the regulatory tailwind behind EVs are real. But the two things that made Liz distinctive — fast growth and a clean ESG story — are both under active pressure: growth is decelerating as the market crowds, and the 2022 ESG rankings triggered a genuine market reaction. The solid-state battery project is a direct response to both problems at once, which is exactly why it is strategically significant even before the DCF numbers are examined.</w:t>
      </w:r>
    </w:p>
    <w:p>
      <w:pPr>
        <w:pStyle w:val="Heading1"/>
        <w:spacing w:after="100" w:before="320"/>
      </w:pPr>
      <w:r>
        <w:t xml:space="preserve">Question 2 — What Hurdle Rate Should Be Used?</w:t>
      </w:r>
    </w:p>
    <w:p>
      <w:pPr>
        <w:spacing w:after="120"/>
      </w:pPr>
      <w:r>
        <w:t xml:space="preserve">Anthony is financing this specific project with debt, and the case states its after-tax cost of debt directly: 8% in the base case (falling to 7.5% with a green bond, or rising to 8.5% if the Fed keeps raising rates). Because the case ties this project's financing to debt and gives no information about Liz's cost of equity, beta, or target capital structure, the after-tax cost of debt — 8% — is the hurdle rate used throughout this analysis, consistent with how the case itself frames it ("the cash flows and the hurdle rate given above...").</w:t>
      </w:r>
    </w:p>
    <w:p>
      <w:pPr>
        <w:spacing w:after="120"/>
      </w:pPr>
      <w:r>
        <w:rPr>
          <w:b/>
          <w:bCs/>
          <w:color w:val="1F4E78"/>
        </w:rPr>
        <w:t xml:space="preserve">A caveat worth flagging to the board: </w:t>
      </w:r>
      <w:r>
        <w:t xml:space="preserve">per the WACC methodology in the course material, WACC = (E/V) × Ke + (D/V) × Kd × (1 − T) is the theoretically correct discount rate for a project of average firm risk, and equity is virtually always priced above the cost of debt. If Liz does not finance its overall capital budget entirely with debt, using only the after-tax cost of debt as the hurdle rate is a conservative, project-specific choice — it may understate the true risk-adjusted return the project needs to clear. The 8% (7.5%–8.5%) figures used below should be read as the rate for this debt-financed project specifically, not as Liz's corporate WACC.</w:t>
      </w:r>
    </w:p>
    <w:p>
      <w:pPr>
        <w:pStyle w:val="Heading1"/>
        <w:spacing w:after="100" w:before="320"/>
      </w:pPr>
      <w:r>
        <w:t xml:space="preserve">Question 3 — Base Model: Cash Flows, NPV, Payback, IRR, PI</w:t>
      </w:r>
    </w:p>
    <w:p>
      <w:pPr>
        <w:spacing w:after="120"/>
      </w:pPr>
      <w:r>
        <w:t xml:space="preserve">Exhibit 1 of the case gives the cash-flow timeline for 2023–2035. Treating 2023 as time 0 (the investment decision date):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180"/>
        <w:gridCol w:w="620"/>
        <w:gridCol w:w="620"/>
        <w:gridCol w:w="620"/>
        <w:gridCol w:w="620"/>
        <w:gridCol w:w="620"/>
        <w:gridCol w:w="620"/>
        <w:gridCol w:w="620"/>
        <w:gridCol w:w="620"/>
        <w:gridCol w:w="620"/>
        <w:gridCol w:w="620"/>
        <w:gridCol w:w="620"/>
        <w:gridCol w:w="620"/>
        <w:gridCol w:w="620"/>
      </w:tblGrid>
      <w:tr>
        <w:tc>
          <w:tcPr>
            <w:tcW w:type="dxa" w:w="1180"/>
            <w:shd w:fill="DCE6F1" w:val="clear"/>
            <w:vAlign w:val="center"/>
          </w:tcPr>
          <w:p>
            <w:pPr>
              <w:jc w:val="center"/>
            </w:pPr>
            <w:r>
              <w:rPr>
                <w:b/>
                <w:bCs/>
                <w:sz w:val="20"/>
                <w:szCs w:val="20"/>
              </w:rPr>
              <w:t xml:space="preserve">Year</w:t>
            </w:r>
          </w:p>
        </w:tc>
        <w:tc>
          <w:tcPr>
            <w:tcW w:type="dxa" w:w="620"/>
            <w:shd w:fill="DCE6F1" w:val="clear"/>
            <w:vAlign w:val="center"/>
          </w:tcPr>
          <w:p>
            <w:pPr>
              <w:jc w:val="center"/>
            </w:pPr>
            <w:r>
              <w:rPr>
                <w:b/>
                <w:bCs/>
                <w:sz w:val="20"/>
                <w:szCs w:val="20"/>
              </w:rPr>
              <w:t xml:space="preserve">2023</w:t>
            </w:r>
          </w:p>
        </w:tc>
        <w:tc>
          <w:tcPr>
            <w:tcW w:type="dxa" w:w="620"/>
            <w:shd w:fill="DCE6F1" w:val="clear"/>
            <w:vAlign w:val="center"/>
          </w:tcPr>
          <w:p>
            <w:pPr>
              <w:jc w:val="center"/>
            </w:pPr>
            <w:r>
              <w:rPr>
                <w:b/>
                <w:bCs/>
                <w:sz w:val="20"/>
                <w:szCs w:val="20"/>
              </w:rPr>
              <w:t xml:space="preserve">2024</w:t>
            </w:r>
          </w:p>
        </w:tc>
        <w:tc>
          <w:tcPr>
            <w:tcW w:type="dxa" w:w="620"/>
            <w:shd w:fill="DCE6F1" w:val="clear"/>
            <w:vAlign w:val="center"/>
          </w:tcPr>
          <w:p>
            <w:pPr>
              <w:jc w:val="center"/>
            </w:pPr>
            <w:r>
              <w:rPr>
                <w:b/>
                <w:bCs/>
                <w:sz w:val="20"/>
                <w:szCs w:val="20"/>
              </w:rPr>
              <w:t xml:space="preserve">2025</w:t>
            </w:r>
          </w:p>
        </w:tc>
        <w:tc>
          <w:tcPr>
            <w:tcW w:type="dxa" w:w="620"/>
            <w:shd w:fill="DCE6F1" w:val="clear"/>
            <w:vAlign w:val="center"/>
          </w:tcPr>
          <w:p>
            <w:pPr>
              <w:jc w:val="center"/>
            </w:pPr>
            <w:r>
              <w:rPr>
                <w:b/>
                <w:bCs/>
                <w:sz w:val="20"/>
                <w:szCs w:val="20"/>
              </w:rPr>
              <w:t xml:space="preserve">2026</w:t>
            </w:r>
          </w:p>
        </w:tc>
        <w:tc>
          <w:tcPr>
            <w:tcW w:type="dxa" w:w="620"/>
            <w:shd w:fill="DCE6F1" w:val="clear"/>
            <w:vAlign w:val="center"/>
          </w:tcPr>
          <w:p>
            <w:pPr>
              <w:jc w:val="center"/>
            </w:pPr>
            <w:r>
              <w:rPr>
                <w:b/>
                <w:bCs/>
                <w:sz w:val="20"/>
                <w:szCs w:val="20"/>
              </w:rPr>
              <w:t xml:space="preserve">2027</w:t>
            </w:r>
          </w:p>
        </w:tc>
        <w:tc>
          <w:tcPr>
            <w:tcW w:type="dxa" w:w="620"/>
            <w:shd w:fill="DCE6F1" w:val="clear"/>
            <w:vAlign w:val="center"/>
          </w:tcPr>
          <w:p>
            <w:pPr>
              <w:jc w:val="center"/>
            </w:pPr>
            <w:r>
              <w:rPr>
                <w:b/>
                <w:bCs/>
                <w:sz w:val="20"/>
                <w:szCs w:val="20"/>
              </w:rPr>
              <w:t xml:space="preserve">2028</w:t>
            </w:r>
          </w:p>
        </w:tc>
        <w:tc>
          <w:tcPr>
            <w:tcW w:type="dxa" w:w="620"/>
            <w:shd w:fill="DCE6F1" w:val="clear"/>
            <w:vAlign w:val="center"/>
          </w:tcPr>
          <w:p>
            <w:pPr>
              <w:jc w:val="center"/>
            </w:pPr>
            <w:r>
              <w:rPr>
                <w:b/>
                <w:bCs/>
                <w:sz w:val="20"/>
                <w:szCs w:val="20"/>
              </w:rPr>
              <w:t xml:space="preserve">2029</w:t>
            </w:r>
          </w:p>
        </w:tc>
        <w:tc>
          <w:tcPr>
            <w:tcW w:type="dxa" w:w="620"/>
            <w:shd w:fill="DCE6F1" w:val="clear"/>
            <w:vAlign w:val="center"/>
          </w:tcPr>
          <w:p>
            <w:pPr>
              <w:jc w:val="center"/>
            </w:pPr>
            <w:r>
              <w:rPr>
                <w:b/>
                <w:bCs/>
                <w:sz w:val="20"/>
                <w:szCs w:val="20"/>
              </w:rPr>
              <w:t xml:space="preserve">2030</w:t>
            </w:r>
          </w:p>
        </w:tc>
        <w:tc>
          <w:tcPr>
            <w:tcW w:type="dxa" w:w="620"/>
            <w:shd w:fill="DCE6F1" w:val="clear"/>
            <w:vAlign w:val="center"/>
          </w:tcPr>
          <w:p>
            <w:pPr>
              <w:jc w:val="center"/>
            </w:pPr>
            <w:r>
              <w:rPr>
                <w:b/>
                <w:bCs/>
                <w:sz w:val="20"/>
                <w:szCs w:val="20"/>
              </w:rPr>
              <w:t xml:space="preserve">2031</w:t>
            </w:r>
          </w:p>
        </w:tc>
        <w:tc>
          <w:tcPr>
            <w:tcW w:type="dxa" w:w="620"/>
            <w:shd w:fill="DCE6F1" w:val="clear"/>
            <w:vAlign w:val="center"/>
          </w:tcPr>
          <w:p>
            <w:pPr>
              <w:jc w:val="center"/>
            </w:pPr>
            <w:r>
              <w:rPr>
                <w:b/>
                <w:bCs/>
                <w:sz w:val="20"/>
                <w:szCs w:val="20"/>
              </w:rPr>
              <w:t xml:space="preserve">2032</w:t>
            </w:r>
          </w:p>
        </w:tc>
        <w:tc>
          <w:tcPr>
            <w:tcW w:type="dxa" w:w="620"/>
            <w:shd w:fill="DCE6F1" w:val="clear"/>
            <w:vAlign w:val="center"/>
          </w:tcPr>
          <w:p>
            <w:pPr>
              <w:jc w:val="center"/>
            </w:pPr>
            <w:r>
              <w:rPr>
                <w:b/>
                <w:bCs/>
                <w:sz w:val="20"/>
                <w:szCs w:val="20"/>
              </w:rPr>
              <w:t xml:space="preserve">2033</w:t>
            </w:r>
          </w:p>
        </w:tc>
        <w:tc>
          <w:tcPr>
            <w:tcW w:type="dxa" w:w="620"/>
            <w:shd w:fill="DCE6F1" w:val="clear"/>
            <w:vAlign w:val="center"/>
          </w:tcPr>
          <w:p>
            <w:pPr>
              <w:jc w:val="center"/>
            </w:pPr>
            <w:r>
              <w:rPr>
                <w:b/>
                <w:bCs/>
                <w:sz w:val="20"/>
                <w:szCs w:val="20"/>
              </w:rPr>
              <w:t xml:space="preserve">2034</w:t>
            </w:r>
          </w:p>
        </w:tc>
        <w:tc>
          <w:tcPr>
            <w:tcW w:type="dxa" w:w="620"/>
            <w:shd w:fill="DCE6F1" w:val="clear"/>
            <w:vAlign w:val="center"/>
          </w:tcPr>
          <w:p>
            <w:pPr>
              <w:jc w:val="center"/>
            </w:pPr>
            <w:r>
              <w:rPr>
                <w:b/>
                <w:bCs/>
                <w:sz w:val="20"/>
                <w:szCs w:val="20"/>
              </w:rPr>
              <w:t xml:space="preserve">2035</w:t>
            </w:r>
          </w:p>
        </w:tc>
      </w:tr>
      <w:tr>
        <w:tc>
          <w:tcPr>
            <w:tcW w:type="dxa" w:w="1180"/>
            <w:vAlign w:val="center"/>
          </w:tcPr>
          <w:p>
            <w:pPr>
              <w:jc w:val="left"/>
            </w:pPr>
            <w:r>
              <w:rPr>
                <w:b w:val="false"/>
                <w:bCs w:val="false"/>
                <w:sz w:val="20"/>
                <w:szCs w:val="20"/>
              </w:rPr>
              <w:t xml:space="preserve">Period (t)</w:t>
            </w:r>
          </w:p>
        </w:tc>
        <w:tc>
          <w:tcPr>
            <w:tcW w:type="dxa" w:w="620"/>
            <w:vAlign w:val="center"/>
          </w:tcPr>
          <w:p>
            <w:pPr>
              <w:jc w:val="center"/>
            </w:pPr>
            <w:r>
              <w:rPr>
                <w:b w:val="false"/>
                <w:bCs w:val="false"/>
                <w:sz w:val="20"/>
                <w:szCs w:val="20"/>
              </w:rPr>
              <w:t xml:space="preserve">0</w:t>
            </w:r>
          </w:p>
        </w:tc>
        <w:tc>
          <w:tcPr>
            <w:tcW w:type="dxa" w:w="620"/>
            <w:vAlign w:val="center"/>
          </w:tcPr>
          <w:p>
            <w:pPr>
              <w:jc w:val="center"/>
            </w:pPr>
            <w:r>
              <w:rPr>
                <w:b w:val="false"/>
                <w:bCs w:val="false"/>
                <w:sz w:val="20"/>
                <w:szCs w:val="20"/>
              </w:rPr>
              <w:t xml:space="preserve">1</w:t>
            </w:r>
          </w:p>
        </w:tc>
        <w:tc>
          <w:tcPr>
            <w:tcW w:type="dxa" w:w="620"/>
            <w:vAlign w:val="center"/>
          </w:tcPr>
          <w:p>
            <w:pPr>
              <w:jc w:val="center"/>
            </w:pPr>
            <w:r>
              <w:rPr>
                <w:b w:val="false"/>
                <w:bCs w:val="false"/>
                <w:sz w:val="20"/>
                <w:szCs w:val="20"/>
              </w:rPr>
              <w:t xml:space="preserve">2</w:t>
            </w:r>
          </w:p>
        </w:tc>
        <w:tc>
          <w:tcPr>
            <w:tcW w:type="dxa" w:w="620"/>
            <w:vAlign w:val="center"/>
          </w:tcPr>
          <w:p>
            <w:pPr>
              <w:jc w:val="center"/>
            </w:pPr>
            <w:r>
              <w:rPr>
                <w:b w:val="false"/>
                <w:bCs w:val="false"/>
                <w:sz w:val="20"/>
                <w:szCs w:val="20"/>
              </w:rPr>
              <w:t xml:space="preserve">3</w:t>
            </w:r>
          </w:p>
        </w:tc>
        <w:tc>
          <w:tcPr>
            <w:tcW w:type="dxa" w:w="620"/>
            <w:vAlign w:val="center"/>
          </w:tcPr>
          <w:p>
            <w:pPr>
              <w:jc w:val="center"/>
            </w:pPr>
            <w:r>
              <w:rPr>
                <w:b w:val="false"/>
                <w:bCs w:val="false"/>
                <w:sz w:val="20"/>
                <w:szCs w:val="20"/>
              </w:rPr>
              <w:t xml:space="preserve">4</w:t>
            </w:r>
          </w:p>
        </w:tc>
        <w:tc>
          <w:tcPr>
            <w:tcW w:type="dxa" w:w="620"/>
            <w:vAlign w:val="center"/>
          </w:tcPr>
          <w:p>
            <w:pPr>
              <w:jc w:val="center"/>
            </w:pPr>
            <w:r>
              <w:rPr>
                <w:b w:val="false"/>
                <w:bCs w:val="false"/>
                <w:sz w:val="20"/>
                <w:szCs w:val="20"/>
              </w:rPr>
              <w:t xml:space="preserve">5</w:t>
            </w:r>
          </w:p>
        </w:tc>
        <w:tc>
          <w:tcPr>
            <w:tcW w:type="dxa" w:w="620"/>
            <w:vAlign w:val="center"/>
          </w:tcPr>
          <w:p>
            <w:pPr>
              <w:jc w:val="center"/>
            </w:pPr>
            <w:r>
              <w:rPr>
                <w:b w:val="false"/>
                <w:bCs w:val="false"/>
                <w:sz w:val="20"/>
                <w:szCs w:val="20"/>
              </w:rPr>
              <w:t xml:space="preserve">6</w:t>
            </w:r>
          </w:p>
        </w:tc>
        <w:tc>
          <w:tcPr>
            <w:tcW w:type="dxa" w:w="620"/>
            <w:vAlign w:val="center"/>
          </w:tcPr>
          <w:p>
            <w:pPr>
              <w:jc w:val="center"/>
            </w:pPr>
            <w:r>
              <w:rPr>
                <w:b w:val="false"/>
                <w:bCs w:val="false"/>
                <w:sz w:val="20"/>
                <w:szCs w:val="20"/>
              </w:rPr>
              <w:t xml:space="preserve">7</w:t>
            </w:r>
          </w:p>
        </w:tc>
        <w:tc>
          <w:tcPr>
            <w:tcW w:type="dxa" w:w="620"/>
            <w:vAlign w:val="center"/>
          </w:tcPr>
          <w:p>
            <w:pPr>
              <w:jc w:val="center"/>
            </w:pPr>
            <w:r>
              <w:rPr>
                <w:b w:val="false"/>
                <w:bCs w:val="false"/>
                <w:sz w:val="20"/>
                <w:szCs w:val="20"/>
              </w:rPr>
              <w:t xml:space="preserve">8</w:t>
            </w:r>
          </w:p>
        </w:tc>
        <w:tc>
          <w:tcPr>
            <w:tcW w:type="dxa" w:w="620"/>
            <w:vAlign w:val="center"/>
          </w:tcPr>
          <w:p>
            <w:pPr>
              <w:jc w:val="center"/>
            </w:pPr>
            <w:r>
              <w:rPr>
                <w:b w:val="false"/>
                <w:bCs w:val="false"/>
                <w:sz w:val="20"/>
                <w:szCs w:val="20"/>
              </w:rPr>
              <w:t xml:space="preserve">9</w:t>
            </w:r>
          </w:p>
        </w:tc>
        <w:tc>
          <w:tcPr>
            <w:tcW w:type="dxa" w:w="620"/>
            <w:vAlign w:val="center"/>
          </w:tcPr>
          <w:p>
            <w:pPr>
              <w:jc w:val="center"/>
            </w:pPr>
            <w:r>
              <w:rPr>
                <w:b w:val="false"/>
                <w:bCs w:val="false"/>
                <w:sz w:val="20"/>
                <w:szCs w:val="20"/>
              </w:rPr>
              <w:t xml:space="preserve">10</w:t>
            </w:r>
          </w:p>
        </w:tc>
        <w:tc>
          <w:tcPr>
            <w:tcW w:type="dxa" w:w="620"/>
            <w:vAlign w:val="center"/>
          </w:tcPr>
          <w:p>
            <w:pPr>
              <w:jc w:val="center"/>
            </w:pPr>
            <w:r>
              <w:rPr>
                <w:b w:val="false"/>
                <w:bCs w:val="false"/>
                <w:sz w:val="20"/>
                <w:szCs w:val="20"/>
              </w:rPr>
              <w:t xml:space="preserve">11</w:t>
            </w:r>
          </w:p>
        </w:tc>
        <w:tc>
          <w:tcPr>
            <w:tcW w:type="dxa" w:w="620"/>
            <w:vAlign w:val="center"/>
          </w:tcPr>
          <w:p>
            <w:pPr>
              <w:jc w:val="center"/>
            </w:pPr>
            <w:r>
              <w:rPr>
                <w:b w:val="false"/>
                <w:bCs w:val="false"/>
                <w:sz w:val="20"/>
                <w:szCs w:val="20"/>
              </w:rPr>
              <w:t xml:space="preserve">12</w:t>
            </w:r>
          </w:p>
        </w:tc>
      </w:tr>
      <w:tr>
        <w:tc>
          <w:tcPr>
            <w:tcW w:type="dxa" w:w="1180"/>
            <w:vAlign w:val="center"/>
          </w:tcPr>
          <w:p>
            <w:pPr>
              <w:jc w:val="left"/>
            </w:pPr>
            <w:r>
              <w:rPr>
                <w:b w:val="false"/>
                <w:bCs w:val="false"/>
                <w:sz w:val="20"/>
                <w:szCs w:val="20"/>
              </w:rPr>
              <w:t xml:space="preserve">Cash flow ($M)</w:t>
            </w:r>
          </w:p>
        </w:tc>
        <w:tc>
          <w:tcPr>
            <w:tcW w:type="dxa" w:w="620"/>
            <w:vAlign w:val="center"/>
          </w:tcPr>
          <w:p>
            <w:pPr>
              <w:jc w:val="center"/>
            </w:pPr>
            <w:r>
              <w:rPr>
                <w:b w:val="false"/>
                <w:bCs w:val="false"/>
                <w:sz w:val="20"/>
                <w:szCs w:val="20"/>
              </w:rPr>
              <w:t xml:space="preserve">-800</w:t>
            </w:r>
          </w:p>
        </w:tc>
        <w:tc>
          <w:tcPr>
            <w:tcW w:type="dxa" w:w="620"/>
            <w:vAlign w:val="center"/>
          </w:tcPr>
          <w:p>
            <w:pPr>
              <w:jc w:val="center"/>
            </w:pPr>
            <w:r>
              <w:rPr>
                <w:b w:val="false"/>
                <w:bCs w:val="false"/>
                <w:sz w:val="20"/>
                <w:szCs w:val="20"/>
              </w:rPr>
              <w:t xml:space="preserve">-20</w:t>
            </w:r>
          </w:p>
        </w:tc>
        <w:tc>
          <w:tcPr>
            <w:tcW w:type="dxa" w:w="620"/>
            <w:vAlign w:val="center"/>
          </w:tcPr>
          <w:p>
            <w:pPr>
              <w:jc w:val="center"/>
            </w:pPr>
            <w:r>
              <w:rPr>
                <w:b w:val="false"/>
                <w:bCs w:val="false"/>
                <w:sz w:val="20"/>
                <w:szCs w:val="20"/>
              </w:rPr>
              <w:t xml:space="preserve">-20</w:t>
            </w:r>
          </w:p>
        </w:tc>
        <w:tc>
          <w:tcPr>
            <w:tcW w:type="dxa" w:w="620"/>
            <w:vAlign w:val="center"/>
          </w:tcPr>
          <w:p>
            <w:pPr>
              <w:jc w:val="center"/>
            </w:pPr>
            <w:r>
              <w:rPr>
                <w:b w:val="false"/>
                <w:bCs w:val="false"/>
                <w:sz w:val="20"/>
                <w:szCs w:val="20"/>
              </w:rPr>
              <w:t xml:space="preserve">-20</w:t>
            </w:r>
          </w:p>
        </w:tc>
        <w:tc>
          <w:tcPr>
            <w:tcW w:type="dxa" w:w="620"/>
            <w:vAlign w:val="center"/>
          </w:tcPr>
          <w:p>
            <w:pPr>
              <w:jc w:val="center"/>
            </w:pPr>
            <w:r>
              <w:rPr>
                <w:b w:val="false"/>
                <w:bCs w:val="false"/>
                <w:sz w:val="20"/>
                <w:szCs w:val="20"/>
              </w:rPr>
              <w:t xml:space="preserve">-20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c>
          <w:tcPr>
            <w:tcW w:type="dxa" w:w="620"/>
            <w:vAlign w:val="center"/>
          </w:tcPr>
          <w:p>
            <w:pPr>
              <w:jc w:val="center"/>
            </w:pPr>
            <w:r>
              <w:rPr>
                <w:b w:val="false"/>
                <w:bCs w:val="false"/>
                <w:sz w:val="20"/>
                <w:szCs w:val="20"/>
              </w:rPr>
              <w:t xml:space="preserve">200</w:t>
            </w:r>
          </w:p>
        </w:tc>
      </w:tr>
    </w:tbl>
    <w:p>
      <w:pPr>
        <w:spacing w:after="120"/>
      </w:pPr>
    </w:p>
    <w:p>
      <w:pPr>
        <w:spacing w:after="120"/>
      </w:pPr>
      <w:r>
        <w:t xml:space="preserve">The $800M in 2023 is the technology-acquisition outlay; $20M/year for the next four years (2024–2027) develops and adopts it; returns of $200M/year begin in the fifth year of the technology's life (2028) and run for eight more years, consistent with its stated 12-year life (12 years of post-acquisition cash flows, 2024–2035).</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200"/>
      </w:tblGrid>
      <w:tr>
        <w:tc>
          <w:tcPr>
            <w:tcW w:type="dxa" w:w="2600"/>
            <w:shd w:fill="DCE6F1" w:val="clear"/>
            <w:vAlign w:val="center"/>
          </w:tcPr>
          <w:p>
            <w:pPr>
              <w:jc w:val="center"/>
            </w:pPr>
            <w:r>
              <w:rPr>
                <w:b/>
                <w:bCs/>
                <w:sz w:val="20"/>
                <w:szCs w:val="20"/>
              </w:rPr>
              <w:t xml:space="preserve">Metric</w:t>
            </w:r>
          </w:p>
        </w:tc>
        <w:tc>
          <w:tcPr>
            <w:tcW w:type="dxa" w:w="2200"/>
            <w:shd w:fill="DCE6F1" w:val="clear"/>
            <w:vAlign w:val="center"/>
          </w:tcPr>
          <w:p>
            <w:pPr>
              <w:jc w:val="center"/>
            </w:pPr>
            <w:r>
              <w:rPr>
                <w:b/>
                <w:bCs/>
                <w:sz w:val="20"/>
                <w:szCs w:val="20"/>
              </w:rPr>
              <w:t xml:space="preserve">Value</w:t>
            </w:r>
          </w:p>
        </w:tc>
        <w:tc>
          <w:tcPr>
            <w:tcW w:type="dxa" w:w="3200"/>
            <w:shd w:fill="DCE6F1" w:val="clear"/>
            <w:vAlign w:val="center"/>
          </w:tcPr>
          <w:p>
            <w:pPr>
              <w:jc w:val="center"/>
            </w:pPr>
            <w:r>
              <w:rPr>
                <w:b/>
                <w:bCs/>
                <w:sz w:val="20"/>
                <w:szCs w:val="20"/>
              </w:rPr>
              <w:t xml:space="preserve">Formula used</w:t>
            </w:r>
          </w:p>
        </w:tc>
      </w:tr>
      <w:tr>
        <w:tc>
          <w:tcPr>
            <w:tcW w:type="dxa" w:w="2600"/>
            <w:vAlign w:val="center"/>
          </w:tcPr>
          <w:p>
            <w:pPr>
              <w:jc w:val="left"/>
            </w:pPr>
            <w:r>
              <w:rPr>
                <w:b w:val="false"/>
                <w:bCs w:val="false"/>
                <w:sz w:val="20"/>
                <w:szCs w:val="20"/>
              </w:rPr>
              <w:t xml:space="preserve">NPV</w:t>
            </w:r>
          </w:p>
        </w:tc>
        <w:tc>
          <w:tcPr>
            <w:tcW w:type="dxa" w:w="2200"/>
            <w:vAlign w:val="center"/>
          </w:tcPr>
          <w:p>
            <w:pPr>
              <w:jc w:val="center"/>
            </w:pPr>
            <w:r>
              <w:rPr>
                <w:b w:val="false"/>
                <w:bCs w:val="false"/>
                <w:sz w:val="20"/>
                <w:szCs w:val="20"/>
              </w:rPr>
              <w:t xml:space="preserve">−$21.45 million</w:t>
            </w:r>
          </w:p>
        </w:tc>
        <w:tc>
          <w:tcPr>
            <w:tcW w:type="dxa" w:w="3200"/>
            <w:vAlign w:val="center"/>
          </w:tcPr>
          <w:p>
            <w:pPr>
              <w:jc w:val="center"/>
            </w:pPr>
            <w:r>
              <w:rPr>
                <w:b w:val="false"/>
                <w:bCs w:val="false"/>
                <w:sz w:val="20"/>
                <w:szCs w:val="20"/>
              </w:rPr>
              <w:t xml:space="preserve">NPV = Σ CFt /(1+r)^t</w:t>
            </w:r>
          </w:p>
        </w:tc>
      </w:tr>
      <w:tr>
        <w:tc>
          <w:tcPr>
            <w:tcW w:type="dxa" w:w="2600"/>
            <w:vAlign w:val="center"/>
          </w:tcPr>
          <w:p>
            <w:pPr>
              <w:jc w:val="left"/>
            </w:pPr>
            <w:r>
              <w:rPr>
                <w:b w:val="false"/>
                <w:bCs w:val="false"/>
                <w:sz w:val="20"/>
                <w:szCs w:val="20"/>
              </w:rPr>
              <w:t xml:space="preserve">IRR</w:t>
            </w:r>
          </w:p>
        </w:tc>
        <w:tc>
          <w:tcPr>
            <w:tcW w:type="dxa" w:w="2200"/>
            <w:vAlign w:val="center"/>
          </w:tcPr>
          <w:p>
            <w:pPr>
              <w:jc w:val="center"/>
            </w:pPr>
            <w:r>
              <w:rPr>
                <w:b w:val="false"/>
                <w:bCs w:val="false"/>
                <w:sz w:val="20"/>
                <w:szCs w:val="20"/>
              </w:rPr>
              <w:t xml:space="preserve">7.66%</w:t>
            </w:r>
          </w:p>
        </w:tc>
        <w:tc>
          <w:tcPr>
            <w:tcW w:type="dxa" w:w="3200"/>
            <w:vAlign w:val="center"/>
          </w:tcPr>
          <w:p>
            <w:pPr>
              <w:jc w:val="center"/>
            </w:pPr>
            <w:r>
              <w:rPr>
                <w:b w:val="false"/>
                <w:bCs w:val="false"/>
                <w:sz w:val="20"/>
                <w:szCs w:val="20"/>
              </w:rPr>
              <w:t xml:space="preserve">Rate that sets NPV = 0</w:t>
            </w:r>
          </w:p>
        </w:tc>
      </w:tr>
      <w:tr>
        <w:tc>
          <w:tcPr>
            <w:tcW w:type="dxa" w:w="2600"/>
            <w:vAlign w:val="center"/>
          </w:tcPr>
          <w:p>
            <w:pPr>
              <w:jc w:val="left"/>
            </w:pPr>
            <w:r>
              <w:rPr>
                <w:b w:val="false"/>
                <w:bCs w:val="false"/>
                <w:sz w:val="20"/>
                <w:szCs w:val="20"/>
              </w:rPr>
              <w:t xml:space="preserve">PV of inflows</w:t>
            </w:r>
          </w:p>
        </w:tc>
        <w:tc>
          <w:tcPr>
            <w:tcW w:type="dxa" w:w="2200"/>
            <w:vAlign w:val="center"/>
          </w:tcPr>
          <w:p>
            <w:pPr>
              <w:jc w:val="center"/>
            </w:pPr>
            <w:r>
              <w:rPr>
                <w:b w:val="false"/>
                <w:bCs w:val="false"/>
                <w:sz w:val="20"/>
                <w:szCs w:val="20"/>
              </w:rPr>
              <w:t xml:space="preserve">$844.79 million</w:t>
            </w:r>
          </w:p>
        </w:tc>
        <w:tc>
          <w:tcPr>
            <w:tcW w:type="dxa" w:w="3200"/>
            <w:vAlign w:val="center"/>
          </w:tcPr>
          <w:p>
            <w:pPr>
              <w:jc w:val="center"/>
            </w:pPr>
            <w:r>
              <w:rPr>
                <w:b w:val="false"/>
                <w:bCs w:val="false"/>
                <w:sz w:val="20"/>
                <w:szCs w:val="20"/>
              </w:rPr>
              <w:t xml:space="preserve">Σ (inflows)/(1+r)^t</w:t>
            </w:r>
          </w:p>
        </w:tc>
      </w:tr>
      <w:tr>
        <w:tc>
          <w:tcPr>
            <w:tcW w:type="dxa" w:w="2600"/>
            <w:vAlign w:val="center"/>
          </w:tcPr>
          <w:p>
            <w:pPr>
              <w:jc w:val="left"/>
            </w:pPr>
            <w:r>
              <w:rPr>
                <w:b w:val="false"/>
                <w:bCs w:val="false"/>
                <w:sz w:val="20"/>
                <w:szCs w:val="20"/>
              </w:rPr>
              <w:t xml:space="preserve">PV of outflows</w:t>
            </w:r>
          </w:p>
        </w:tc>
        <w:tc>
          <w:tcPr>
            <w:tcW w:type="dxa" w:w="2200"/>
            <w:vAlign w:val="center"/>
          </w:tcPr>
          <w:p>
            <w:pPr>
              <w:jc w:val="center"/>
            </w:pPr>
            <w:r>
              <w:rPr>
                <w:b w:val="false"/>
                <w:bCs w:val="false"/>
                <w:sz w:val="20"/>
                <w:szCs w:val="20"/>
              </w:rPr>
              <w:t xml:space="preserve">$866.24 million</w:t>
            </w:r>
          </w:p>
        </w:tc>
        <w:tc>
          <w:tcPr>
            <w:tcW w:type="dxa" w:w="3200"/>
            <w:vAlign w:val="center"/>
          </w:tcPr>
          <w:p>
            <w:pPr>
              <w:jc w:val="center"/>
            </w:pPr>
            <w:r>
              <w:rPr>
                <w:b w:val="false"/>
                <w:bCs w:val="false"/>
                <w:sz w:val="20"/>
                <w:szCs w:val="20"/>
              </w:rPr>
              <w:t xml:space="preserve">Σ (outflows)/(1+r)^t</w:t>
            </w:r>
          </w:p>
        </w:tc>
      </w:tr>
      <w:tr>
        <w:tc>
          <w:tcPr>
            <w:tcW w:type="dxa" w:w="2600"/>
            <w:vAlign w:val="center"/>
          </w:tcPr>
          <w:p>
            <w:pPr>
              <w:jc w:val="left"/>
            </w:pPr>
            <w:r>
              <w:rPr>
                <w:b w:val="false"/>
                <w:bCs w:val="false"/>
                <w:sz w:val="20"/>
                <w:szCs w:val="20"/>
              </w:rPr>
              <w:t xml:space="preserve">Profitability Index (PI)</w:t>
            </w:r>
          </w:p>
        </w:tc>
        <w:tc>
          <w:tcPr>
            <w:tcW w:type="dxa" w:w="2200"/>
            <w:vAlign w:val="center"/>
          </w:tcPr>
          <w:p>
            <w:pPr>
              <w:jc w:val="center"/>
            </w:pPr>
            <w:r>
              <w:rPr>
                <w:b w:val="false"/>
                <w:bCs w:val="false"/>
                <w:sz w:val="20"/>
                <w:szCs w:val="20"/>
              </w:rPr>
              <w:t xml:space="preserve">0.975</w:t>
            </w:r>
          </w:p>
        </w:tc>
        <w:tc>
          <w:tcPr>
            <w:tcW w:type="dxa" w:w="3200"/>
            <w:vAlign w:val="center"/>
          </w:tcPr>
          <w:p>
            <w:pPr>
              <w:jc w:val="center"/>
            </w:pPr>
            <w:r>
              <w:rPr>
                <w:b w:val="false"/>
                <w:bCs w:val="false"/>
                <w:sz w:val="20"/>
                <w:szCs w:val="20"/>
              </w:rPr>
              <w:t xml:space="preserve">PI = PV(inflows) / PV(outflows)</w:t>
            </w:r>
          </w:p>
        </w:tc>
      </w:tr>
      <w:tr>
        <w:tc>
          <w:tcPr>
            <w:tcW w:type="dxa" w:w="2600"/>
            <w:vAlign w:val="center"/>
          </w:tcPr>
          <w:p>
            <w:pPr>
              <w:jc w:val="left"/>
            </w:pPr>
            <w:r>
              <w:rPr>
                <w:b w:val="false"/>
                <w:bCs w:val="false"/>
                <w:sz w:val="20"/>
                <w:szCs w:val="20"/>
              </w:rPr>
              <w:t xml:space="preserve">Payback period (undiscounted)</w:t>
            </w:r>
          </w:p>
        </w:tc>
        <w:tc>
          <w:tcPr>
            <w:tcW w:type="dxa" w:w="2200"/>
            <w:vAlign w:val="center"/>
          </w:tcPr>
          <w:p>
            <w:pPr>
              <w:jc w:val="center"/>
            </w:pPr>
            <w:r>
              <w:rPr>
                <w:b w:val="false"/>
                <w:bCs w:val="false"/>
                <w:sz w:val="20"/>
                <w:szCs w:val="20"/>
              </w:rPr>
              <w:t xml:space="preserve">8.40 years</w:t>
            </w:r>
          </w:p>
        </w:tc>
        <w:tc>
          <w:tcPr>
            <w:tcW w:type="dxa" w:w="3200"/>
            <w:vAlign w:val="center"/>
          </w:tcPr>
          <w:p>
            <w:pPr>
              <w:jc w:val="center"/>
            </w:pPr>
            <w:r>
              <w:rPr>
                <w:b w:val="false"/>
                <w:bCs w:val="false"/>
                <w:sz w:val="20"/>
                <w:szCs w:val="20"/>
              </w:rPr>
              <w:t xml:space="preserve">Years to recover the initial outlay</w:t>
            </w:r>
          </w:p>
        </w:tc>
      </w:tr>
      <w:tr>
        <w:tc>
          <w:tcPr>
            <w:tcW w:type="dxa" w:w="2600"/>
            <w:vAlign w:val="center"/>
          </w:tcPr>
          <w:p>
            <w:pPr>
              <w:jc w:val="left"/>
            </w:pPr>
            <w:r>
              <w:rPr>
                <w:b w:val="false"/>
                <w:bCs w:val="false"/>
                <w:sz w:val="20"/>
                <w:szCs w:val="20"/>
              </w:rPr>
              <w:t xml:space="preserve">Discounted payback period</w:t>
            </w:r>
          </w:p>
        </w:tc>
        <w:tc>
          <w:tcPr>
            <w:tcW w:type="dxa" w:w="2200"/>
            <w:vAlign w:val="center"/>
          </w:tcPr>
          <w:p>
            <w:pPr>
              <w:jc w:val="center"/>
            </w:pPr>
            <w:r>
              <w:rPr>
                <w:b w:val="false"/>
                <w:bCs w:val="false"/>
                <w:sz w:val="20"/>
                <w:szCs w:val="20"/>
              </w:rPr>
              <w:t xml:space="preserve">Not recovered within the 12-year life</w:t>
            </w:r>
          </w:p>
        </w:tc>
        <w:tc>
          <w:tcPr>
            <w:tcW w:type="dxa" w:w="3200"/>
            <w:vAlign w:val="center"/>
          </w:tcPr>
          <w:p>
            <w:pPr>
              <w:jc w:val="center"/>
            </w:pPr>
            <w:r>
              <w:rPr>
                <w:b w:val="false"/>
                <w:bCs w:val="false"/>
                <w:sz w:val="20"/>
                <w:szCs w:val="20"/>
              </w:rPr>
              <w:t xml:space="preserve">Same, using discounted cash flows</w:t>
            </w:r>
          </w:p>
        </w:tc>
      </w:tr>
    </w:tbl>
    <w:p>
      <w:pPr>
        <w:spacing w:after="140"/>
      </w:pPr>
    </w:p>
    <w:p>
      <w:pPr>
        <w:spacing w:after="120"/>
      </w:pPr>
      <w:r>
        <w:rPr>
          <w:b/>
          <w:bCs/>
          <w:color w:val="1F4E78"/>
        </w:rPr>
        <w:t xml:space="preserve">Reading: </w:t>
      </w:r>
      <w:r>
        <w:t xml:space="preserve">at the 8% after-tax cost of debt, the base case narrowly destroys value. NPV is negative, IRR (7.66%) sits just below the 8% hurdle, PI is just under 1.0, and the project never fully repays its cost on a discounted basis within its 12-year life. On a pure DCF basis this is a marginal "reject" — which is exactly why the sensitivity analysis in Question 4 matters so much.</w:t>
      </w:r>
    </w:p>
    <w:p>
      <w:pPr>
        <w:pStyle w:val="Heading1"/>
        <w:spacing w:after="100" w:before="320"/>
      </w:pPr>
      <w:r>
        <w:t xml:space="preserve">Question 4 — Sensitivity Analysis</w:t>
      </w:r>
    </w:p>
    <w:p>
      <w:pPr>
        <w:spacing w:after="120"/>
      </w:pPr>
      <w:r>
        <w:t xml:space="preserve">Each of the six uncertainties listed in the assignment is analyzed by changing exactly the input the case describes and recomputing NPV at the base 8% rate (unless the uncertainty is itself a rate change).</w:t>
      </w:r>
    </w:p>
    <w:p>
      <w:pPr>
        <w:pStyle w:val="Heading2"/>
        <w:spacing w:after="80" w:before="240"/>
      </w:pPr>
      <w:r>
        <w:t xml:space="preserve">(a) Fed continues raising rates: after-tax Kd = 8.5%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tblGrid>
      <w:tr>
        <w:tc>
          <w:tcPr>
            <w:tcW w:type="dxa" w:w="2600"/>
            <w:shd w:fill="DCE6F1" w:val="clear"/>
            <w:vAlign w:val="center"/>
          </w:tcPr>
          <w:p>
            <w:pPr>
              <w:jc w:val="center"/>
            </w:pPr>
            <w:r>
              <w:rPr>
                <w:b/>
                <w:bCs/>
                <w:sz w:val="20"/>
                <w:szCs w:val="20"/>
              </w:rPr>
              <w:t xml:space="preserve">Metric</w:t>
            </w:r>
          </w:p>
        </w:tc>
        <w:tc>
          <w:tcPr>
            <w:tcW w:type="dxa" w:w="2900"/>
            <w:shd w:fill="DCE6F1" w:val="clear"/>
            <w:vAlign w:val="center"/>
          </w:tcPr>
          <w:p>
            <w:pPr>
              <w:jc w:val="center"/>
            </w:pPr>
            <w:r>
              <w:rPr>
                <w:b/>
                <w:bCs/>
                <w:sz w:val="20"/>
                <w:szCs w:val="20"/>
              </w:rPr>
              <w:t xml:space="preserve">Base Case</w:t>
            </w:r>
          </w:p>
        </w:tc>
        <w:tc>
          <w:tcPr>
            <w:tcW w:type="dxa" w:w="2900"/>
            <w:shd w:fill="DCE6F1" w:val="clear"/>
            <w:vAlign w:val="center"/>
          </w:tcPr>
          <w:p>
            <w:pPr>
              <w:jc w:val="center"/>
            </w:pPr>
            <w:r>
              <w:rPr>
                <w:b/>
                <w:bCs/>
                <w:sz w:val="20"/>
                <w:szCs w:val="20"/>
              </w:rPr>
              <w:t xml:space="preserve">Scenario (a)</w:t>
            </w:r>
          </w:p>
        </w:tc>
      </w:tr>
      <w:tr>
        <w:tc>
          <w:tcPr>
            <w:tcW w:type="dxa" w:w="2600"/>
            <w:vAlign w:val="center"/>
          </w:tcPr>
          <w:p>
            <w:pPr>
              <w:jc w:val="left"/>
            </w:pPr>
            <w:r>
              <w:rPr>
                <w:b w:val="false"/>
                <w:bCs w:val="false"/>
                <w:sz w:val="20"/>
                <w:szCs w:val="20"/>
              </w:rPr>
              <w:t xml:space="preserve">NPV</w:t>
            </w:r>
          </w:p>
        </w:tc>
        <w:tc>
          <w:tcPr>
            <w:tcW w:type="dxa" w:w="2900"/>
            <w:vAlign w:val="center"/>
          </w:tcPr>
          <w:p>
            <w:pPr>
              <w:jc w:val="center"/>
            </w:pPr>
            <w:r>
              <w:rPr>
                <w:b w:val="false"/>
                <w:bCs w:val="false"/>
                <w:sz w:val="20"/>
                <w:szCs w:val="20"/>
              </w:rPr>
              <w:t xml:space="preserve">−$21.45M</w:t>
            </w:r>
          </w:p>
        </w:tc>
        <w:tc>
          <w:tcPr>
            <w:tcW w:type="dxa" w:w="2900"/>
            <w:vAlign w:val="center"/>
          </w:tcPr>
          <w:p>
            <w:pPr>
              <w:jc w:val="center"/>
            </w:pPr>
            <w:r>
              <w:rPr>
                <w:b w:val="false"/>
                <w:bCs w:val="false"/>
                <w:sz w:val="20"/>
                <w:szCs w:val="20"/>
              </w:rPr>
              <w:t xml:space="preserve">−$51.69M</w:t>
            </w:r>
          </w:p>
        </w:tc>
      </w:tr>
      <w:tr>
        <w:tc>
          <w:tcPr>
            <w:tcW w:type="dxa" w:w="2600"/>
            <w:vAlign w:val="center"/>
          </w:tcPr>
          <w:p>
            <w:pPr>
              <w:jc w:val="left"/>
            </w:pPr>
            <w:r>
              <w:rPr>
                <w:b w:val="false"/>
                <w:bCs w:val="false"/>
                <w:sz w:val="20"/>
                <w:szCs w:val="20"/>
              </w:rPr>
              <w:t xml:space="preserve">Δ NPV</w:t>
            </w:r>
          </w:p>
        </w:tc>
        <w:tc>
          <w:tcPr>
            <w:tcW w:type="dxa" w:w="2900"/>
            <w:vAlign w:val="center"/>
          </w:tcPr>
          <w:p>
            <w:pPr>
              <w:jc w:val="center"/>
            </w:pPr>
            <w:r>
              <w:rPr>
                <w:b w:val="false"/>
                <w:bCs w:val="false"/>
                <w:sz w:val="20"/>
                <w:szCs w:val="20"/>
              </w:rPr>
              <w:t xml:space="preserve">—</w:t>
            </w:r>
          </w:p>
        </w:tc>
        <w:tc>
          <w:tcPr>
            <w:tcW w:type="dxa" w:w="2900"/>
            <w:vAlign w:val="center"/>
          </w:tcPr>
          <w:p>
            <w:pPr>
              <w:jc w:val="center"/>
            </w:pPr>
            <w:r>
              <w:rPr>
                <w:b w:val="false"/>
                <w:bCs w:val="false"/>
                <w:sz w:val="20"/>
                <w:szCs w:val="20"/>
              </w:rPr>
              <w:t xml:space="preserve">−$30.24M</w:t>
            </w:r>
          </w:p>
        </w:tc>
      </w:tr>
    </w:tbl>
    <w:p>
      <w:pPr>
        <w:spacing w:after="100"/>
      </w:pPr>
    </w:p>
    <w:p>
      <w:pPr>
        <w:spacing w:after="120"/>
      </w:pPr>
      <w:r>
        <w:rPr>
          <w:i/>
          <w:iCs/>
          <w:color w:val="444444"/>
          <w:sz w:val="20"/>
          <w:szCs w:val="20"/>
        </w:rPr>
        <w:t xml:space="preserve">A higher cost of debt makes an already-marginal project meaningfully worse — NPV falls by over $30M.</w:t>
      </w:r>
    </w:p>
    <w:p>
      <w:pPr>
        <w:spacing w:after="120"/>
      </w:pPr>
      <w:r>
        <w:rPr>
          <w:b/>
          <w:bCs/>
          <w:color w:val="1F4E78"/>
        </w:rPr>
        <w:t xml:space="preserve">Variable changed and why: </w:t>
      </w:r>
      <w:r>
        <w:t xml:space="preserve">the discount rate — a Fed rate hike is a macroeconomic, interest-rate risk entirely outside Liz's control. Isolating it (holding cash flows fixed) shows how sensitive the project is to the cost of debt alone.</w:t>
      </w:r>
    </w:p>
    <w:p>
      <w:pPr>
        <w:spacing w:after="120"/>
      </w:pPr>
      <w:r>
        <w:rPr>
          <w:b/>
          <w:bCs/>
          <w:color w:val="1F4E78"/>
        </w:rPr>
        <w:t xml:space="preserve">Business impact: </w:t>
      </w:r>
      <w:r>
        <w:t xml:space="preserve">NPV falls from −$21.45M to −$51.69M — a $30.24M swing from a single external rate move.</w:t>
      </w:r>
    </w:p>
    <w:p>
      <w:pPr>
        <w:pStyle w:val="Heading2"/>
        <w:spacing w:after="80" w:before="240"/>
      </w:pPr>
      <w:r>
        <w:t xml:space="preserve">(b) Green bond financing: after-tax Kd = 7.5%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tblGrid>
      <w:tr>
        <w:tc>
          <w:tcPr>
            <w:tcW w:type="dxa" w:w="2600"/>
            <w:shd w:fill="DCE6F1" w:val="clear"/>
            <w:vAlign w:val="center"/>
          </w:tcPr>
          <w:p>
            <w:pPr>
              <w:jc w:val="center"/>
            </w:pPr>
            <w:r>
              <w:rPr>
                <w:b/>
                <w:bCs/>
                <w:sz w:val="20"/>
                <w:szCs w:val="20"/>
              </w:rPr>
              <w:t xml:space="preserve">Metric</w:t>
            </w:r>
          </w:p>
        </w:tc>
        <w:tc>
          <w:tcPr>
            <w:tcW w:type="dxa" w:w="2900"/>
            <w:shd w:fill="DCE6F1" w:val="clear"/>
            <w:vAlign w:val="center"/>
          </w:tcPr>
          <w:p>
            <w:pPr>
              <w:jc w:val="center"/>
            </w:pPr>
            <w:r>
              <w:rPr>
                <w:b/>
                <w:bCs/>
                <w:sz w:val="20"/>
                <w:szCs w:val="20"/>
              </w:rPr>
              <w:t xml:space="preserve">Base Case</w:t>
            </w:r>
          </w:p>
        </w:tc>
        <w:tc>
          <w:tcPr>
            <w:tcW w:type="dxa" w:w="2900"/>
            <w:shd w:fill="DCE6F1" w:val="clear"/>
            <w:vAlign w:val="center"/>
          </w:tcPr>
          <w:p>
            <w:pPr>
              <w:jc w:val="center"/>
            </w:pPr>
            <w:r>
              <w:rPr>
                <w:b/>
                <w:bCs/>
                <w:sz w:val="20"/>
                <w:szCs w:val="20"/>
              </w:rPr>
              <w:t xml:space="preserve">Scenario (b)</w:t>
            </w:r>
          </w:p>
        </w:tc>
      </w:tr>
      <w:tr>
        <w:tc>
          <w:tcPr>
            <w:tcW w:type="dxa" w:w="2600"/>
            <w:vAlign w:val="center"/>
          </w:tcPr>
          <w:p>
            <w:pPr>
              <w:jc w:val="left"/>
            </w:pPr>
            <w:r>
              <w:rPr>
                <w:b w:val="false"/>
                <w:bCs w:val="false"/>
                <w:sz w:val="20"/>
                <w:szCs w:val="20"/>
              </w:rPr>
              <w:t xml:space="preserve">NPV</w:t>
            </w:r>
          </w:p>
        </w:tc>
        <w:tc>
          <w:tcPr>
            <w:tcW w:type="dxa" w:w="2900"/>
            <w:vAlign w:val="center"/>
          </w:tcPr>
          <w:p>
            <w:pPr>
              <w:jc w:val="center"/>
            </w:pPr>
            <w:r>
              <w:rPr>
                <w:b w:val="false"/>
                <w:bCs w:val="false"/>
                <w:sz w:val="20"/>
                <w:szCs w:val="20"/>
              </w:rPr>
              <w:t xml:space="preserve">−$21.45M</w:t>
            </w:r>
          </w:p>
        </w:tc>
        <w:tc>
          <w:tcPr>
            <w:tcW w:type="dxa" w:w="2900"/>
            <w:vAlign w:val="center"/>
          </w:tcPr>
          <w:p>
            <w:pPr>
              <w:jc w:val="center"/>
            </w:pPr>
            <w:r>
              <w:rPr>
                <w:b w:val="false"/>
                <w:bCs w:val="false"/>
                <w:sz w:val="20"/>
                <w:szCs w:val="20"/>
              </w:rPr>
              <w:t xml:space="preserve">+$10.20M</w:t>
            </w:r>
          </w:p>
        </w:tc>
      </w:tr>
      <w:tr>
        <w:tc>
          <w:tcPr>
            <w:tcW w:type="dxa" w:w="2600"/>
            <w:vAlign w:val="center"/>
          </w:tcPr>
          <w:p>
            <w:pPr>
              <w:jc w:val="left"/>
            </w:pPr>
            <w:r>
              <w:rPr>
                <w:b w:val="false"/>
                <w:bCs w:val="false"/>
                <w:sz w:val="20"/>
                <w:szCs w:val="20"/>
              </w:rPr>
              <w:t xml:space="preserve">Δ NPV</w:t>
            </w:r>
          </w:p>
        </w:tc>
        <w:tc>
          <w:tcPr>
            <w:tcW w:type="dxa" w:w="2900"/>
            <w:vAlign w:val="center"/>
          </w:tcPr>
          <w:p>
            <w:pPr>
              <w:jc w:val="center"/>
            </w:pPr>
            <w:r>
              <w:rPr>
                <w:b w:val="false"/>
                <w:bCs w:val="false"/>
                <w:sz w:val="20"/>
                <w:szCs w:val="20"/>
              </w:rPr>
              <w:t xml:space="preserve">—</w:t>
            </w:r>
          </w:p>
        </w:tc>
        <w:tc>
          <w:tcPr>
            <w:tcW w:type="dxa" w:w="2900"/>
            <w:vAlign w:val="center"/>
          </w:tcPr>
          <w:p>
            <w:pPr>
              <w:jc w:val="center"/>
            </w:pPr>
            <w:r>
              <w:rPr>
                <w:b w:val="false"/>
                <w:bCs w:val="false"/>
                <w:sz w:val="20"/>
                <w:szCs w:val="20"/>
              </w:rPr>
              <w:t xml:space="preserve">+$31.65M</w:t>
            </w:r>
          </w:p>
        </w:tc>
      </w:tr>
    </w:tbl>
    <w:p>
      <w:pPr>
        <w:spacing w:after="100"/>
      </w:pPr>
    </w:p>
    <w:p>
      <w:pPr>
        <w:spacing w:after="120"/>
      </w:pPr>
      <w:r>
        <w:rPr>
          <w:i/>
          <w:iCs/>
          <w:color w:val="444444"/>
          <w:sz w:val="20"/>
          <w:szCs w:val="20"/>
        </w:rPr>
        <w:t xml:space="preserve">This is the single most important lever in the analysis: switching to green-bond financing, on its own, flips the project from value-destroying to value-creating.</w:t>
      </w:r>
    </w:p>
    <w:p>
      <w:pPr>
        <w:spacing w:after="120"/>
      </w:pPr>
      <w:r>
        <w:rPr>
          <w:b/>
          <w:bCs/>
          <w:color w:val="1F4E78"/>
        </w:rPr>
        <w:t xml:space="preserve">Variable changed and why: </w:t>
      </w:r>
      <w:r>
        <w:t xml:space="preserve">the discount rate again, but this time from a financing choice Liz controls directly (green bond vs. ordinary debt), not an external shock.</w:t>
      </w:r>
    </w:p>
    <w:p>
      <w:pPr>
        <w:spacing w:after="120"/>
      </w:pPr>
      <w:r>
        <w:rPr>
          <w:b/>
          <w:bCs/>
          <w:color w:val="1F4E78"/>
        </w:rPr>
        <w:t xml:space="preserve">Business impact: </w:t>
      </w:r>
      <w:r>
        <w:t xml:space="preserve">NPV moves from −$21.45M to +$10.20M — a $31.65M swing that, on its own, flips the accept/reject decision.</w:t>
      </w:r>
    </w:p>
    <w:p>
      <w:pPr>
        <w:pStyle w:val="Heading2"/>
        <w:spacing w:after="80" w:before="240"/>
      </w:pPr>
      <w:r>
        <w:t xml:space="preserve">(c) Carbon Border Adjustment Mechanism (CBAM): inflows rise to $220M/year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tblGrid>
      <w:tr>
        <w:tc>
          <w:tcPr>
            <w:tcW w:type="dxa" w:w="2600"/>
            <w:shd w:fill="DCE6F1" w:val="clear"/>
            <w:vAlign w:val="center"/>
          </w:tcPr>
          <w:p>
            <w:pPr>
              <w:jc w:val="center"/>
            </w:pPr>
            <w:r>
              <w:rPr>
                <w:b/>
                <w:bCs/>
                <w:sz w:val="20"/>
                <w:szCs w:val="20"/>
              </w:rPr>
              <w:t xml:space="preserve">Metric</w:t>
            </w:r>
          </w:p>
        </w:tc>
        <w:tc>
          <w:tcPr>
            <w:tcW w:type="dxa" w:w="2900"/>
            <w:shd w:fill="DCE6F1" w:val="clear"/>
            <w:vAlign w:val="center"/>
          </w:tcPr>
          <w:p>
            <w:pPr>
              <w:jc w:val="center"/>
            </w:pPr>
            <w:r>
              <w:rPr>
                <w:b/>
                <w:bCs/>
                <w:sz w:val="20"/>
                <w:szCs w:val="20"/>
              </w:rPr>
              <w:t xml:space="preserve">Base Case</w:t>
            </w:r>
          </w:p>
        </w:tc>
        <w:tc>
          <w:tcPr>
            <w:tcW w:type="dxa" w:w="2900"/>
            <w:shd w:fill="DCE6F1" w:val="clear"/>
            <w:vAlign w:val="center"/>
          </w:tcPr>
          <w:p>
            <w:pPr>
              <w:jc w:val="center"/>
            </w:pPr>
            <w:r>
              <w:rPr>
                <w:b/>
                <w:bCs/>
                <w:sz w:val="20"/>
                <w:szCs w:val="20"/>
              </w:rPr>
              <w:t xml:space="preserve">Scenario (c)</w:t>
            </w:r>
          </w:p>
        </w:tc>
      </w:tr>
      <w:tr>
        <w:tc>
          <w:tcPr>
            <w:tcW w:type="dxa" w:w="2600"/>
            <w:vAlign w:val="center"/>
          </w:tcPr>
          <w:p>
            <w:pPr>
              <w:jc w:val="left"/>
            </w:pPr>
            <w:r>
              <w:rPr>
                <w:b w:val="false"/>
                <w:bCs w:val="false"/>
                <w:sz w:val="20"/>
                <w:szCs w:val="20"/>
              </w:rPr>
              <w:t xml:space="preserve">NPV</w:t>
            </w:r>
          </w:p>
        </w:tc>
        <w:tc>
          <w:tcPr>
            <w:tcW w:type="dxa" w:w="2900"/>
            <w:vAlign w:val="center"/>
          </w:tcPr>
          <w:p>
            <w:pPr>
              <w:jc w:val="center"/>
            </w:pPr>
            <w:r>
              <w:rPr>
                <w:b w:val="false"/>
                <w:bCs w:val="false"/>
                <w:sz w:val="20"/>
                <w:szCs w:val="20"/>
              </w:rPr>
              <w:t xml:space="preserve">−$21.45M</w:t>
            </w:r>
          </w:p>
        </w:tc>
        <w:tc>
          <w:tcPr>
            <w:tcW w:type="dxa" w:w="2900"/>
            <w:vAlign w:val="center"/>
          </w:tcPr>
          <w:p>
            <w:pPr>
              <w:jc w:val="center"/>
            </w:pPr>
            <w:r>
              <w:rPr>
                <w:b w:val="false"/>
                <w:bCs w:val="false"/>
                <w:sz w:val="20"/>
                <w:szCs w:val="20"/>
              </w:rPr>
              <w:t xml:space="preserve">+$63.03M</w:t>
            </w:r>
          </w:p>
        </w:tc>
      </w:tr>
      <w:tr>
        <w:tc>
          <w:tcPr>
            <w:tcW w:type="dxa" w:w="2600"/>
            <w:vAlign w:val="center"/>
          </w:tcPr>
          <w:p>
            <w:pPr>
              <w:jc w:val="left"/>
            </w:pPr>
            <w:r>
              <w:rPr>
                <w:b w:val="false"/>
                <w:bCs w:val="false"/>
                <w:sz w:val="20"/>
                <w:szCs w:val="20"/>
              </w:rPr>
              <w:t xml:space="preserve">Δ NPV</w:t>
            </w:r>
          </w:p>
        </w:tc>
        <w:tc>
          <w:tcPr>
            <w:tcW w:type="dxa" w:w="2900"/>
            <w:vAlign w:val="center"/>
          </w:tcPr>
          <w:p>
            <w:pPr>
              <w:jc w:val="center"/>
            </w:pPr>
            <w:r>
              <w:rPr>
                <w:b w:val="false"/>
                <w:bCs w:val="false"/>
                <w:sz w:val="20"/>
                <w:szCs w:val="20"/>
              </w:rPr>
              <w:t xml:space="preserve">—</w:t>
            </w:r>
          </w:p>
        </w:tc>
        <w:tc>
          <w:tcPr>
            <w:tcW w:type="dxa" w:w="2900"/>
            <w:vAlign w:val="center"/>
          </w:tcPr>
          <w:p>
            <w:pPr>
              <w:jc w:val="center"/>
            </w:pPr>
            <w:r>
              <w:rPr>
                <w:b w:val="false"/>
                <w:bCs w:val="false"/>
                <w:sz w:val="20"/>
                <w:szCs w:val="20"/>
              </w:rPr>
              <w:t xml:space="preserve">+$84.48M</w:t>
            </w:r>
          </w:p>
        </w:tc>
      </w:tr>
    </w:tbl>
    <w:p>
      <w:pPr>
        <w:spacing w:after="100"/>
      </w:pPr>
    </w:p>
    <w:p>
      <w:pPr>
        <w:spacing w:after="120"/>
      </w:pPr>
      <w:r>
        <w:rPr>
          <w:i/>
          <w:iCs/>
          <w:color w:val="444444"/>
          <w:sz w:val="20"/>
          <w:szCs w:val="20"/>
        </w:rPr>
        <w:t xml:space="preserve">A 10% increase in the annual inflow swings NPV from negative to strongly positive — the project is highly leveraged to the size of the annual cash flow.</w:t>
      </w:r>
    </w:p>
    <w:p>
      <w:pPr>
        <w:spacing w:after="120"/>
      </w:pPr>
      <w:r>
        <w:rPr>
          <w:b/>
          <w:bCs/>
          <w:color w:val="1F4E78"/>
        </w:rPr>
        <w:t xml:space="preserve">Variable changed and why: </w:t>
      </w:r>
      <w:r>
        <w:t xml:space="preserve">the annual cash inflow, because the EU's CBAM policy is an external regulatory tailwind that raises the revenue/margin benefit of Liz's solid-state batteries.</w:t>
      </w:r>
    </w:p>
    <w:p>
      <w:pPr>
        <w:spacing w:after="120"/>
      </w:pPr>
      <w:r>
        <w:rPr>
          <w:b/>
          <w:bCs/>
          <w:color w:val="1F4E78"/>
        </w:rPr>
        <w:t xml:space="preserve">Business impact: </w:t>
      </w:r>
      <w:r>
        <w:t xml:space="preserve">a 10% rise in the annual inflow swings NPV from −$21.45M to +$63.03M — an $84.48M change.</w:t>
      </w:r>
    </w:p>
    <w:p>
      <w:pPr>
        <w:pStyle w:val="Heading2"/>
        <w:spacing w:after="80" w:before="240"/>
      </w:pPr>
      <w:r>
        <w:t xml:space="preserve">(d) Sale of the technology at the end of year 12 for $100M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900"/>
      </w:tblGrid>
      <w:tr>
        <w:tc>
          <w:tcPr>
            <w:tcW w:type="dxa" w:w="2600"/>
            <w:shd w:fill="DCE6F1" w:val="clear"/>
            <w:vAlign w:val="center"/>
          </w:tcPr>
          <w:p>
            <w:pPr>
              <w:jc w:val="center"/>
            </w:pPr>
            <w:r>
              <w:rPr>
                <w:b/>
                <w:bCs/>
                <w:sz w:val="20"/>
                <w:szCs w:val="20"/>
              </w:rPr>
              <w:t xml:space="preserve">Metric</w:t>
            </w:r>
          </w:p>
        </w:tc>
        <w:tc>
          <w:tcPr>
            <w:tcW w:type="dxa" w:w="2900"/>
            <w:shd w:fill="DCE6F1" w:val="clear"/>
            <w:vAlign w:val="center"/>
          </w:tcPr>
          <w:p>
            <w:pPr>
              <w:jc w:val="center"/>
            </w:pPr>
            <w:r>
              <w:rPr>
                <w:b/>
                <w:bCs/>
                <w:sz w:val="20"/>
                <w:szCs w:val="20"/>
              </w:rPr>
              <w:t xml:space="preserve">Base Case</w:t>
            </w:r>
          </w:p>
        </w:tc>
        <w:tc>
          <w:tcPr>
            <w:tcW w:type="dxa" w:w="2900"/>
            <w:shd w:fill="DCE6F1" w:val="clear"/>
            <w:vAlign w:val="center"/>
          </w:tcPr>
          <w:p>
            <w:pPr>
              <w:jc w:val="center"/>
            </w:pPr>
            <w:r>
              <w:rPr>
                <w:b/>
                <w:bCs/>
                <w:sz w:val="20"/>
                <w:szCs w:val="20"/>
              </w:rPr>
              <w:t xml:space="preserve">Scenario (d)</w:t>
            </w:r>
          </w:p>
        </w:tc>
      </w:tr>
      <w:tr>
        <w:tc>
          <w:tcPr>
            <w:tcW w:type="dxa" w:w="2600"/>
            <w:vAlign w:val="center"/>
          </w:tcPr>
          <w:p>
            <w:pPr>
              <w:jc w:val="left"/>
            </w:pPr>
            <w:r>
              <w:rPr>
                <w:b w:val="false"/>
                <w:bCs w:val="false"/>
                <w:sz w:val="20"/>
                <w:szCs w:val="20"/>
              </w:rPr>
              <w:t xml:space="preserve">NPV</w:t>
            </w:r>
          </w:p>
        </w:tc>
        <w:tc>
          <w:tcPr>
            <w:tcW w:type="dxa" w:w="2900"/>
            <w:vAlign w:val="center"/>
          </w:tcPr>
          <w:p>
            <w:pPr>
              <w:jc w:val="center"/>
            </w:pPr>
            <w:r>
              <w:rPr>
                <w:b w:val="false"/>
                <w:bCs w:val="false"/>
                <w:sz w:val="20"/>
                <w:szCs w:val="20"/>
              </w:rPr>
              <w:t xml:space="preserve">−$21.45M</w:t>
            </w:r>
          </w:p>
        </w:tc>
        <w:tc>
          <w:tcPr>
            <w:tcW w:type="dxa" w:w="2900"/>
            <w:vAlign w:val="center"/>
          </w:tcPr>
          <w:p>
            <w:pPr>
              <w:jc w:val="center"/>
            </w:pPr>
            <w:r>
              <w:rPr>
                <w:b w:val="false"/>
                <w:bCs w:val="false"/>
                <w:sz w:val="20"/>
                <w:szCs w:val="20"/>
              </w:rPr>
              <w:t xml:space="preserve">+$18.26M</w:t>
            </w:r>
          </w:p>
        </w:tc>
      </w:tr>
      <w:tr>
        <w:tc>
          <w:tcPr>
            <w:tcW w:type="dxa" w:w="2600"/>
            <w:vAlign w:val="center"/>
          </w:tcPr>
          <w:p>
            <w:pPr>
              <w:jc w:val="left"/>
            </w:pPr>
            <w:r>
              <w:rPr>
                <w:b w:val="false"/>
                <w:bCs w:val="false"/>
                <w:sz w:val="20"/>
                <w:szCs w:val="20"/>
              </w:rPr>
              <w:t xml:space="preserve">Δ NPV</w:t>
            </w:r>
          </w:p>
        </w:tc>
        <w:tc>
          <w:tcPr>
            <w:tcW w:type="dxa" w:w="2900"/>
            <w:vAlign w:val="center"/>
          </w:tcPr>
          <w:p>
            <w:pPr>
              <w:jc w:val="center"/>
            </w:pPr>
            <w:r>
              <w:rPr>
                <w:b w:val="false"/>
                <w:bCs w:val="false"/>
                <w:sz w:val="20"/>
                <w:szCs w:val="20"/>
              </w:rPr>
              <w:t xml:space="preserve">—</w:t>
            </w:r>
          </w:p>
        </w:tc>
        <w:tc>
          <w:tcPr>
            <w:tcW w:type="dxa" w:w="2900"/>
            <w:vAlign w:val="center"/>
          </w:tcPr>
          <w:p>
            <w:pPr>
              <w:jc w:val="center"/>
            </w:pPr>
            <w:r>
              <w:rPr>
                <w:b w:val="false"/>
                <w:bCs w:val="false"/>
                <w:sz w:val="20"/>
                <w:szCs w:val="20"/>
              </w:rPr>
              <w:t xml:space="preserve">+$39.71M</w:t>
            </w:r>
          </w:p>
        </w:tc>
      </w:tr>
    </w:tbl>
    <w:p>
      <w:pPr>
        <w:spacing w:after="100"/>
      </w:pPr>
    </w:p>
    <w:p>
      <w:pPr>
        <w:spacing w:after="120"/>
      </w:pPr>
      <w:r>
        <w:rPr>
          <w:i/>
          <w:iCs/>
          <w:color w:val="444444"/>
          <w:sz w:val="20"/>
          <w:szCs w:val="20"/>
        </w:rPr>
        <w:t xml:space="preserve">Even a distant, deeply-discounted salvage value is enough to turn the project NPV-positive, since the base case was only marginally negative.</w:t>
      </w:r>
    </w:p>
    <w:p>
      <w:pPr>
        <w:spacing w:after="120"/>
      </w:pPr>
      <w:r>
        <w:rPr>
          <w:b/>
          <w:bCs/>
          <w:color w:val="1F4E78"/>
        </w:rPr>
        <w:t xml:space="preserve">Variable changed and why: </w:t>
      </w:r>
      <w:r>
        <w:t xml:space="preserve">a one-time terminal cash flow, representing the option to monetize the technology by selling it to another automaker instead of only running it to the end of its life.</w:t>
      </w:r>
    </w:p>
    <w:p>
      <w:pPr>
        <w:spacing w:after="120"/>
      </w:pPr>
      <w:r>
        <w:rPr>
          <w:b/>
          <w:bCs/>
          <w:color w:val="1F4E78"/>
        </w:rPr>
        <w:t xml:space="preserve">Business impact: </w:t>
      </w:r>
      <w:r>
        <w:t xml:space="preserve">NPV moves from −$21.45M to +$18.26M — a $39.71M swing, even though the $100M is 12 years out and heavily discounted.</w:t>
      </w:r>
    </w:p>
    <w:p>
      <w:pPr>
        <w:pStyle w:val="Heading2"/>
        <w:spacing w:after="80" w:before="240"/>
      </w:pPr>
      <w:r>
        <w:t xml:space="preserve">(e) Technology more valuable than expected: $210M/year, or a $810M sale today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tblGrid>
      <w:tr>
        <w:tc>
          <w:tcPr>
            <w:tcW w:type="dxa" w:w="4600"/>
            <w:shd w:fill="DCE6F1" w:val="clear"/>
            <w:vAlign w:val="center"/>
          </w:tcPr>
          <w:p>
            <w:pPr>
              <w:jc w:val="center"/>
            </w:pPr>
            <w:r>
              <w:rPr>
                <w:b/>
                <w:bCs/>
                <w:sz w:val="20"/>
                <w:szCs w:val="20"/>
              </w:rPr>
              <w:t xml:space="preserve">Metric</w:t>
            </w:r>
          </w:p>
        </w:tc>
        <w:tc>
          <w:tcPr>
            <w:tcW w:type="dxa" w:w="2800"/>
            <w:shd w:fill="DCE6F1" w:val="clear"/>
            <w:vAlign w:val="center"/>
          </w:tcPr>
          <w:p>
            <w:pPr>
              <w:jc w:val="center"/>
            </w:pPr>
            <w:r>
              <w:rPr>
                <w:b/>
                <w:bCs/>
                <w:sz w:val="20"/>
                <w:szCs w:val="20"/>
              </w:rPr>
              <w:t xml:space="preserve">Value</w:t>
            </w:r>
          </w:p>
        </w:tc>
      </w:tr>
      <w:tr>
        <w:tc>
          <w:tcPr>
            <w:tcW w:type="dxa" w:w="4600"/>
            <w:vAlign w:val="center"/>
          </w:tcPr>
          <w:p>
            <w:pPr>
              <w:jc w:val="left"/>
            </w:pPr>
            <w:r>
              <w:rPr>
                <w:b w:val="false"/>
                <w:bCs w:val="false"/>
                <w:sz w:val="20"/>
                <w:szCs w:val="20"/>
              </w:rPr>
              <w:t xml:space="preserve">NPV at $210M/year (r = 8%)</w:t>
            </w:r>
          </w:p>
        </w:tc>
        <w:tc>
          <w:tcPr>
            <w:tcW w:type="dxa" w:w="2800"/>
            <w:vAlign w:val="center"/>
          </w:tcPr>
          <w:p>
            <w:pPr>
              <w:jc w:val="center"/>
            </w:pPr>
            <w:r>
              <w:rPr>
                <w:b w:val="false"/>
                <w:bCs w:val="false"/>
                <w:sz w:val="20"/>
                <w:szCs w:val="20"/>
              </w:rPr>
              <w:t xml:space="preserve">+$20.79M</w:t>
            </w:r>
          </w:p>
        </w:tc>
      </w:tr>
      <w:tr>
        <w:tc>
          <w:tcPr>
            <w:tcW w:type="dxa" w:w="4600"/>
            <w:vAlign w:val="center"/>
          </w:tcPr>
          <w:p>
            <w:pPr>
              <w:jc w:val="left"/>
            </w:pPr>
            <w:r>
              <w:rPr>
                <w:b w:val="false"/>
                <w:bCs w:val="false"/>
                <w:sz w:val="20"/>
                <w:szCs w:val="20"/>
              </w:rPr>
              <w:t xml:space="preserve">Δ NPV vs. base case</w:t>
            </w:r>
          </w:p>
        </w:tc>
        <w:tc>
          <w:tcPr>
            <w:tcW w:type="dxa" w:w="2800"/>
            <w:vAlign w:val="center"/>
          </w:tcPr>
          <w:p>
            <w:pPr>
              <w:jc w:val="center"/>
            </w:pPr>
            <w:r>
              <w:rPr>
                <w:b w:val="false"/>
                <w:bCs w:val="false"/>
                <w:sz w:val="20"/>
                <w:szCs w:val="20"/>
              </w:rPr>
              <w:t xml:space="preserve">+$42.24M</w:t>
            </w:r>
          </w:p>
        </w:tc>
      </w:tr>
      <w:tr>
        <w:tc>
          <w:tcPr>
            <w:tcW w:type="dxa" w:w="4600"/>
            <w:vAlign w:val="center"/>
          </w:tcPr>
          <w:p>
            <w:pPr>
              <w:jc w:val="left"/>
            </w:pPr>
            <w:r>
              <w:rPr>
                <w:b w:val="false"/>
                <w:bCs w:val="false"/>
                <w:sz w:val="20"/>
                <w:szCs w:val="20"/>
              </w:rPr>
              <w:t xml:space="preserve">PV of the inflow stream alone (the technology's DCF value)</w:t>
            </w:r>
          </w:p>
        </w:tc>
        <w:tc>
          <w:tcPr>
            <w:tcW w:type="dxa" w:w="2800"/>
            <w:vAlign w:val="center"/>
          </w:tcPr>
          <w:p>
            <w:pPr>
              <w:jc w:val="center"/>
            </w:pPr>
            <w:r>
              <w:rPr>
                <w:b w:val="false"/>
                <w:bCs w:val="false"/>
                <w:sz w:val="20"/>
                <w:szCs w:val="20"/>
              </w:rPr>
              <w:t xml:space="preserve">$887.03M</w:t>
            </w:r>
          </w:p>
        </w:tc>
      </w:tr>
      <w:tr>
        <w:tc>
          <w:tcPr>
            <w:tcW w:type="dxa" w:w="4600"/>
            <w:vAlign w:val="center"/>
          </w:tcPr>
          <w:p>
            <w:pPr>
              <w:jc w:val="left"/>
            </w:pPr>
            <w:r>
              <w:rPr>
                <w:b w:val="false"/>
                <w:bCs w:val="false"/>
                <w:sz w:val="20"/>
                <w:szCs w:val="20"/>
              </w:rPr>
              <w:t xml:space="preserve">Quoted market value of the technology today (2023), per the case</w:t>
            </w:r>
          </w:p>
        </w:tc>
        <w:tc>
          <w:tcPr>
            <w:tcW w:type="dxa" w:w="2800"/>
            <w:vAlign w:val="center"/>
          </w:tcPr>
          <w:p>
            <w:pPr>
              <w:jc w:val="center"/>
            </w:pPr>
            <w:r>
              <w:rPr>
                <w:b w:val="false"/>
                <w:bCs w:val="false"/>
                <w:sz w:val="20"/>
                <w:szCs w:val="20"/>
              </w:rPr>
              <w:t xml:space="preserve">$810.00M</w:t>
            </w:r>
          </w:p>
        </w:tc>
      </w:tr>
    </w:tbl>
    <w:p>
      <w:pPr>
        <w:spacing w:after="100"/>
      </w:pPr>
    </w:p>
    <w:p>
      <w:pPr>
        <w:spacing w:after="120"/>
      </w:pPr>
      <w:r>
        <w:rPr>
          <w:i/>
          <w:iCs/>
          <w:color w:val="444444"/>
          <w:sz w:val="20"/>
          <w:szCs w:val="20"/>
        </w:rPr>
        <w:t xml:space="preserve">Cross-checking the two valuations (the same way we cross-checked ITC's DCF value against its market price in the WACC assignment): the DCF value of the technology's future cash flows ($887M) exceeds the market's quoted value ($810M). That gap suggests either the market is pricing the technology conservatively, or the $210M/year assumption is somewhat optimistic — either way, this scenario is comfortably NPV-positive under either valuation.</w:t>
      </w:r>
    </w:p>
    <w:p>
      <w:pPr>
        <w:spacing w:after="120"/>
      </w:pPr>
      <w:r>
        <w:rPr>
          <w:b/>
          <w:bCs/>
          <w:color w:val="1F4E78"/>
        </w:rPr>
        <w:t xml:space="preserve">Variable changed and why: </w:t>
      </w:r>
      <w:r>
        <w:t xml:space="preserve">the annual cash inflow again, this time reflecting technology-performance/demand upside rather than a policy change.</w:t>
      </w:r>
    </w:p>
    <w:p>
      <w:pPr>
        <w:spacing w:after="120"/>
      </w:pPr>
      <w:r>
        <w:rPr>
          <w:b/>
          <w:bCs/>
          <w:color w:val="1F4E78"/>
        </w:rPr>
        <w:t xml:space="preserve">Business impact: </w:t>
      </w:r>
      <w:r>
        <w:t xml:space="preserve">NPV moves from −$21.45M to +$20.79M — a $42.24M swing — and the DCF value cross-checks reasonably closely against the case's independent $810M market valuation.</w:t>
      </w:r>
    </w:p>
    <w:p>
      <w:pPr>
        <w:pStyle w:val="Heading2"/>
        <w:spacing w:after="80" w:before="240"/>
      </w:pPr>
      <w:r>
        <w:t xml:space="preserve">(f) Hydrogen breakthrough risk: 30% chance the project life shortens to 10 years, salvage wiped out</w:t>
      </w:r>
    </w:p>
    <w:p>
      <w:pPr>
        <w:spacing w:after="120"/>
      </w:pPr>
      <w:r>
        <w:t xml:space="preserve">If hydrogen vehicles dominate, the project's life shortens from 12 to 10 years post-acquisition (cash flows run 2024–2033 instead of 2024–2035, losing the last two $200M inflows), with 30% probability. The expected NPV blends this outcome with the 70% chance the base case holds (Expected value = Σ Probability × Outcome).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600"/>
        <w:gridCol w:w="2800"/>
      </w:tblGrid>
      <w:tr>
        <w:tc>
          <w:tcPr>
            <w:tcW w:type="dxa" w:w="4600"/>
            <w:shd w:fill="DCE6F1" w:val="clear"/>
            <w:vAlign w:val="center"/>
          </w:tcPr>
          <w:p>
            <w:pPr>
              <w:jc w:val="center"/>
            </w:pPr>
            <w:r>
              <w:rPr>
                <w:b/>
                <w:bCs/>
                <w:sz w:val="20"/>
                <w:szCs w:val="20"/>
              </w:rPr>
              <w:t xml:space="preserve">Metric</w:t>
            </w:r>
          </w:p>
        </w:tc>
        <w:tc>
          <w:tcPr>
            <w:tcW w:type="dxa" w:w="2800"/>
            <w:shd w:fill="DCE6F1" w:val="clear"/>
            <w:vAlign w:val="center"/>
          </w:tcPr>
          <w:p>
            <w:pPr>
              <w:jc w:val="center"/>
            </w:pPr>
            <w:r>
              <w:rPr>
                <w:b/>
                <w:bCs/>
                <w:sz w:val="20"/>
                <w:szCs w:val="20"/>
              </w:rPr>
              <w:t xml:space="preserve">Value</w:t>
            </w:r>
          </w:p>
        </w:tc>
      </w:tr>
      <w:tr>
        <w:tc>
          <w:tcPr>
            <w:tcW w:type="dxa" w:w="4600"/>
            <w:vAlign w:val="center"/>
          </w:tcPr>
          <w:p>
            <w:pPr>
              <w:jc w:val="left"/>
            </w:pPr>
            <w:r>
              <w:rPr>
                <w:b w:val="false"/>
                <w:bCs w:val="false"/>
                <w:sz w:val="20"/>
                <w:szCs w:val="20"/>
              </w:rPr>
              <w:t xml:space="preserve">NPV if life shortens to 10 years</w:t>
            </w:r>
          </w:p>
        </w:tc>
        <w:tc>
          <w:tcPr>
            <w:tcW w:type="dxa" w:w="2800"/>
            <w:vAlign w:val="center"/>
          </w:tcPr>
          <w:p>
            <w:pPr>
              <w:jc w:val="center"/>
            </w:pPr>
            <w:r>
              <w:rPr>
                <w:b w:val="false"/>
                <w:bCs w:val="false"/>
                <w:sz w:val="20"/>
                <w:szCs w:val="20"/>
              </w:rPr>
              <w:t xml:space="preserve">−$186.65M</w:t>
            </w:r>
          </w:p>
        </w:tc>
      </w:tr>
      <w:tr>
        <w:tc>
          <w:tcPr>
            <w:tcW w:type="dxa" w:w="4600"/>
            <w:vAlign w:val="center"/>
          </w:tcPr>
          <w:p>
            <w:pPr>
              <w:jc w:val="left"/>
            </w:pPr>
            <w:r>
              <w:rPr>
                <w:b w:val="false"/>
                <w:bCs w:val="false"/>
                <w:sz w:val="20"/>
                <w:szCs w:val="20"/>
              </w:rPr>
              <w:t xml:space="preserve">NPV if base case (12-year life) holds</w:t>
            </w:r>
          </w:p>
        </w:tc>
        <w:tc>
          <w:tcPr>
            <w:tcW w:type="dxa" w:w="2800"/>
            <w:vAlign w:val="center"/>
          </w:tcPr>
          <w:p>
            <w:pPr>
              <w:jc w:val="center"/>
            </w:pPr>
            <w:r>
              <w:rPr>
                <w:b w:val="false"/>
                <w:bCs w:val="false"/>
                <w:sz w:val="20"/>
                <w:szCs w:val="20"/>
              </w:rPr>
              <w:t xml:space="preserve">−$21.45M</w:t>
            </w:r>
          </w:p>
        </w:tc>
      </w:tr>
      <w:tr>
        <w:tc>
          <w:tcPr>
            <w:tcW w:type="dxa" w:w="4600"/>
            <w:vAlign w:val="center"/>
          </w:tcPr>
          <w:p>
            <w:pPr>
              <w:jc w:val="left"/>
            </w:pPr>
            <w:r>
              <w:rPr>
                <w:b w:val="false"/>
                <w:bCs w:val="false"/>
                <w:sz w:val="20"/>
                <w:szCs w:val="20"/>
              </w:rPr>
              <w:t xml:space="preserve">Expected NPV = 0.30 × (−186.65) + 0.70 × (−21.45)</w:t>
            </w:r>
          </w:p>
        </w:tc>
        <w:tc>
          <w:tcPr>
            <w:tcW w:type="dxa" w:w="2800"/>
            <w:vAlign w:val="center"/>
          </w:tcPr>
          <w:p>
            <w:pPr>
              <w:jc w:val="center"/>
            </w:pPr>
            <w:r>
              <w:rPr>
                <w:b w:val="false"/>
                <w:bCs w:val="false"/>
                <w:sz w:val="20"/>
                <w:szCs w:val="20"/>
              </w:rPr>
              <w:t xml:space="preserve">−$71.01M</w:t>
            </w:r>
          </w:p>
        </w:tc>
      </w:tr>
      <w:tr>
        <w:tc>
          <w:tcPr>
            <w:tcW w:type="dxa" w:w="4600"/>
            <w:vAlign w:val="center"/>
          </w:tcPr>
          <w:p>
            <w:pPr>
              <w:jc w:val="left"/>
            </w:pPr>
            <w:r>
              <w:rPr>
                <w:b w:val="false"/>
                <w:bCs w:val="false"/>
                <w:sz w:val="20"/>
                <w:szCs w:val="20"/>
              </w:rPr>
              <w:t xml:space="preserve">Δ Expected NPV vs. base case</w:t>
            </w:r>
          </w:p>
        </w:tc>
        <w:tc>
          <w:tcPr>
            <w:tcW w:type="dxa" w:w="2800"/>
            <w:vAlign w:val="center"/>
          </w:tcPr>
          <w:p>
            <w:pPr>
              <w:jc w:val="center"/>
            </w:pPr>
            <w:r>
              <w:rPr>
                <w:b w:val="false"/>
                <w:bCs w:val="false"/>
                <w:sz w:val="20"/>
                <w:szCs w:val="20"/>
              </w:rPr>
              <w:t xml:space="preserve">−$49.56M</w:t>
            </w:r>
          </w:p>
        </w:tc>
      </w:tr>
    </w:tbl>
    <w:p>
      <w:pPr>
        <w:spacing w:after="100"/>
      </w:pPr>
    </w:p>
    <w:p>
      <w:pPr>
        <w:spacing w:after="120"/>
      </w:pPr>
      <w:r>
        <w:rPr>
          <w:i/>
          <w:iCs/>
          <w:color w:val="444444"/>
          <w:sz w:val="20"/>
          <w:szCs w:val="20"/>
        </w:rPr>
        <w:t xml:space="preserve">Losing the final two years of $200M inflows is costly even discounted back, and a 30% chance of it happening pulls the expected NPV down to −$71M — this is the most damaging of the six scenarios.</w:t>
      </w:r>
    </w:p>
    <w:p>
      <w:pPr>
        <w:spacing w:after="120"/>
      </w:pPr>
      <w:r>
        <w:rPr>
          <w:b/>
          <w:bCs/>
          <w:color w:val="1F4E78"/>
        </w:rPr>
        <w:t xml:space="preserve">Variable changed and why: </w:t>
      </w:r>
      <w:r>
        <w:t xml:space="preserve">the project's life (and therefore how many $200M inflows are ever received), because a hydrogen breakthrough is an external technology-obsolescence risk, not something Liz controls.</w:t>
      </w:r>
    </w:p>
    <w:p>
      <w:pPr>
        <w:spacing w:after="120"/>
      </w:pPr>
      <w:r>
        <w:rPr>
          <w:b/>
          <w:bCs/>
          <w:color w:val="1F4E78"/>
        </w:rPr>
        <w:t xml:space="preserve">Business impact: </w:t>
      </w:r>
      <w:r>
        <w:t xml:space="preserve">weighted by its 30% probability, expected NPV falls from −$21.45M to −$71.01M — a $49.56M reduction, the largest quantified external threat in the analysis.</w:t>
      </w:r>
    </w:p>
    <w:p>
      <w:pPr>
        <w:pStyle w:val="Heading1"/>
        <w:spacing w:after="100" w:before="320"/>
      </w:pPr>
      <w:r>
        <w:t xml:space="preserve">Summary of the Sensitivity Analysis (r = 8% unless noted)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2500"/>
      </w:tblGrid>
      <w:tr>
        <w:tc>
          <w:tcPr>
            <w:tcW w:type="dxa" w:w="700"/>
            <w:shd w:fill="DCE6F1" w:val="clear"/>
            <w:vAlign w:val="center"/>
          </w:tcPr>
          <w:p>
            <w:pPr>
              <w:jc w:val="center"/>
            </w:pPr>
            <w:r>
              <w:rPr>
                <w:b/>
                <w:bCs/>
                <w:sz w:val="20"/>
                <w:szCs w:val="20"/>
              </w:rPr>
              <w:t xml:space="preserve">#</w:t>
            </w:r>
          </w:p>
        </w:tc>
        <w:tc>
          <w:tcPr>
            <w:tcW w:type="dxa" w:w="4000"/>
            <w:shd w:fill="DCE6F1" w:val="clear"/>
            <w:vAlign w:val="center"/>
          </w:tcPr>
          <w:p>
            <w:pPr>
              <w:jc w:val="center"/>
            </w:pPr>
            <w:r>
              <w:rPr>
                <w:b/>
                <w:bCs/>
                <w:sz w:val="20"/>
                <w:szCs w:val="20"/>
              </w:rPr>
              <w:t xml:space="preserve">Scenario</w:t>
            </w:r>
          </w:p>
        </w:tc>
        <w:tc>
          <w:tcPr>
            <w:tcW w:type="dxa" w:w="2200"/>
            <w:shd w:fill="DCE6F1" w:val="clear"/>
            <w:vAlign w:val="center"/>
          </w:tcPr>
          <w:p>
            <w:pPr>
              <w:jc w:val="center"/>
            </w:pPr>
            <w:r>
              <w:rPr>
                <w:b/>
                <w:bCs/>
                <w:sz w:val="20"/>
                <w:szCs w:val="20"/>
              </w:rPr>
              <w:t xml:space="preserve">NPV ($M)</w:t>
            </w:r>
          </w:p>
        </w:tc>
        <w:tc>
          <w:tcPr>
            <w:tcW w:type="dxa" w:w="2500"/>
            <w:shd w:fill="DCE6F1" w:val="clear"/>
            <w:vAlign w:val="center"/>
          </w:tcPr>
          <w:p>
            <w:pPr>
              <w:jc w:val="center"/>
            </w:pPr>
            <w:r>
              <w:rPr>
                <w:b/>
                <w:bCs/>
                <w:sz w:val="20"/>
                <w:szCs w:val="20"/>
              </w:rPr>
              <w:t xml:space="preserve">Δ NPV vs. base ($M)</w:t>
            </w:r>
          </w:p>
        </w:tc>
      </w:tr>
      <w:tr>
        <w:tc>
          <w:tcPr>
            <w:tcW w:type="dxa" w:w="700"/>
            <w:vAlign w:val="center"/>
          </w:tcPr>
          <w:p>
            <w:pPr>
              <w:jc w:val="left"/>
            </w:pPr>
            <w:r>
              <w:rPr>
                <w:b w:val="false"/>
                <w:bCs w:val="false"/>
                <w:sz w:val="20"/>
                <w:szCs w:val="20"/>
              </w:rPr>
              <w:t xml:space="preserve">Base</w:t>
            </w:r>
          </w:p>
        </w:tc>
        <w:tc>
          <w:tcPr>
            <w:tcW w:type="dxa" w:w="4000"/>
            <w:vAlign w:val="center"/>
          </w:tcPr>
          <w:p>
            <w:pPr>
              <w:jc w:val="center"/>
            </w:pPr>
            <w:r>
              <w:rPr>
                <w:b w:val="false"/>
                <w:bCs w:val="false"/>
                <w:sz w:val="20"/>
                <w:szCs w:val="20"/>
              </w:rPr>
              <w:t xml:space="preserve">Base case (8% hurdle rate)</w:t>
            </w:r>
          </w:p>
        </w:tc>
        <w:tc>
          <w:tcPr>
            <w:tcW w:type="dxa" w:w="2200"/>
            <w:vAlign w:val="center"/>
          </w:tcPr>
          <w:p>
            <w:pPr>
              <w:jc w:val="center"/>
            </w:pPr>
            <w:r>
              <w:rPr>
                <w:b w:val="false"/>
                <w:bCs w:val="false"/>
                <w:sz w:val="20"/>
                <w:szCs w:val="20"/>
              </w:rPr>
              <w:t xml:space="preserve">−21.45</w:t>
            </w:r>
          </w:p>
        </w:tc>
        <w:tc>
          <w:tcPr>
            <w:tcW w:type="dxa" w:w="2500"/>
            <w:vAlign w:val="center"/>
          </w:tcPr>
          <w:p>
            <w:pPr>
              <w:jc w:val="center"/>
            </w:pPr>
            <w:r>
              <w:rPr>
                <w:b w:val="false"/>
                <w:bCs w:val="false"/>
                <w:sz w:val="20"/>
                <w:szCs w:val="20"/>
              </w:rPr>
              <w:t xml:space="preserve">—</w:t>
            </w:r>
          </w:p>
        </w:tc>
      </w:tr>
      <w:tr>
        <w:tc>
          <w:tcPr>
            <w:tcW w:type="dxa" w:w="700"/>
            <w:vAlign w:val="center"/>
          </w:tcPr>
          <w:p>
            <w:pPr>
              <w:jc w:val="left"/>
            </w:pPr>
            <w:r>
              <w:rPr>
                <w:b w:val="false"/>
                <w:bCs w:val="false"/>
                <w:sz w:val="20"/>
                <w:szCs w:val="20"/>
              </w:rPr>
              <w:t xml:space="preserve">(a)</w:t>
            </w:r>
          </w:p>
        </w:tc>
        <w:tc>
          <w:tcPr>
            <w:tcW w:type="dxa" w:w="4000"/>
            <w:vAlign w:val="center"/>
          </w:tcPr>
          <w:p>
            <w:pPr>
              <w:jc w:val="center"/>
            </w:pPr>
            <w:r>
              <w:rPr>
                <w:b w:val="false"/>
                <w:bCs w:val="false"/>
                <w:sz w:val="20"/>
                <w:szCs w:val="20"/>
              </w:rPr>
              <w:t xml:space="preserve">Fed hikes rates → Kd = 8.5%</w:t>
            </w:r>
          </w:p>
        </w:tc>
        <w:tc>
          <w:tcPr>
            <w:tcW w:type="dxa" w:w="2200"/>
            <w:vAlign w:val="center"/>
          </w:tcPr>
          <w:p>
            <w:pPr>
              <w:jc w:val="center"/>
            </w:pPr>
            <w:r>
              <w:rPr>
                <w:b w:val="false"/>
                <w:bCs w:val="false"/>
                <w:sz w:val="20"/>
                <w:szCs w:val="20"/>
              </w:rPr>
              <w:t xml:space="preserve">−51.69</w:t>
            </w:r>
          </w:p>
        </w:tc>
        <w:tc>
          <w:tcPr>
            <w:tcW w:type="dxa" w:w="2500"/>
            <w:vAlign w:val="center"/>
          </w:tcPr>
          <w:p>
            <w:pPr>
              <w:jc w:val="center"/>
            </w:pPr>
            <w:r>
              <w:rPr>
                <w:b w:val="false"/>
                <w:bCs w:val="false"/>
                <w:sz w:val="20"/>
                <w:szCs w:val="20"/>
              </w:rPr>
              <w:t xml:space="preserve">−30.24</w:t>
            </w:r>
          </w:p>
        </w:tc>
      </w:tr>
      <w:tr>
        <w:tc>
          <w:tcPr>
            <w:tcW w:type="dxa" w:w="700"/>
            <w:vAlign w:val="center"/>
          </w:tcPr>
          <w:p>
            <w:pPr>
              <w:jc w:val="left"/>
            </w:pPr>
            <w:r>
              <w:rPr>
                <w:b w:val="false"/>
                <w:bCs w:val="false"/>
                <w:sz w:val="20"/>
                <w:szCs w:val="20"/>
              </w:rPr>
              <w:t xml:space="preserve">(b)</w:t>
            </w:r>
          </w:p>
        </w:tc>
        <w:tc>
          <w:tcPr>
            <w:tcW w:type="dxa" w:w="4000"/>
            <w:vAlign w:val="center"/>
          </w:tcPr>
          <w:p>
            <w:pPr>
              <w:jc w:val="center"/>
            </w:pPr>
            <w:r>
              <w:rPr>
                <w:b w:val="false"/>
                <w:bCs w:val="false"/>
                <w:sz w:val="20"/>
                <w:szCs w:val="20"/>
              </w:rPr>
              <w:t xml:space="preserve">Green bond → Kd = 7.5%</w:t>
            </w:r>
          </w:p>
        </w:tc>
        <w:tc>
          <w:tcPr>
            <w:tcW w:type="dxa" w:w="2200"/>
            <w:vAlign w:val="center"/>
          </w:tcPr>
          <w:p>
            <w:pPr>
              <w:jc w:val="center"/>
            </w:pPr>
            <w:r>
              <w:rPr>
                <w:b w:val="false"/>
                <w:bCs w:val="false"/>
                <w:sz w:val="20"/>
                <w:szCs w:val="20"/>
              </w:rPr>
              <w:t xml:space="preserve">+10.20</w:t>
            </w:r>
          </w:p>
        </w:tc>
        <w:tc>
          <w:tcPr>
            <w:tcW w:type="dxa" w:w="2500"/>
            <w:vAlign w:val="center"/>
          </w:tcPr>
          <w:p>
            <w:pPr>
              <w:jc w:val="center"/>
            </w:pPr>
            <w:r>
              <w:rPr>
                <w:b w:val="false"/>
                <w:bCs w:val="false"/>
                <w:sz w:val="20"/>
                <w:szCs w:val="20"/>
              </w:rPr>
              <w:t xml:space="preserve">+31.65</w:t>
            </w:r>
          </w:p>
        </w:tc>
      </w:tr>
      <w:tr>
        <w:tc>
          <w:tcPr>
            <w:tcW w:type="dxa" w:w="700"/>
            <w:vAlign w:val="center"/>
          </w:tcPr>
          <w:p>
            <w:pPr>
              <w:jc w:val="left"/>
            </w:pPr>
            <w:r>
              <w:rPr>
                <w:b w:val="false"/>
                <w:bCs w:val="false"/>
                <w:sz w:val="20"/>
                <w:szCs w:val="20"/>
              </w:rPr>
              <w:t xml:space="preserve">(c)</w:t>
            </w:r>
          </w:p>
        </w:tc>
        <w:tc>
          <w:tcPr>
            <w:tcW w:type="dxa" w:w="4000"/>
            <w:vAlign w:val="center"/>
          </w:tcPr>
          <w:p>
            <w:pPr>
              <w:jc w:val="center"/>
            </w:pPr>
            <w:r>
              <w:rPr>
                <w:b w:val="false"/>
                <w:bCs w:val="false"/>
                <w:sz w:val="20"/>
                <w:szCs w:val="20"/>
              </w:rPr>
              <w:t xml:space="preserve">CBAM tailwind → $220M/yr</w:t>
            </w:r>
          </w:p>
        </w:tc>
        <w:tc>
          <w:tcPr>
            <w:tcW w:type="dxa" w:w="2200"/>
            <w:vAlign w:val="center"/>
          </w:tcPr>
          <w:p>
            <w:pPr>
              <w:jc w:val="center"/>
            </w:pPr>
            <w:r>
              <w:rPr>
                <w:b w:val="false"/>
                <w:bCs w:val="false"/>
                <w:sz w:val="20"/>
                <w:szCs w:val="20"/>
              </w:rPr>
              <w:t xml:space="preserve">+63.03</w:t>
            </w:r>
          </w:p>
        </w:tc>
        <w:tc>
          <w:tcPr>
            <w:tcW w:type="dxa" w:w="2500"/>
            <w:vAlign w:val="center"/>
          </w:tcPr>
          <w:p>
            <w:pPr>
              <w:jc w:val="center"/>
            </w:pPr>
            <w:r>
              <w:rPr>
                <w:b w:val="false"/>
                <w:bCs w:val="false"/>
                <w:sz w:val="20"/>
                <w:szCs w:val="20"/>
              </w:rPr>
              <w:t xml:space="preserve">+84.48</w:t>
            </w:r>
          </w:p>
        </w:tc>
      </w:tr>
      <w:tr>
        <w:tc>
          <w:tcPr>
            <w:tcW w:type="dxa" w:w="700"/>
            <w:vAlign w:val="center"/>
          </w:tcPr>
          <w:p>
            <w:pPr>
              <w:jc w:val="left"/>
            </w:pPr>
            <w:r>
              <w:rPr>
                <w:b w:val="false"/>
                <w:bCs w:val="false"/>
                <w:sz w:val="20"/>
                <w:szCs w:val="20"/>
              </w:rPr>
              <w:t xml:space="preserve">(d)</w:t>
            </w:r>
          </w:p>
        </w:tc>
        <w:tc>
          <w:tcPr>
            <w:tcW w:type="dxa" w:w="4000"/>
            <w:vAlign w:val="center"/>
          </w:tcPr>
          <w:p>
            <w:pPr>
              <w:jc w:val="center"/>
            </w:pPr>
            <w:r>
              <w:rPr>
                <w:b w:val="false"/>
                <w:bCs w:val="false"/>
                <w:sz w:val="20"/>
                <w:szCs w:val="20"/>
              </w:rPr>
              <w:t xml:space="preserve">Sale of tech in yr 12 for $100M</w:t>
            </w:r>
          </w:p>
        </w:tc>
        <w:tc>
          <w:tcPr>
            <w:tcW w:type="dxa" w:w="2200"/>
            <w:vAlign w:val="center"/>
          </w:tcPr>
          <w:p>
            <w:pPr>
              <w:jc w:val="center"/>
            </w:pPr>
            <w:r>
              <w:rPr>
                <w:b w:val="false"/>
                <w:bCs w:val="false"/>
                <w:sz w:val="20"/>
                <w:szCs w:val="20"/>
              </w:rPr>
              <w:t xml:space="preserve">+18.26</w:t>
            </w:r>
          </w:p>
        </w:tc>
        <w:tc>
          <w:tcPr>
            <w:tcW w:type="dxa" w:w="2500"/>
            <w:vAlign w:val="center"/>
          </w:tcPr>
          <w:p>
            <w:pPr>
              <w:jc w:val="center"/>
            </w:pPr>
            <w:r>
              <w:rPr>
                <w:b w:val="false"/>
                <w:bCs w:val="false"/>
                <w:sz w:val="20"/>
                <w:szCs w:val="20"/>
              </w:rPr>
              <w:t xml:space="preserve">+39.71</w:t>
            </w:r>
          </w:p>
        </w:tc>
      </w:tr>
      <w:tr>
        <w:tc>
          <w:tcPr>
            <w:tcW w:type="dxa" w:w="700"/>
            <w:vAlign w:val="center"/>
          </w:tcPr>
          <w:p>
            <w:pPr>
              <w:jc w:val="left"/>
            </w:pPr>
            <w:r>
              <w:rPr>
                <w:b w:val="false"/>
                <w:bCs w:val="false"/>
                <w:sz w:val="20"/>
                <w:szCs w:val="20"/>
              </w:rPr>
              <w:t xml:space="preserve">(e)</w:t>
            </w:r>
          </w:p>
        </w:tc>
        <w:tc>
          <w:tcPr>
            <w:tcW w:type="dxa" w:w="4000"/>
            <w:vAlign w:val="center"/>
          </w:tcPr>
          <w:p>
            <w:pPr>
              <w:jc w:val="center"/>
            </w:pPr>
            <w:r>
              <w:rPr>
                <w:b w:val="false"/>
                <w:bCs w:val="false"/>
                <w:sz w:val="20"/>
                <w:szCs w:val="20"/>
              </w:rPr>
              <w:t xml:space="preserve">More valuable tech → $210M/yr</w:t>
            </w:r>
          </w:p>
        </w:tc>
        <w:tc>
          <w:tcPr>
            <w:tcW w:type="dxa" w:w="2200"/>
            <w:vAlign w:val="center"/>
          </w:tcPr>
          <w:p>
            <w:pPr>
              <w:jc w:val="center"/>
            </w:pPr>
            <w:r>
              <w:rPr>
                <w:b w:val="false"/>
                <w:bCs w:val="false"/>
                <w:sz w:val="20"/>
                <w:szCs w:val="20"/>
              </w:rPr>
              <w:t xml:space="preserve">+20.79</w:t>
            </w:r>
          </w:p>
        </w:tc>
        <w:tc>
          <w:tcPr>
            <w:tcW w:type="dxa" w:w="2500"/>
            <w:vAlign w:val="center"/>
          </w:tcPr>
          <w:p>
            <w:pPr>
              <w:jc w:val="center"/>
            </w:pPr>
            <w:r>
              <w:rPr>
                <w:b w:val="false"/>
                <w:bCs w:val="false"/>
                <w:sz w:val="20"/>
                <w:szCs w:val="20"/>
              </w:rPr>
              <w:t xml:space="preserve">+42.24</w:t>
            </w:r>
          </w:p>
        </w:tc>
      </w:tr>
      <w:tr>
        <w:tc>
          <w:tcPr>
            <w:tcW w:type="dxa" w:w="700"/>
            <w:vAlign w:val="center"/>
          </w:tcPr>
          <w:p>
            <w:pPr>
              <w:jc w:val="left"/>
            </w:pPr>
            <w:r>
              <w:rPr>
                <w:b w:val="false"/>
                <w:bCs w:val="false"/>
                <w:sz w:val="20"/>
                <w:szCs w:val="20"/>
              </w:rPr>
              <w:t xml:space="preserve">(f)</w:t>
            </w:r>
          </w:p>
        </w:tc>
        <w:tc>
          <w:tcPr>
            <w:tcW w:type="dxa" w:w="4000"/>
            <w:vAlign w:val="center"/>
          </w:tcPr>
          <w:p>
            <w:pPr>
              <w:jc w:val="center"/>
            </w:pPr>
            <w:r>
              <w:rPr>
                <w:b w:val="false"/>
                <w:bCs w:val="false"/>
                <w:sz w:val="20"/>
                <w:szCs w:val="20"/>
              </w:rPr>
              <w:t xml:space="preserve">30% chance of 10-yr life, expected value</w:t>
            </w:r>
          </w:p>
        </w:tc>
        <w:tc>
          <w:tcPr>
            <w:tcW w:type="dxa" w:w="2200"/>
            <w:vAlign w:val="center"/>
          </w:tcPr>
          <w:p>
            <w:pPr>
              <w:jc w:val="center"/>
            </w:pPr>
            <w:r>
              <w:rPr>
                <w:b w:val="false"/>
                <w:bCs w:val="false"/>
                <w:sz w:val="20"/>
                <w:szCs w:val="20"/>
              </w:rPr>
              <w:t xml:space="preserve">−71.01</w:t>
            </w:r>
          </w:p>
        </w:tc>
        <w:tc>
          <w:tcPr>
            <w:tcW w:type="dxa" w:w="2500"/>
            <w:vAlign w:val="center"/>
          </w:tcPr>
          <w:p>
            <w:pPr>
              <w:jc w:val="center"/>
            </w:pPr>
            <w:r>
              <w:rPr>
                <w:b w:val="false"/>
                <w:bCs w:val="false"/>
                <w:sz w:val="20"/>
                <w:szCs w:val="20"/>
              </w:rPr>
              <w:t xml:space="preserve">−49.56</w:t>
            </w:r>
          </w:p>
        </w:tc>
      </w:tr>
    </w:tbl>
    <w:p>
      <w:pPr>
        <w:pStyle w:val="Heading2"/>
        <w:spacing w:after="80" w:before="240"/>
      </w:pPr>
      <w:r>
        <w:t xml:space="preserve">Why Each Variable Was Changed, and Its Business Impact</w:t>
      </w:r>
    </w:p>
    <w:p>
      <w:pPr>
        <w:spacing w:after="120"/>
      </w:pPr>
      <w:r>
        <w:t xml:space="preserve">Each scenario is a one-variable-at-a-time (ceteris paribus) sensitivity test: everything else is held at the base case so the effect of that one uncertainty can be seen in isolation. This is standard capital-budgeting sensitivity analysis, per the Project Evaluation Methods PPT, and it tells the board exactly which single lever or risk drives how much of the outcome.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shd w:fill="DCE6F1" w:val="clear"/>
            <w:vAlign w:val="center"/>
          </w:tcPr>
          <w:p>
            <w:pPr>
              <w:jc w:val="center"/>
            </w:pPr>
            <w:r>
              <w:rPr>
                <w:b/>
                <w:bCs/>
                <w:sz w:val="20"/>
                <w:szCs w:val="20"/>
              </w:rPr>
              <w:t xml:space="preserve">Scenario</w:t>
            </w:r>
          </w:p>
        </w:tc>
        <w:tc>
          <w:tcPr>
            <w:tcW w:type="dxa" w:w="2400"/>
            <w:shd w:fill="DCE6F1" w:val="clear"/>
            <w:vAlign w:val="center"/>
          </w:tcPr>
          <w:p>
            <w:pPr>
              <w:jc w:val="center"/>
            </w:pPr>
            <w:r>
              <w:rPr>
                <w:b/>
                <w:bCs/>
                <w:sz w:val="20"/>
                <w:szCs w:val="20"/>
              </w:rPr>
              <w:t xml:space="preserve">Variable changed</w:t>
            </w:r>
          </w:p>
        </w:tc>
        <w:tc>
          <w:tcPr>
            <w:tcW w:type="dxa" w:w="4400"/>
            <w:shd w:fill="DCE6F1" w:val="clear"/>
            <w:vAlign w:val="center"/>
          </w:tcPr>
          <w:p>
            <w:pPr>
              <w:jc w:val="center"/>
            </w:pPr>
            <w:r>
              <w:rPr>
                <w:b/>
                <w:bCs/>
                <w:sz w:val="20"/>
                <w:szCs w:val="20"/>
              </w:rPr>
              <w:t xml:space="preserve">Business rationale / impact</w:t>
            </w:r>
          </w:p>
        </w:tc>
      </w:tr>
      <w:tr>
        <w:tc>
          <w:tcPr>
            <w:tcW w:type="dxa" w:w="2400"/>
            <w:vAlign w:val="center"/>
          </w:tcPr>
          <w:p>
            <w:pPr>
              <w:jc w:val="left"/>
            </w:pPr>
            <w:r>
              <w:rPr>
                <w:b w:val="false"/>
                <w:bCs w:val="false"/>
                <w:sz w:val="20"/>
                <w:szCs w:val="20"/>
              </w:rPr>
              <w:t xml:space="preserve">Base case</w:t>
            </w:r>
          </w:p>
        </w:tc>
        <w:tc>
          <w:tcPr>
            <w:tcW w:type="dxa" w:w="2400"/>
            <w:vAlign w:val="center"/>
          </w:tcPr>
          <w:p>
            <w:pPr>
              <w:jc w:val="center"/>
            </w:pPr>
            <w:r>
              <w:rPr>
                <w:b w:val="false"/>
                <w:bCs w:val="false"/>
                <w:sz w:val="20"/>
                <w:szCs w:val="20"/>
              </w:rPr>
              <w:t xml:space="preserve">—</w:t>
            </w:r>
          </w:p>
        </w:tc>
        <w:tc>
          <w:tcPr>
            <w:tcW w:type="dxa" w:w="4400"/>
            <w:vAlign w:val="center"/>
          </w:tcPr>
          <w:p>
            <w:pPr>
              <w:jc w:val="center"/>
            </w:pPr>
            <w:r>
              <w:rPr>
                <w:b w:val="false"/>
                <w:bCs w:val="false"/>
                <w:sz w:val="20"/>
                <w:szCs w:val="20"/>
              </w:rPr>
              <w:t xml:space="preserve">Reference point every scenario below is measured against.</w:t>
            </w:r>
          </w:p>
        </w:tc>
      </w:tr>
      <w:tr>
        <w:tc>
          <w:tcPr>
            <w:tcW w:type="dxa" w:w="2400"/>
            <w:vAlign w:val="center"/>
          </w:tcPr>
          <w:p>
            <w:pPr>
              <w:jc w:val="left"/>
            </w:pPr>
            <w:r>
              <w:rPr>
                <w:b w:val="false"/>
                <w:bCs w:val="false"/>
                <w:sz w:val="20"/>
                <w:szCs w:val="20"/>
              </w:rPr>
              <w:t xml:space="preserve">(a) Fed hikes rates</w:t>
            </w:r>
          </w:p>
        </w:tc>
        <w:tc>
          <w:tcPr>
            <w:tcW w:type="dxa" w:w="2400"/>
            <w:vAlign w:val="center"/>
          </w:tcPr>
          <w:p>
            <w:pPr>
              <w:jc w:val="center"/>
            </w:pPr>
            <w:r>
              <w:rPr>
                <w:b w:val="false"/>
                <w:bCs w:val="false"/>
                <w:sz w:val="20"/>
                <w:szCs w:val="20"/>
              </w:rPr>
              <w:t xml:space="preserve">Discount rate</w:t>
            </w:r>
          </w:p>
        </w:tc>
        <w:tc>
          <w:tcPr>
            <w:tcW w:type="dxa" w:w="4400"/>
            <w:vAlign w:val="center"/>
          </w:tcPr>
          <w:p>
            <w:pPr>
              <w:jc w:val="center"/>
            </w:pPr>
            <w:r>
              <w:rPr>
                <w:b w:val="false"/>
                <w:bCs w:val="false"/>
                <w:sz w:val="20"/>
                <w:szCs w:val="20"/>
              </w:rPr>
              <w:t xml:space="preserve">External macro/interest-rate risk, outside Liz's control. Shows sensitivity to cost of debt alone.</w:t>
            </w:r>
          </w:p>
        </w:tc>
      </w:tr>
      <w:tr>
        <w:tc>
          <w:tcPr>
            <w:tcW w:type="dxa" w:w="2400"/>
            <w:vAlign w:val="center"/>
          </w:tcPr>
          <w:p>
            <w:pPr>
              <w:jc w:val="left"/>
            </w:pPr>
            <w:r>
              <w:rPr>
                <w:b w:val="false"/>
                <w:bCs w:val="false"/>
                <w:sz w:val="20"/>
                <w:szCs w:val="20"/>
              </w:rPr>
              <w:t xml:space="preserve">(b) Green bond</w:t>
            </w:r>
          </w:p>
        </w:tc>
        <w:tc>
          <w:tcPr>
            <w:tcW w:type="dxa" w:w="2400"/>
            <w:vAlign w:val="center"/>
          </w:tcPr>
          <w:p>
            <w:pPr>
              <w:jc w:val="center"/>
            </w:pPr>
            <w:r>
              <w:rPr>
                <w:b w:val="false"/>
                <w:bCs w:val="false"/>
                <w:sz w:val="20"/>
                <w:szCs w:val="20"/>
              </w:rPr>
              <w:t xml:space="preserve">Discount rate</w:t>
            </w:r>
          </w:p>
        </w:tc>
        <w:tc>
          <w:tcPr>
            <w:tcW w:type="dxa" w:w="4400"/>
            <w:vAlign w:val="center"/>
          </w:tcPr>
          <w:p>
            <w:pPr>
              <w:jc w:val="center"/>
            </w:pPr>
            <w:r>
              <w:rPr>
                <w:b w:val="false"/>
                <w:bCs w:val="false"/>
                <w:sz w:val="20"/>
                <w:szCs w:val="20"/>
              </w:rPr>
              <w:t xml:space="preserve">Financing choice within Liz's control. The single biggest positive lever — flips reject to accept.</w:t>
            </w:r>
          </w:p>
        </w:tc>
      </w:tr>
      <w:tr>
        <w:tc>
          <w:tcPr>
            <w:tcW w:type="dxa" w:w="2400"/>
            <w:vAlign w:val="center"/>
          </w:tcPr>
          <w:p>
            <w:pPr>
              <w:jc w:val="left"/>
            </w:pPr>
            <w:r>
              <w:rPr>
                <w:b w:val="false"/>
                <w:bCs w:val="false"/>
                <w:sz w:val="20"/>
                <w:szCs w:val="20"/>
              </w:rPr>
              <w:t xml:space="preserve">(c) CBAM tailwind</w:t>
            </w:r>
          </w:p>
        </w:tc>
        <w:tc>
          <w:tcPr>
            <w:tcW w:type="dxa" w:w="2400"/>
            <w:vAlign w:val="center"/>
          </w:tcPr>
          <w:p>
            <w:pPr>
              <w:jc w:val="center"/>
            </w:pPr>
            <w:r>
              <w:rPr>
                <w:b w:val="false"/>
                <w:bCs w:val="false"/>
                <w:sz w:val="20"/>
                <w:szCs w:val="20"/>
              </w:rPr>
              <w:t xml:space="preserve">Annual cash inflow</w:t>
            </w:r>
          </w:p>
        </w:tc>
        <w:tc>
          <w:tcPr>
            <w:tcW w:type="dxa" w:w="4400"/>
            <w:vAlign w:val="center"/>
          </w:tcPr>
          <w:p>
            <w:pPr>
              <w:jc w:val="center"/>
            </w:pPr>
            <w:r>
              <w:rPr>
                <w:b w:val="false"/>
                <w:bCs w:val="false"/>
                <w:sz w:val="20"/>
                <w:szCs w:val="20"/>
              </w:rPr>
              <w:t xml:space="preserve">External regulatory tailwind (EU policy). Shows how leveraged NPV is to the annual cash flow size.</w:t>
            </w:r>
          </w:p>
        </w:tc>
      </w:tr>
      <w:tr>
        <w:tc>
          <w:tcPr>
            <w:tcW w:type="dxa" w:w="2400"/>
            <w:vAlign w:val="center"/>
          </w:tcPr>
          <w:p>
            <w:pPr>
              <w:jc w:val="left"/>
            </w:pPr>
            <w:r>
              <w:rPr>
                <w:b w:val="false"/>
                <w:bCs w:val="false"/>
                <w:sz w:val="20"/>
                <w:szCs w:val="20"/>
              </w:rPr>
              <w:t xml:space="preserve">(d) Sale of tech (yr 12)</w:t>
            </w:r>
          </w:p>
        </w:tc>
        <w:tc>
          <w:tcPr>
            <w:tcW w:type="dxa" w:w="2400"/>
            <w:vAlign w:val="center"/>
          </w:tcPr>
          <w:p>
            <w:pPr>
              <w:jc w:val="center"/>
            </w:pPr>
            <w:r>
              <w:rPr>
                <w:b w:val="false"/>
                <w:bCs w:val="false"/>
                <w:sz w:val="20"/>
                <w:szCs w:val="20"/>
              </w:rPr>
              <w:t xml:space="preserve">Terminal cash flow</w:t>
            </w:r>
          </w:p>
        </w:tc>
        <w:tc>
          <w:tcPr>
            <w:tcW w:type="dxa" w:w="4400"/>
            <w:vAlign w:val="center"/>
          </w:tcPr>
          <w:p>
            <w:pPr>
              <w:jc w:val="center"/>
            </w:pPr>
            <w:r>
              <w:rPr>
                <w:b w:val="false"/>
                <w:bCs w:val="false"/>
                <w:sz w:val="20"/>
                <w:szCs w:val="20"/>
              </w:rPr>
              <w:t xml:space="preserve">Exit/monetization option. Shows the technology has asset value beyond its operating cash flows.</w:t>
            </w:r>
          </w:p>
        </w:tc>
      </w:tr>
      <w:tr>
        <w:tc>
          <w:tcPr>
            <w:tcW w:type="dxa" w:w="2400"/>
            <w:vAlign w:val="center"/>
          </w:tcPr>
          <w:p>
            <w:pPr>
              <w:jc w:val="left"/>
            </w:pPr>
            <w:r>
              <w:rPr>
                <w:b w:val="false"/>
                <w:bCs w:val="false"/>
                <w:sz w:val="20"/>
                <w:szCs w:val="20"/>
              </w:rPr>
              <w:t xml:space="preserve">(e) More valuable tech</w:t>
            </w:r>
          </w:p>
        </w:tc>
        <w:tc>
          <w:tcPr>
            <w:tcW w:type="dxa" w:w="2400"/>
            <w:vAlign w:val="center"/>
          </w:tcPr>
          <w:p>
            <w:pPr>
              <w:jc w:val="center"/>
            </w:pPr>
            <w:r>
              <w:rPr>
                <w:b w:val="false"/>
                <w:bCs w:val="false"/>
                <w:sz w:val="20"/>
                <w:szCs w:val="20"/>
              </w:rPr>
              <w:t xml:space="preserve">Annual cash inflow</w:t>
            </w:r>
          </w:p>
        </w:tc>
        <w:tc>
          <w:tcPr>
            <w:tcW w:type="dxa" w:w="4400"/>
            <w:vAlign w:val="center"/>
          </w:tcPr>
          <w:p>
            <w:pPr>
              <w:jc w:val="center"/>
            </w:pPr>
            <w:r>
              <w:rPr>
                <w:b w:val="false"/>
                <w:bCs w:val="false"/>
                <w:sz w:val="20"/>
                <w:szCs w:val="20"/>
              </w:rPr>
              <w:t xml:space="preserve">Execution/demand upside. Cross-checked against an independent $810M market valuation.</w:t>
            </w:r>
          </w:p>
        </w:tc>
      </w:tr>
      <w:tr>
        <w:tc>
          <w:tcPr>
            <w:tcW w:type="dxa" w:w="2400"/>
            <w:vAlign w:val="center"/>
          </w:tcPr>
          <w:p>
            <w:pPr>
              <w:jc w:val="left"/>
            </w:pPr>
            <w:r>
              <w:rPr>
                <w:b w:val="false"/>
                <w:bCs w:val="false"/>
                <w:sz w:val="20"/>
                <w:szCs w:val="20"/>
              </w:rPr>
              <w:t xml:space="preserve">(f) Hydrogen breakthrough</w:t>
            </w:r>
          </w:p>
        </w:tc>
        <w:tc>
          <w:tcPr>
            <w:tcW w:type="dxa" w:w="2400"/>
            <w:vAlign w:val="center"/>
          </w:tcPr>
          <w:p>
            <w:pPr>
              <w:jc w:val="center"/>
            </w:pPr>
            <w:r>
              <w:rPr>
                <w:b w:val="false"/>
                <w:bCs w:val="false"/>
                <w:sz w:val="20"/>
                <w:szCs w:val="20"/>
              </w:rPr>
              <w:t xml:space="preserve">Project life (# of inflows)</w:t>
            </w:r>
          </w:p>
        </w:tc>
        <w:tc>
          <w:tcPr>
            <w:tcW w:type="dxa" w:w="4400"/>
            <w:vAlign w:val="center"/>
          </w:tcPr>
          <w:p>
            <w:pPr>
              <w:jc w:val="center"/>
            </w:pPr>
            <w:r>
              <w:rPr>
                <w:b w:val="false"/>
                <w:bCs w:val="false"/>
                <w:sz w:val="20"/>
                <w:szCs w:val="20"/>
              </w:rPr>
              <w:t xml:space="preserve">External technology-obsolescence risk. The largest quantified external threat, weighted by its 30% probability.</w:t>
            </w:r>
          </w:p>
        </w:tc>
      </w:tr>
    </w:tbl>
    <w:p>
      <w:pPr>
        <w:pStyle w:val="Heading1"/>
        <w:spacing w:after="100" w:before="320"/>
      </w:pPr>
      <w:r>
        <w:t xml:space="preserve">Question 5 — Recommendation to the CEO and Board</w:t>
      </w:r>
    </w:p>
    <w:p>
      <w:pPr>
        <w:spacing w:after="120"/>
      </w:pPr>
      <w:r>
        <w:t xml:space="preserve">On a strict, base-case DCF test, the project is a marginal reject: NPV is slightly negative (−$21.45M), IRR (7.66%) sits just under the 8% hurdle rate, and PI is just under 1.0. The sensitivity analysis shows this conclusion is fragile in both directions:</w:t>
      </w:r>
    </w:p>
    <w:p>
      <w:pPr>
        <w:pStyle w:val="ListParagraph"/>
        <w:numPr>
          <w:ilvl w:val="0"/>
          <w:numId w:val="1"/>
        </w:numPr>
        <w:spacing w:after="60"/>
      </w:pPr>
      <w:r>
        <w:t xml:space="preserve">The financing decision alone can flip the outcome — moving from ordinary debt to a green bond (Scenario b) turns NPV positive by over $30M, and that choice is largely within Liz's control.</w:t>
      </w:r>
    </w:p>
    <w:p>
      <w:pPr>
        <w:pStyle w:val="ListParagraph"/>
        <w:numPr>
          <w:ilvl w:val="0"/>
          <w:numId w:val="1"/>
        </w:numPr>
        <w:spacing w:after="60"/>
      </w:pPr>
      <w:r>
        <w:t xml:space="preserve">Regulatory tailwinds already in motion (CBAM, Scenario c) and potential technology upside (Scenarios d and e) all push NPV comfortably positive.</w:t>
      </w:r>
    </w:p>
    <w:p>
      <w:pPr>
        <w:pStyle w:val="ListParagraph"/>
        <w:numPr>
          <w:ilvl w:val="0"/>
          <w:numId w:val="1"/>
        </w:numPr>
        <w:spacing w:after="60"/>
      </w:pPr>
      <w:r>
        <w:t xml:space="preserve">The main quantified downside risk — a 30% chance of technology obsolescence from a hydrogen breakthrough (Scenario f) — pulls expected NPV to about −$71M, and is largely outside Liz's control.</w:t>
      </w:r>
    </w:p>
    <w:p>
      <w:pPr>
        <w:spacing w:after="120"/>
      </w:pPr>
      <w:r>
        <w:t xml:space="preserve">Beyond the DCF, the case also lists ESG benefits that cannot be quantified in the model but are directly relevant given Liz's weak 2022 ESG rankings: building social capital and trust (potentially lowering the firm's own cost of capital), improving corporate image and brand value, product differentiation that reduces demand elasticity and risk, cost savings from reduced waste and avoided carbon-pricing exposure, reduced regulatory risk, possible future EV-buyer incentives, and improved employee retention and motivation.</w:t>
      </w:r>
    </w:p>
    <w:p>
      <w:pPr>
        <w:spacing w:after="120"/>
      </w:pPr>
      <w:r>
        <w:rPr>
          <w:b/>
          <w:bCs/>
          <w:color w:val="1F4E78"/>
        </w:rPr>
        <w:t xml:space="preserve">Recommendation: </w:t>
      </w:r>
      <w:r>
        <w:t xml:space="preserve">proceed with the project, but make green-bond financing a condition of approval rather than a fallback — on these numbers, it is what turns a marginal, DCF-negative project into a value-creating one. Given how close the base case sits to zero, the unquantified ESG benefits are not a footnote; they are the deciding factor that should tip a near coin-flip financial case toward acceptance, particularly given the board's explicit demand for a 2023 ESG turnaround. Anthony should present the board with the full range of outcomes above, not a single point estimate, and flag green-bond financing (b), the CBAM tailwind (c), and the hydrogen-breakthrough risk (f) as the three factors most worth acting on or actively monitoring.</w:t>
      </w:r>
    </w:p>
    <w:p>
      <w:pPr>
        <w:pStyle w:val="Heading1"/>
        <w:spacing w:after="100" w:before="320"/>
      </w:pPr>
      <w:r>
        <w:t xml:space="preserve">Formulas Used in This Analysis</w:t>
      </w:r>
    </w:p>
    <w:p>
      <w:pPr>
        <w:spacing w:after="120"/>
      </w:pPr>
      <w:r>
        <w:t xml:space="preserve">Every formula below is the one actually applied above. None has been introduced from outside the course PPTs / formula notes.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shd w:fill="DCE6F1" w:val="clear"/>
            <w:vAlign w:val="center"/>
          </w:tcPr>
          <w:p>
            <w:pPr>
              <w:jc w:val="center"/>
            </w:pPr>
            <w:r>
              <w:rPr>
                <w:b/>
                <w:bCs/>
                <w:sz w:val="20"/>
                <w:szCs w:val="20"/>
              </w:rPr>
              <w:t xml:space="preserve">Formula</w:t>
            </w:r>
          </w:p>
        </w:tc>
        <w:tc>
          <w:tcPr>
            <w:tcW w:type="dxa" w:w="4000"/>
            <w:shd w:fill="DCE6F1" w:val="clear"/>
            <w:vAlign w:val="center"/>
          </w:tcPr>
          <w:p>
            <w:pPr>
              <w:jc w:val="center"/>
            </w:pPr>
            <w:r>
              <w:rPr>
                <w:b/>
                <w:bCs/>
                <w:sz w:val="20"/>
                <w:szCs w:val="20"/>
              </w:rPr>
              <w:t xml:space="preserve">Used for</w:t>
            </w:r>
          </w:p>
        </w:tc>
      </w:tr>
      <w:tr>
        <w:tc>
          <w:tcPr>
            <w:tcW w:type="dxa" w:w="5400"/>
            <w:vAlign w:val="center"/>
          </w:tcPr>
          <w:p>
            <w:pPr>
              <w:jc w:val="left"/>
            </w:pPr>
            <w:r>
              <w:rPr>
                <w:b w:val="false"/>
                <w:bCs w:val="false"/>
                <w:sz w:val="20"/>
                <w:szCs w:val="20"/>
              </w:rPr>
              <w:t xml:space="preserve">NPV = Σ CFt / (1+r)^t</w:t>
            </w:r>
          </w:p>
        </w:tc>
        <w:tc>
          <w:tcPr>
            <w:tcW w:type="dxa" w:w="4000"/>
            <w:vAlign w:val="center"/>
          </w:tcPr>
          <w:p>
            <w:pPr>
              <w:jc w:val="center"/>
            </w:pPr>
            <w:r>
              <w:rPr>
                <w:b w:val="false"/>
                <w:bCs w:val="false"/>
                <w:sz w:val="20"/>
                <w:szCs w:val="20"/>
              </w:rPr>
              <w:t xml:space="preserve">Base model, and Scenarios (a), (b), (c), (d), (e), (f) — recomputing NPV under a changed rate or changed cash flow</w:t>
            </w:r>
          </w:p>
        </w:tc>
      </w:tr>
      <w:tr>
        <w:tc>
          <w:tcPr>
            <w:tcW w:type="dxa" w:w="5400"/>
            <w:vAlign w:val="center"/>
          </w:tcPr>
          <w:p>
            <w:pPr>
              <w:jc w:val="left"/>
            </w:pPr>
            <w:r>
              <w:rPr>
                <w:b w:val="false"/>
                <w:bCs w:val="false"/>
                <w:sz w:val="20"/>
                <w:szCs w:val="20"/>
              </w:rPr>
              <w:t xml:space="preserve">IRR = the discount rate that sets NPV = 0</w:t>
            </w:r>
          </w:p>
        </w:tc>
        <w:tc>
          <w:tcPr>
            <w:tcW w:type="dxa" w:w="4000"/>
            <w:vAlign w:val="center"/>
          </w:tcPr>
          <w:p>
            <w:pPr>
              <w:jc w:val="center"/>
            </w:pPr>
            <w:r>
              <w:rPr>
                <w:b w:val="false"/>
                <w:bCs w:val="false"/>
                <w:sz w:val="20"/>
                <w:szCs w:val="20"/>
              </w:rPr>
              <w:t xml:space="preserve">Base model — cross-checking NPV against the 8% hurdle rate</w:t>
            </w:r>
          </w:p>
        </w:tc>
      </w:tr>
      <w:tr>
        <w:tc>
          <w:tcPr>
            <w:tcW w:type="dxa" w:w="5400"/>
            <w:vAlign w:val="center"/>
          </w:tcPr>
          <w:p>
            <w:pPr>
              <w:jc w:val="left"/>
            </w:pPr>
            <w:r>
              <w:rPr>
                <w:b w:val="false"/>
                <w:bCs w:val="false"/>
                <w:sz w:val="20"/>
                <w:szCs w:val="20"/>
              </w:rPr>
              <w:t xml:space="preserve">Profitability Index, PI = PV(inflows) / PV(outflows)</w:t>
            </w:r>
          </w:p>
        </w:tc>
        <w:tc>
          <w:tcPr>
            <w:tcW w:type="dxa" w:w="4000"/>
            <w:vAlign w:val="center"/>
          </w:tcPr>
          <w:p>
            <w:pPr>
              <w:jc w:val="center"/>
            </w:pPr>
            <w:r>
              <w:rPr>
                <w:b w:val="false"/>
                <w:bCs w:val="false"/>
                <w:sz w:val="20"/>
                <w:szCs w:val="20"/>
              </w:rPr>
              <w:t xml:space="preserve">Base model</w:t>
            </w:r>
          </w:p>
        </w:tc>
      </w:tr>
      <w:tr>
        <w:tc>
          <w:tcPr>
            <w:tcW w:type="dxa" w:w="5400"/>
            <w:vAlign w:val="center"/>
          </w:tcPr>
          <w:p>
            <w:pPr>
              <w:jc w:val="left"/>
            </w:pPr>
            <w:r>
              <w:rPr>
                <w:b w:val="false"/>
                <w:bCs w:val="false"/>
                <w:sz w:val="20"/>
                <w:szCs w:val="20"/>
              </w:rPr>
              <w:t xml:space="preserve">Payback period = years to recover the initial outlay (undiscounted cash flows)</w:t>
            </w:r>
          </w:p>
        </w:tc>
        <w:tc>
          <w:tcPr>
            <w:tcW w:type="dxa" w:w="4000"/>
            <w:vAlign w:val="center"/>
          </w:tcPr>
          <w:p>
            <w:pPr>
              <w:jc w:val="center"/>
            </w:pPr>
            <w:r>
              <w:rPr>
                <w:b w:val="false"/>
                <w:bCs w:val="false"/>
                <w:sz w:val="20"/>
                <w:szCs w:val="20"/>
              </w:rPr>
              <w:t xml:space="preserve">Base model</w:t>
            </w:r>
          </w:p>
        </w:tc>
      </w:tr>
      <w:tr>
        <w:tc>
          <w:tcPr>
            <w:tcW w:type="dxa" w:w="5400"/>
            <w:vAlign w:val="center"/>
          </w:tcPr>
          <w:p>
            <w:pPr>
              <w:jc w:val="left"/>
            </w:pPr>
            <w:r>
              <w:rPr>
                <w:b w:val="false"/>
                <w:bCs w:val="false"/>
                <w:sz w:val="20"/>
                <w:szCs w:val="20"/>
              </w:rPr>
              <w:t xml:space="preserve">Discounted payback period = same, using discounted cash flows</w:t>
            </w:r>
          </w:p>
        </w:tc>
        <w:tc>
          <w:tcPr>
            <w:tcW w:type="dxa" w:w="4000"/>
            <w:vAlign w:val="center"/>
          </w:tcPr>
          <w:p>
            <w:pPr>
              <w:jc w:val="center"/>
            </w:pPr>
            <w:r>
              <w:rPr>
                <w:b w:val="false"/>
                <w:bCs w:val="false"/>
                <w:sz w:val="20"/>
                <w:szCs w:val="20"/>
              </w:rPr>
              <w:t xml:space="preserve">Base model</w:t>
            </w:r>
          </w:p>
        </w:tc>
      </w:tr>
      <w:tr>
        <w:tc>
          <w:tcPr>
            <w:tcW w:type="dxa" w:w="5400"/>
            <w:vAlign w:val="center"/>
          </w:tcPr>
          <w:p>
            <w:pPr>
              <w:jc w:val="left"/>
            </w:pPr>
            <w:r>
              <w:rPr>
                <w:b w:val="false"/>
                <w:bCs w:val="false"/>
                <w:sz w:val="20"/>
                <w:szCs w:val="20"/>
              </w:rPr>
              <w:t xml:space="preserve">Expected value = Σ (Probability × Outcome)</w:t>
            </w:r>
          </w:p>
        </w:tc>
        <w:tc>
          <w:tcPr>
            <w:tcW w:type="dxa" w:w="4000"/>
            <w:vAlign w:val="center"/>
          </w:tcPr>
          <w:p>
            <w:pPr>
              <w:jc w:val="center"/>
            </w:pPr>
            <w:r>
              <w:rPr>
                <w:b w:val="false"/>
                <w:bCs w:val="false"/>
                <w:sz w:val="20"/>
                <w:szCs w:val="20"/>
              </w:rPr>
              <w:t xml:space="preserve">Scenario (f) — blending the 30%-probability shortened-life NPV with the 70%-probability base-case NPV</w:t>
            </w:r>
          </w:p>
        </w:tc>
      </w:tr>
      <w:tr>
        <w:tc>
          <w:tcPr>
            <w:tcW w:type="dxa" w:w="5400"/>
            <w:vAlign w:val="center"/>
          </w:tcPr>
          <w:p>
            <w:pPr>
              <w:jc w:val="left"/>
            </w:pPr>
            <w:r>
              <w:rPr>
                <w:b w:val="false"/>
                <w:bCs w:val="false"/>
                <w:sz w:val="20"/>
                <w:szCs w:val="20"/>
              </w:rPr>
              <w:t xml:space="preserve">WACC = (E/V) × Ke + (D/V) × Kd × (1 − T)</w:t>
            </w:r>
          </w:p>
        </w:tc>
        <w:tc>
          <w:tcPr>
            <w:tcW w:type="dxa" w:w="4000"/>
            <w:vAlign w:val="center"/>
          </w:tcPr>
          <w:p>
            <w:pPr>
              <w:jc w:val="center"/>
            </w:pPr>
            <w:r>
              <w:rPr>
                <w:b w:val="false"/>
                <w:bCs w:val="false"/>
                <w:sz w:val="20"/>
                <w:szCs w:val="20"/>
              </w:rPr>
              <w:t xml:space="preserve">Question 2 — noted as the theoretically correct hurdle rate, for context on why the after-tax cost of debt is used as a project-specific simplification</w:t>
            </w:r>
          </w:p>
        </w:tc>
      </w:tr>
    </w:tbl>
    <w:p>
      <w:pPr>
        <w:pStyle w:val="Heading1"/>
        <w:spacing w:after="100" w:before="320"/>
      </w:pPr>
      <w:r>
        <w:t xml:space="preserve">Appendix — Additional Scenarios Beyond the Assigned Questions</w:t>
      </w:r>
    </w:p>
    <w:p>
      <w:pPr>
        <w:spacing w:after="120"/>
      </w:pPr>
      <w:r>
        <w:t xml:space="preserve">The case describes four further uncertainties that are not part of the assigned questions (competitor entry, the abandonment option, gradual market acceptance, and inflation). They are included here for completeness, using the same 8% base hurdle rate unless noted.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000"/>
        <w:gridCol w:w="2200"/>
      </w:tblGrid>
      <w:tr>
        <w:tc>
          <w:tcPr>
            <w:tcW w:type="dxa" w:w="3400"/>
            <w:shd w:fill="DCE6F1" w:val="clear"/>
            <w:vAlign w:val="center"/>
          </w:tcPr>
          <w:p>
            <w:pPr>
              <w:jc w:val="center"/>
            </w:pPr>
            <w:r>
              <w:rPr>
                <w:b/>
                <w:bCs/>
                <w:sz w:val="20"/>
                <w:szCs w:val="20"/>
              </w:rPr>
              <w:t xml:space="preserve">Extra scenario</w:t>
            </w:r>
          </w:p>
        </w:tc>
        <w:tc>
          <w:tcPr>
            <w:tcW w:type="dxa" w:w="1800"/>
            <w:shd w:fill="DCE6F1" w:val="clear"/>
            <w:vAlign w:val="center"/>
          </w:tcPr>
          <w:p>
            <w:pPr>
              <w:jc w:val="center"/>
            </w:pPr>
            <w:r>
              <w:rPr>
                <w:b/>
                <w:bCs/>
                <w:sz w:val="20"/>
                <w:szCs w:val="20"/>
              </w:rPr>
              <w:t xml:space="preserve">NPV ($M)</w:t>
            </w:r>
          </w:p>
        </w:tc>
        <w:tc>
          <w:tcPr>
            <w:tcW w:type="dxa" w:w="2000"/>
            <w:shd w:fill="DCE6F1" w:val="clear"/>
            <w:vAlign w:val="center"/>
          </w:tcPr>
          <w:p>
            <w:pPr>
              <w:jc w:val="center"/>
            </w:pPr>
            <w:r>
              <w:rPr>
                <w:b/>
                <w:bCs/>
                <w:sz w:val="20"/>
                <w:szCs w:val="20"/>
              </w:rPr>
              <w:t xml:space="preserve">Δ NPV vs. base ($M)</w:t>
            </w:r>
          </w:p>
        </w:tc>
        <w:tc>
          <w:tcPr>
            <w:tcW w:type="dxa" w:w="2200"/>
            <w:shd w:fill="DCE6F1" w:val="clear"/>
            <w:vAlign w:val="center"/>
          </w:tcPr>
          <w:p>
            <w:pPr>
              <w:jc w:val="center"/>
            </w:pPr>
            <w:r>
              <w:rPr>
                <w:b/>
                <w:bCs/>
                <w:sz w:val="20"/>
                <w:szCs w:val="20"/>
              </w:rPr>
              <w:t xml:space="preserve">Note</w:t>
            </w:r>
          </w:p>
        </w:tc>
      </w:tr>
      <w:tr>
        <w:tc>
          <w:tcPr>
            <w:tcW w:type="dxa" w:w="3400"/>
            <w:vAlign w:val="center"/>
          </w:tcPr>
          <w:p>
            <w:pPr>
              <w:jc w:val="left"/>
            </w:pPr>
            <w:r>
              <w:rPr>
                <w:b w:val="false"/>
                <w:bCs w:val="false"/>
                <w:sz w:val="20"/>
                <w:szCs w:val="20"/>
              </w:rPr>
              <w:t xml:space="preserve">Competitor entry by 2027 → inflows fall to $180M/yr</w:t>
            </w:r>
          </w:p>
        </w:tc>
        <w:tc>
          <w:tcPr>
            <w:tcW w:type="dxa" w:w="1800"/>
            <w:vAlign w:val="center"/>
          </w:tcPr>
          <w:p>
            <w:pPr>
              <w:jc w:val="center"/>
            </w:pPr>
            <w:r>
              <w:rPr>
                <w:b w:val="false"/>
                <w:bCs w:val="false"/>
                <w:sz w:val="20"/>
                <w:szCs w:val="20"/>
              </w:rPr>
              <w:t xml:space="preserve">−105.93</w:t>
            </w:r>
          </w:p>
        </w:tc>
        <w:tc>
          <w:tcPr>
            <w:tcW w:type="dxa" w:w="2000"/>
            <w:vAlign w:val="center"/>
          </w:tcPr>
          <w:p>
            <w:pPr>
              <w:jc w:val="center"/>
            </w:pPr>
            <w:r>
              <w:rPr>
                <w:b w:val="false"/>
                <w:bCs w:val="false"/>
                <w:sz w:val="20"/>
                <w:szCs w:val="20"/>
              </w:rPr>
              <w:t xml:space="preserve">−84.48</w:t>
            </w:r>
          </w:p>
        </w:tc>
        <w:tc>
          <w:tcPr>
            <w:tcW w:type="dxa" w:w="2200"/>
            <w:vAlign w:val="center"/>
          </w:tcPr>
          <w:p>
            <w:pPr>
              <w:jc w:val="center"/>
            </w:pPr>
            <w:r>
              <w:rPr>
                <w:b w:val="false"/>
                <w:bCs w:val="false"/>
                <w:sz w:val="20"/>
                <w:szCs w:val="20"/>
              </w:rPr>
              <w:t xml:space="preserve">Worst of all scenarios in the case</w:t>
            </w:r>
          </w:p>
        </w:tc>
      </w:tr>
      <w:tr>
        <w:tc>
          <w:tcPr>
            <w:tcW w:type="dxa" w:w="3400"/>
            <w:vAlign w:val="center"/>
          </w:tcPr>
          <w:p>
            <w:pPr>
              <w:jc w:val="left"/>
            </w:pPr>
            <w:r>
              <w:rPr>
                <w:b w:val="false"/>
                <w:bCs w:val="false"/>
                <w:sz w:val="20"/>
                <w:szCs w:val="20"/>
              </w:rPr>
              <w:t xml:space="preserve">Abandon in 2028 for $500M vs. continue to 2035</w:t>
            </w:r>
          </w:p>
        </w:tc>
        <w:tc>
          <w:tcPr>
            <w:tcW w:type="dxa" w:w="1800"/>
            <w:vAlign w:val="center"/>
          </w:tcPr>
          <w:p>
            <w:pPr>
              <w:jc w:val="center"/>
            </w:pPr>
            <w:r>
              <w:rPr>
                <w:b w:val="false"/>
                <w:bCs w:val="false"/>
                <w:sz w:val="20"/>
                <w:szCs w:val="20"/>
              </w:rPr>
              <w:t xml:space="preserve">−21.45 (continue optimal)</w:t>
            </w:r>
          </w:p>
        </w:tc>
        <w:tc>
          <w:tcPr>
            <w:tcW w:type="dxa" w:w="2000"/>
            <w:vAlign w:val="center"/>
          </w:tcPr>
          <w:p>
            <w:pPr>
              <w:jc w:val="center"/>
            </w:pPr>
            <w:r>
              <w:rPr>
                <w:b w:val="false"/>
                <w:bCs w:val="false"/>
                <w:sz w:val="20"/>
                <w:szCs w:val="20"/>
              </w:rPr>
              <w:t xml:space="preserve">0.00</w:t>
            </w:r>
          </w:p>
        </w:tc>
        <w:tc>
          <w:tcPr>
            <w:tcW w:type="dxa" w:w="2200"/>
            <w:vAlign w:val="center"/>
          </w:tcPr>
          <w:p>
            <w:pPr>
              <w:jc w:val="center"/>
            </w:pPr>
            <w:r>
              <w:rPr>
                <w:b w:val="false"/>
                <w:bCs w:val="false"/>
                <w:sz w:val="20"/>
                <w:szCs w:val="20"/>
              </w:rPr>
              <w:t xml:space="preserve">PV of continuing ($1,241.27M, annuity due) far exceeds the $500M offer, so the option is not exercised</w:t>
            </w:r>
          </w:p>
        </w:tc>
      </w:tr>
      <w:tr>
        <w:tc>
          <w:tcPr>
            <w:tcW w:type="dxa" w:w="3400"/>
            <w:vAlign w:val="center"/>
          </w:tcPr>
          <w:p>
            <w:pPr>
              <w:jc w:val="left"/>
            </w:pPr>
            <w:r>
              <w:rPr>
                <w:b w:val="false"/>
                <w:bCs w:val="false"/>
                <w:sz w:val="20"/>
                <w:szCs w:val="20"/>
              </w:rPr>
              <w:t xml:space="preserve">Gradual market acceptance: $152M in 2028, growing 8%/yr</w:t>
            </w:r>
          </w:p>
        </w:tc>
        <w:tc>
          <w:tcPr>
            <w:tcW w:type="dxa" w:w="1800"/>
            <w:vAlign w:val="center"/>
          </w:tcPr>
          <w:p>
            <w:pPr>
              <w:jc w:val="center"/>
            </w:pPr>
            <w:r>
              <w:rPr>
                <w:b w:val="false"/>
                <w:bCs w:val="false"/>
                <w:sz w:val="20"/>
                <w:szCs w:val="20"/>
              </w:rPr>
              <w:t xml:space="preserve">−38.65</w:t>
            </w:r>
          </w:p>
        </w:tc>
        <w:tc>
          <w:tcPr>
            <w:tcW w:type="dxa" w:w="2000"/>
            <w:vAlign w:val="center"/>
          </w:tcPr>
          <w:p>
            <w:pPr>
              <w:jc w:val="center"/>
            </w:pPr>
            <w:r>
              <w:rPr>
                <w:b w:val="false"/>
                <w:bCs w:val="false"/>
                <w:sz w:val="20"/>
                <w:szCs w:val="20"/>
              </w:rPr>
              <w:t xml:space="preserve">−17.20</w:t>
            </w:r>
          </w:p>
        </w:tc>
        <w:tc>
          <w:tcPr>
            <w:tcW w:type="dxa" w:w="2200"/>
            <w:vAlign w:val="center"/>
          </w:tcPr>
          <w:p>
            <w:pPr>
              <w:jc w:val="center"/>
            </w:pPr>
            <w:r>
              <w:rPr>
                <w:b w:val="false"/>
                <w:bCs w:val="false"/>
                <w:sz w:val="20"/>
                <w:szCs w:val="20"/>
              </w:rPr>
              <w:t xml:space="preserve">r = g = 8%, so the growing-annuity formula is undefined; cash flows discounted term-by-term instead</w:t>
            </w:r>
          </w:p>
        </w:tc>
      </w:tr>
      <w:tr>
        <w:tc>
          <w:tcPr>
            <w:tcW w:type="dxa" w:w="3400"/>
            <w:vAlign w:val="center"/>
          </w:tcPr>
          <w:p>
            <w:pPr>
              <w:jc w:val="left"/>
            </w:pPr>
            <w:r>
              <w:rPr>
                <w:b w:val="false"/>
                <w:bCs w:val="false"/>
                <w:sz w:val="20"/>
                <w:szCs w:val="20"/>
              </w:rPr>
              <w:t xml:space="preserve">3% inflation, treated consistently (Fisher effect)</w:t>
            </w:r>
          </w:p>
        </w:tc>
        <w:tc>
          <w:tcPr>
            <w:tcW w:type="dxa" w:w="1800"/>
            <w:vAlign w:val="center"/>
          </w:tcPr>
          <w:p>
            <w:pPr>
              <w:jc w:val="center"/>
            </w:pPr>
            <w:r>
              <w:rPr>
                <w:b w:val="false"/>
                <w:bCs w:val="false"/>
                <w:sz w:val="20"/>
                <w:szCs w:val="20"/>
              </w:rPr>
              <w:t xml:space="preserve">−21.45</w:t>
            </w:r>
          </w:p>
        </w:tc>
        <w:tc>
          <w:tcPr>
            <w:tcW w:type="dxa" w:w="2000"/>
            <w:vAlign w:val="center"/>
          </w:tcPr>
          <w:p>
            <w:pPr>
              <w:jc w:val="center"/>
            </w:pPr>
            <w:r>
              <w:rPr>
                <w:b w:val="false"/>
                <w:bCs w:val="false"/>
                <w:sz w:val="20"/>
                <w:szCs w:val="20"/>
              </w:rPr>
              <w:t xml:space="preserve">0.00</w:t>
            </w:r>
          </w:p>
        </w:tc>
        <w:tc>
          <w:tcPr>
            <w:tcW w:type="dxa" w:w="2200"/>
            <w:vAlign w:val="center"/>
          </w:tcPr>
          <w:p>
            <w:pPr>
              <w:jc w:val="center"/>
            </w:pPr>
            <w:r>
              <w:rPr>
                <w:b w:val="false"/>
                <w:bCs w:val="false"/>
                <w:sz w:val="20"/>
                <w:szCs w:val="20"/>
              </w:rPr>
              <w:t xml:space="preserve">Nominal rate = 1.08×1.03−1 = 11.24%; inflating cash flows and raising the rate consistently leaves NPV unchanged</w:t>
            </w:r>
          </w:p>
        </w:tc>
      </w:tr>
    </w:tbl>
    <w:p>
      <w:pPr>
        <w:pStyle w:val="Heading2"/>
        <w:spacing w:after="80" w:before="240"/>
      </w:pPr>
      <w:r>
        <w:t xml:space="preserve">Why Each Variable Was Changed, and Its Business Impact (Appendix Scenarios)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shd w:fill="DCE6F1" w:val="clear"/>
            <w:vAlign w:val="center"/>
          </w:tcPr>
          <w:p>
            <w:pPr>
              <w:jc w:val="center"/>
            </w:pPr>
            <w:r>
              <w:rPr>
                <w:b/>
                <w:bCs/>
                <w:sz w:val="20"/>
                <w:szCs w:val="20"/>
              </w:rPr>
              <w:t xml:space="preserve">Scenario</w:t>
            </w:r>
          </w:p>
        </w:tc>
        <w:tc>
          <w:tcPr>
            <w:tcW w:type="dxa" w:w="2400"/>
            <w:shd w:fill="DCE6F1" w:val="clear"/>
            <w:vAlign w:val="center"/>
          </w:tcPr>
          <w:p>
            <w:pPr>
              <w:jc w:val="center"/>
            </w:pPr>
            <w:r>
              <w:rPr>
                <w:b/>
                <w:bCs/>
                <w:sz w:val="20"/>
                <w:szCs w:val="20"/>
              </w:rPr>
              <w:t xml:space="preserve">Variable changed</w:t>
            </w:r>
          </w:p>
        </w:tc>
        <w:tc>
          <w:tcPr>
            <w:tcW w:type="dxa" w:w="4400"/>
            <w:shd w:fill="DCE6F1" w:val="clear"/>
            <w:vAlign w:val="center"/>
          </w:tcPr>
          <w:p>
            <w:pPr>
              <w:jc w:val="center"/>
            </w:pPr>
            <w:r>
              <w:rPr>
                <w:b/>
                <w:bCs/>
                <w:sz w:val="20"/>
                <w:szCs w:val="20"/>
              </w:rPr>
              <w:t xml:space="preserve">Business rationale / impact</w:t>
            </w:r>
          </w:p>
        </w:tc>
      </w:tr>
      <w:tr>
        <w:tc>
          <w:tcPr>
            <w:tcW w:type="dxa" w:w="2400"/>
            <w:vAlign w:val="center"/>
          </w:tcPr>
          <w:p>
            <w:pPr>
              <w:jc w:val="left"/>
            </w:pPr>
            <w:r>
              <w:rPr>
                <w:b w:val="false"/>
                <w:bCs w:val="false"/>
                <w:sz w:val="20"/>
                <w:szCs w:val="20"/>
              </w:rPr>
              <w:t xml:space="preserve">Competitor entry</w:t>
            </w:r>
          </w:p>
        </w:tc>
        <w:tc>
          <w:tcPr>
            <w:tcW w:type="dxa" w:w="2400"/>
            <w:vAlign w:val="center"/>
          </w:tcPr>
          <w:p>
            <w:pPr>
              <w:jc w:val="center"/>
            </w:pPr>
            <w:r>
              <w:rPr>
                <w:b w:val="false"/>
                <w:bCs w:val="false"/>
                <w:sz w:val="20"/>
                <w:szCs w:val="20"/>
              </w:rPr>
              <w:t xml:space="preserve">Annual cash inflow</w:t>
            </w:r>
          </w:p>
        </w:tc>
        <w:tc>
          <w:tcPr>
            <w:tcW w:type="dxa" w:w="4400"/>
            <w:vAlign w:val="center"/>
          </w:tcPr>
          <w:p>
            <w:pPr>
              <w:jc w:val="center"/>
            </w:pPr>
            <w:r>
              <w:rPr>
                <w:b w:val="false"/>
                <w:bCs w:val="false"/>
                <w:sz w:val="20"/>
                <w:szCs w:val="20"/>
              </w:rPr>
              <w:t xml:space="preserve">External competitive risk (mirror image of Scenario c). Worst outcome in the whole case.</w:t>
            </w:r>
          </w:p>
        </w:tc>
      </w:tr>
      <w:tr>
        <w:tc>
          <w:tcPr>
            <w:tcW w:type="dxa" w:w="2400"/>
            <w:vAlign w:val="center"/>
          </w:tcPr>
          <w:p>
            <w:pPr>
              <w:jc w:val="left"/>
            </w:pPr>
            <w:r>
              <w:rPr>
                <w:b w:val="false"/>
                <w:bCs w:val="false"/>
                <w:sz w:val="20"/>
                <w:szCs w:val="20"/>
              </w:rPr>
              <w:t xml:space="preserve">Abandonment option</w:t>
            </w:r>
          </w:p>
        </w:tc>
        <w:tc>
          <w:tcPr>
            <w:tcW w:type="dxa" w:w="2400"/>
            <w:vAlign w:val="center"/>
          </w:tcPr>
          <w:p>
            <w:pPr>
              <w:jc w:val="center"/>
            </w:pPr>
            <w:r>
              <w:rPr>
                <w:b w:val="false"/>
                <w:bCs w:val="false"/>
                <w:sz w:val="20"/>
                <w:szCs w:val="20"/>
              </w:rPr>
              <w:t xml:space="preserve">Continue-vs-exit decision</w:t>
            </w:r>
          </w:p>
        </w:tc>
        <w:tc>
          <w:tcPr>
            <w:tcW w:type="dxa" w:w="4400"/>
            <w:vAlign w:val="center"/>
          </w:tcPr>
          <w:p>
            <w:pPr>
              <w:jc w:val="center"/>
            </w:pPr>
            <w:r>
              <w:rPr>
                <w:b w:val="false"/>
                <w:bCs w:val="false"/>
                <w:sz w:val="20"/>
                <w:szCs w:val="20"/>
              </w:rPr>
              <w:t xml:space="preserve">Real option value. Not exercised at these numbers — continuing is worth far more than the $500M offer.</w:t>
            </w:r>
          </w:p>
        </w:tc>
      </w:tr>
      <w:tr>
        <w:tc>
          <w:tcPr>
            <w:tcW w:type="dxa" w:w="2400"/>
            <w:vAlign w:val="center"/>
          </w:tcPr>
          <w:p>
            <w:pPr>
              <w:jc w:val="left"/>
            </w:pPr>
            <w:r>
              <w:rPr>
                <w:b w:val="false"/>
                <w:bCs w:val="false"/>
                <w:sz w:val="20"/>
                <w:szCs w:val="20"/>
              </w:rPr>
              <w:t xml:space="preserve">Gradual acceptance</w:t>
            </w:r>
          </w:p>
        </w:tc>
        <w:tc>
          <w:tcPr>
            <w:tcW w:type="dxa" w:w="2400"/>
            <w:vAlign w:val="center"/>
          </w:tcPr>
          <w:p>
            <w:pPr>
              <w:jc w:val="center"/>
            </w:pPr>
            <w:r>
              <w:rPr>
                <w:b w:val="false"/>
                <w:bCs w:val="false"/>
                <w:sz w:val="20"/>
                <w:szCs w:val="20"/>
              </w:rPr>
              <w:t xml:space="preserve">Timing/shape of inflows</w:t>
            </w:r>
          </w:p>
        </w:tc>
        <w:tc>
          <w:tcPr>
            <w:tcW w:type="dxa" w:w="4400"/>
            <w:vAlign w:val="center"/>
          </w:tcPr>
          <w:p>
            <w:pPr>
              <w:jc w:val="center"/>
            </w:pPr>
            <w:r>
              <w:rPr>
                <w:b w:val="false"/>
                <w:bCs w:val="false"/>
                <w:sz w:val="20"/>
                <w:szCs w:val="20"/>
              </w:rPr>
              <w:t xml:space="preserve">Delaying value to later years hurts NPV even if cash flows eventually exceed the base case.</w:t>
            </w:r>
          </w:p>
        </w:tc>
      </w:tr>
      <w:tr>
        <w:tc>
          <w:tcPr>
            <w:tcW w:type="dxa" w:w="2400"/>
            <w:vAlign w:val="center"/>
          </w:tcPr>
          <w:p>
            <w:pPr>
              <w:jc w:val="left"/>
            </w:pPr>
            <w:r>
              <w:rPr>
                <w:b w:val="false"/>
                <w:bCs w:val="false"/>
                <w:sz w:val="20"/>
                <w:szCs w:val="20"/>
              </w:rPr>
              <w:t xml:space="preserve">Inflation (Fisher)</w:t>
            </w:r>
          </w:p>
        </w:tc>
        <w:tc>
          <w:tcPr>
            <w:tcW w:type="dxa" w:w="2400"/>
            <w:vAlign w:val="center"/>
          </w:tcPr>
          <w:p>
            <w:pPr>
              <w:jc w:val="center"/>
            </w:pPr>
            <w:r>
              <w:rPr>
                <w:b w:val="false"/>
                <w:bCs w:val="false"/>
                <w:sz w:val="20"/>
                <w:szCs w:val="20"/>
              </w:rPr>
              <w:t xml:space="preserve">Cash flows &amp; discount rate (jointly)</w:t>
            </w:r>
          </w:p>
        </w:tc>
        <w:tc>
          <w:tcPr>
            <w:tcW w:type="dxa" w:w="4400"/>
            <w:vAlign w:val="center"/>
          </w:tcPr>
          <w:p>
            <w:pPr>
              <w:jc w:val="center"/>
            </w:pPr>
            <w:r>
              <w:rPr>
                <w:b w:val="false"/>
                <w:bCs w:val="false"/>
                <w:sz w:val="20"/>
                <w:szCs w:val="20"/>
              </w:rPr>
              <w:t xml:space="preserve">Tests whether inflation itself matters. It doesn't, when cash flows and the rate are inflated consistently.</w:t>
            </w:r>
          </w:p>
        </w:tc>
      </w:tr>
    </w:tbl>
    <w:p>
      <w:pPr>
        <w:spacing w:before="300"/>
      </w:pPr>
    </w:p>
    <w:p>
      <w:pPr>
        <w:spacing w:after="120"/>
      </w:pPr>
      <w:r>
        <w:rPr>
          <w:i/>
          <w:iCs/>
          <w:color w:val="888888"/>
          <w:sz w:val="18"/>
          <w:szCs w:val="18"/>
        </w:rPr>
        <w:t xml:space="preserve">Note on methodology: all discounting uses the after-tax cost of debt (8%) as the hurdle rate, per the case's own statement that this rate funded the project (see Question 2 for a discussion of this choice).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2026-09-23T03:58:20.537Z</dcterms:created>
  <dcterms:modified xsi:type="dcterms:W3CDTF">2026-09-23T03:58:20.547Z</dcterms:modified>
</cp:coreProperties>
</file>

<file path=docProps/custom.xml><?xml version="1.0" encoding="utf-8"?>
<Properties xmlns="http://schemas.openxmlformats.org/officeDocument/2006/custom-properties" xmlns:vt="http://schemas.openxmlformats.org/officeDocument/2006/docPropsVTypes"/>
</file>