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and stock control</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403"/>
      </w:pPr>
      <w:hyperlink w:anchor="_Toc0030">
        <w:r>
          <w:rPr>
            <w:color w:val="1155CC"/>
            <w:u w:val="single"/>
          </w:rPr>
          <w:t xml:space="preserve">Bulk Import — mass create &amp; update from Excel</w:t>
        </w:r>
      </w:hyperlink>
    </w:p>
    <w:p>
      <w:pPr>
        <w:spacing w:after="40"/>
        <w:ind w:left="0"/>
      </w:pPr>
      <w:hyperlink w:anchor="_Toc0031">
        <w:r>
          <w:rPr>
            <w:b/>
            <w:color w:val="1155CC"/>
            <w:u w:val="single"/>
          </w:rPr>
          <w:t xml:space="preserve">Sales and Point of Sale</w:t>
        </w:r>
      </w:hyperlink>
    </w:p>
    <w:p>
      <w:pPr>
        <w:spacing w:after="40"/>
        <w:ind w:left="403"/>
      </w:pPr>
      <w:hyperlink w:anchor="_Toc0032">
        <w:r>
          <w:rPr>
            <w:color w:val="1155CC"/>
            <w:u w:val="single"/>
          </w:rPr>
          <w:t xml:space="preserve">Overview</w:t>
        </w:r>
      </w:hyperlink>
    </w:p>
    <w:p>
      <w:pPr>
        <w:spacing w:after="40"/>
        <w:ind w:left="403"/>
      </w:pPr>
      <w:hyperlink w:anchor="_Toc0033">
        <w:r>
          <w:rPr>
            <w:color w:val="1155CC"/>
            <w:u w:val="single"/>
          </w:rPr>
          <w:t xml:space="preserve">1. Quotations</w:t>
        </w:r>
      </w:hyperlink>
    </w:p>
    <w:p>
      <w:pPr>
        <w:spacing w:after="40"/>
        <w:ind w:left="403"/>
      </w:pPr>
      <w:hyperlink w:anchor="_Toc0034">
        <w:r>
          <w:rPr>
            <w:color w:val="1155CC"/>
            <w:u w:val="single"/>
          </w:rPr>
          <w:t xml:space="preserve">2. Sales Orders</w:t>
        </w:r>
      </w:hyperlink>
    </w:p>
    <w:p>
      <w:pPr>
        <w:spacing w:after="40"/>
        <w:ind w:left="403"/>
      </w:pPr>
      <w:hyperlink w:anchor="_Toc0035">
        <w:r>
          <w:rPr>
            <w:color w:val="1155CC"/>
            <w:u w:val="single"/>
          </w:rPr>
          <w:t xml:space="preserve">3. Deliveries</w:t>
        </w:r>
      </w:hyperlink>
    </w:p>
    <w:p>
      <w:pPr>
        <w:spacing w:after="40"/>
        <w:ind w:left="403"/>
      </w:pPr>
      <w:hyperlink w:anchor="_Toc0036">
        <w:r>
          <w:rPr>
            <w:color w:val="1155CC"/>
            <w:u w:val="single"/>
          </w:rPr>
          <w:t xml:space="preserve">4. Sales Invoices</w:t>
        </w:r>
      </w:hyperlink>
    </w:p>
    <w:p>
      <w:pPr>
        <w:spacing w:after="40"/>
        <w:ind w:left="403"/>
      </w:pPr>
      <w:hyperlink w:anchor="_Toc0037">
        <w:r>
          <w:rPr>
            <w:color w:val="1155CC"/>
            <w:u w:val="single"/>
          </w:rPr>
          <w:t xml:space="preserve">5. Sales Returns (RMA)</w:t>
        </w:r>
      </w:hyperlink>
    </w:p>
    <w:p>
      <w:pPr>
        <w:spacing w:after="40"/>
        <w:ind w:left="403"/>
      </w:pPr>
      <w:hyperlink w:anchor="_Toc0038">
        <w:r>
          <w:rPr>
            <w:color w:val="1155CC"/>
            <w:u w:val="single"/>
          </w:rPr>
          <w:t xml:space="preserve">6. Blanket Orders</w:t>
        </w:r>
      </w:hyperlink>
    </w:p>
    <w:p>
      <w:pPr>
        <w:spacing w:after="40"/>
        <w:ind w:left="403"/>
      </w:pPr>
      <w:hyperlink w:anchor="_Toc0039">
        <w:r>
          <w:rPr>
            <w:color w:val="1155CC"/>
            <w:u w:val="single"/>
          </w:rPr>
          <w:t xml:space="preserve">7. Standing Orders (Recurring)</w:t>
        </w:r>
      </w:hyperlink>
    </w:p>
    <w:p>
      <w:pPr>
        <w:spacing w:after="40"/>
        <w:ind w:left="403"/>
      </w:pPr>
      <w:hyperlink w:anchor="_Toc0040">
        <w:r>
          <w:rPr>
            <w:color w:val="1155CC"/>
            <w:u w:val="single"/>
          </w:rPr>
          <w:t xml:space="preserve">8. Pricing Rules</w:t>
        </w:r>
      </w:hyperlink>
    </w:p>
    <w:p>
      <w:pPr>
        <w:spacing w:after="40"/>
        <w:ind w:left="403"/>
      </w:pPr>
      <w:hyperlink w:anchor="_Toc0041">
        <w:r>
          <w:rPr>
            <w:color w:val="1155CC"/>
            <w:u w:val="single"/>
          </w:rPr>
          <w:t xml:space="preserve">9. Point of Sale</w:t>
        </w:r>
      </w:hyperlink>
    </w:p>
    <w:p>
      <w:pPr>
        <w:spacing w:after="40"/>
        <w:ind w:left="0"/>
      </w:pPr>
      <w:hyperlink w:anchor="_Toc0042">
        <w:r>
          <w:rPr>
            <w:b/>
            <w:color w:val="1155CC"/>
            <w:u w:val="single"/>
          </w:rPr>
          <w:t xml:space="preserve">Procurement (Procure-to-Pay)</w:t>
        </w:r>
      </w:hyperlink>
    </w:p>
    <w:p>
      <w:pPr>
        <w:spacing w:after="40"/>
        <w:ind w:left="403"/>
      </w:pPr>
      <w:hyperlink w:anchor="_Toc0043">
        <w:r>
          <w:rPr>
            <w:color w:val="1155CC"/>
            <w:u w:val="single"/>
          </w:rPr>
          <w:t xml:space="preserve">Overview</w:t>
        </w:r>
      </w:hyperlink>
    </w:p>
    <w:p>
      <w:pPr>
        <w:spacing w:after="40"/>
        <w:ind w:left="403"/>
      </w:pPr>
      <w:hyperlink w:anchor="_Toc0044">
        <w:r>
          <w:rPr>
            <w:color w:val="1155CC"/>
            <w:u w:val="single"/>
          </w:rPr>
          <w:t xml:space="preserve">1. Purchase Requisitions</w:t>
        </w:r>
      </w:hyperlink>
    </w:p>
    <w:p>
      <w:pPr>
        <w:spacing w:after="40"/>
        <w:ind w:left="403"/>
      </w:pPr>
      <w:hyperlink w:anchor="_Toc0045">
        <w:r>
          <w:rPr>
            <w:color w:val="1155CC"/>
            <w:u w:val="single"/>
          </w:rPr>
          <w:t xml:space="preserve">2. RFQ (Request for Quotation)</w:t>
        </w:r>
      </w:hyperlink>
    </w:p>
    <w:p>
      <w:pPr>
        <w:spacing w:after="40"/>
        <w:ind w:left="403"/>
      </w:pPr>
      <w:hyperlink w:anchor="_Toc0046">
        <w:r>
          <w:rPr>
            <w:color w:val="1155CC"/>
            <w:u w:val="single"/>
          </w:rPr>
          <w:t xml:space="preserve">3. Purchase Orders</w:t>
        </w:r>
      </w:hyperlink>
    </w:p>
    <w:p>
      <w:pPr>
        <w:spacing w:after="40"/>
        <w:ind w:left="403"/>
      </w:pPr>
      <w:hyperlink w:anchor="_Toc0047">
        <w:r>
          <w:rPr>
            <w:color w:val="1155CC"/>
            <w:u w:val="single"/>
          </w:rPr>
          <w:t xml:space="preserve">4. Goods Receipt</w:t>
        </w:r>
      </w:hyperlink>
    </w:p>
    <w:p>
      <w:pPr>
        <w:spacing w:after="40"/>
        <w:ind w:left="403"/>
      </w:pPr>
      <w:hyperlink w:anchor="_Toc0048">
        <w:r>
          <w:rPr>
            <w:color w:val="1155CC"/>
            <w:u w:val="single"/>
          </w:rPr>
          <w:t xml:space="preserve">5. Landed Costs</w:t>
        </w:r>
      </w:hyperlink>
    </w:p>
    <w:p>
      <w:pPr>
        <w:spacing w:after="40"/>
        <w:ind w:left="403"/>
      </w:pPr>
      <w:hyperlink w:anchor="_Toc0049">
        <w:r>
          <w:rPr>
            <w:color w:val="1155CC"/>
            <w:u w:val="single"/>
          </w:rPr>
          <w:t xml:space="preserve">6. Supplier Bills and 3-Way Bill Match</w:t>
        </w:r>
      </w:hyperlink>
    </w:p>
    <w:p>
      <w:pPr>
        <w:spacing w:after="40"/>
        <w:ind w:left="403"/>
      </w:pPr>
      <w:hyperlink w:anchor="_Toc0050">
        <w:r>
          <w:rPr>
            <w:color w:val="1155CC"/>
            <w:u w:val="single"/>
          </w:rPr>
          <w:t xml:space="preserve">7. Purchase Returns</w:t>
        </w:r>
      </w:hyperlink>
    </w:p>
    <w:p>
      <w:pPr>
        <w:spacing w:after="40"/>
        <w:ind w:left="403"/>
      </w:pPr>
      <w:hyperlink w:anchor="_Toc0051">
        <w:r>
          <w:rPr>
            <w:color w:val="1155CC"/>
            <w:u w:val="single"/>
          </w:rPr>
          <w:t xml:space="preserve">8. Purchase Settings</w:t>
        </w:r>
      </w:hyperlink>
    </w:p>
    <w:p>
      <w:pPr>
        <w:spacing w:after="40"/>
        <w:ind w:left="403"/>
      </w:pPr>
      <w:hyperlink w:anchor="_Toc0052">
        <w:r>
          <w:rPr>
            <w:color w:val="1155CC"/>
            <w:u w:val="single"/>
          </w:rPr>
          <w:t xml:space="preserve">9. End-to-end procure-to-pay example</w:t>
        </w:r>
      </w:hyperlink>
    </w:p>
    <w:p>
      <w:pPr>
        <w:spacing w:after="40"/>
        <w:ind w:left="0"/>
      </w:pPr>
      <w:hyperlink w:anchor="_Toc0053">
        <w:r>
          <w:rPr>
            <w:b/>
            <w:color w:val="1155CC"/>
            <w:u w:val="single"/>
          </w:rPr>
          <w:t xml:space="preserve">Inventory and Manufacturing</w:t>
        </w:r>
      </w:hyperlink>
    </w:p>
    <w:p>
      <w:pPr>
        <w:spacing w:after="40"/>
        <w:ind w:left="403"/>
      </w:pPr>
      <w:hyperlink w:anchor="_Toc0054">
        <w:r>
          <w:rPr>
            <w:color w:val="1155CC"/>
            <w:u w:val="single"/>
          </w:rPr>
          <w:t xml:space="preserve">1. Permissions quick reference</w:t>
        </w:r>
      </w:hyperlink>
    </w:p>
    <w:p>
      <w:pPr>
        <w:spacing w:after="40"/>
        <w:ind w:left="403"/>
      </w:pPr>
      <w:hyperlink w:anchor="_Toc0055">
        <w:r>
          <w:rPr>
            <w:color w:val="1155CC"/>
            <w:u w:val="single"/>
          </w:rPr>
          <w:t xml:space="preserve">2. Stock on-hand</w:t>
        </w:r>
      </w:hyperlink>
    </w:p>
    <w:p>
      <w:pPr>
        <w:spacing w:after="40"/>
        <w:ind w:left="403"/>
      </w:pPr>
      <w:hyperlink w:anchor="_Toc0056">
        <w:r>
          <w:rPr>
            <w:color w:val="1155CC"/>
            <w:u w:val="single"/>
          </w:rPr>
          <w:t xml:space="preserve">3. Stock locations</w:t>
        </w:r>
      </w:hyperlink>
    </w:p>
    <w:p>
      <w:pPr>
        <w:spacing w:after="40"/>
        <w:ind w:left="403"/>
      </w:pPr>
      <w:hyperlink w:anchor="_Toc0057">
        <w:r>
          <w:rPr>
            <w:color w:val="1155CC"/>
            <w:u w:val="single"/>
          </w:rPr>
          <w:t xml:space="preserve">4. Stock transfers</w:t>
        </w:r>
      </w:hyperlink>
    </w:p>
    <w:p>
      <w:pPr>
        <w:spacing w:after="40"/>
        <w:ind w:left="403"/>
      </w:pPr>
      <w:hyperlink w:anchor="_Toc0058">
        <w:r>
          <w:rPr>
            <w:color w:val="1155CC"/>
            <w:u w:val="single"/>
          </w:rPr>
          <w:t xml:space="preserve">5. Stock counts</w:t>
        </w:r>
      </w:hyperlink>
    </w:p>
    <w:p>
      <w:pPr>
        <w:spacing w:after="40"/>
        <w:ind w:left="403"/>
      </w:pPr>
      <w:hyperlink w:anchor="_Toc0059">
        <w:r>
          <w:rPr>
            <w:color w:val="1155CC"/>
            <w:u w:val="single"/>
          </w:rPr>
          <w:t xml:space="preserve">6. Van-stock reconciliation</w:t>
        </w:r>
      </w:hyperlink>
    </w:p>
    <w:p>
      <w:pPr>
        <w:spacing w:after="40"/>
        <w:ind w:left="403"/>
      </w:pPr>
      <w:hyperlink w:anchor="_Toc0060">
        <w:r>
          <w:rPr>
            <w:color w:val="1155CC"/>
            <w:u w:val="single"/>
          </w:rPr>
          <w:t xml:space="preserve">7. Batches and lot tracking</w:t>
        </w:r>
      </w:hyperlink>
    </w:p>
    <w:p>
      <w:pPr>
        <w:spacing w:after="40"/>
        <w:ind w:left="403"/>
      </w:pPr>
      <w:hyperlink w:anchor="_Toc0061">
        <w:r>
          <w:rPr>
            <w:color w:val="1155CC"/>
            <w:u w:val="single"/>
          </w:rPr>
          <w:t xml:space="preserve">8. Serial number tracking</w:t>
        </w:r>
      </w:hyperlink>
    </w:p>
    <w:p>
      <w:pPr>
        <w:spacing w:after="40"/>
        <w:ind w:left="403"/>
      </w:pPr>
      <w:hyperlink w:anchor="_Toc0062">
        <w:r>
          <w:rPr>
            <w:color w:val="1155CC"/>
            <w:u w:val="single"/>
          </w:rPr>
          <w:t xml:space="preserve">9. Inventory valuation</w:t>
        </w:r>
      </w:hyperlink>
    </w:p>
    <w:p>
      <w:pPr>
        <w:spacing w:after="40"/>
        <w:ind w:left="403"/>
      </w:pPr>
      <w:hyperlink w:anchor="_Toc0063">
        <w:r>
          <w:rPr>
            <w:color w:val="1155CC"/>
            <w:u w:val="single"/>
          </w:rPr>
          <w:t xml:space="preserve">10. Bills of Materials</w:t>
        </w:r>
      </w:hyperlink>
    </w:p>
    <w:p>
      <w:pPr>
        <w:spacing w:after="40"/>
        <w:ind w:left="403"/>
      </w:pPr>
      <w:hyperlink w:anchor="_Toc0064">
        <w:r>
          <w:rPr>
            <w:color w:val="1155CC"/>
            <w:u w:val="single"/>
          </w:rPr>
          <w:t xml:space="preserve">11. Work Orders</w:t>
        </w:r>
      </w:hyperlink>
    </w:p>
    <w:p>
      <w:pPr>
        <w:spacing w:after="40"/>
        <w:ind w:left="403"/>
      </w:pPr>
      <w:hyperlink w:anchor="_Toc0065">
        <w:r>
          <w:rPr>
            <w:color w:val="1155CC"/>
            <w:u w:val="single"/>
          </w:rPr>
          <w:t xml:space="preserve">12. WIP reconciliation</w:t>
        </w:r>
      </w:hyperlink>
    </w:p>
    <w:p>
      <w:pPr>
        <w:spacing w:after="40"/>
        <w:ind w:left="403"/>
      </w:pPr>
      <w:hyperlink w:anchor="_Toc0066">
        <w:r>
          <w:rPr>
            <w:color w:val="1155CC"/>
            <w:u w:val="single"/>
          </w:rPr>
          <w:t xml:space="preserve">13. Frequently asked questions</w:t>
        </w:r>
      </w:hyperlink>
    </w:p>
    <w:p>
      <w:pPr>
        <w:spacing w:after="40"/>
        <w:ind w:left="0"/>
      </w:pPr>
      <w:hyperlink w:anchor="_Toc0067">
        <w:r>
          <w:rPr>
            <w:b/>
            <w:color w:val="1155CC"/>
            <w:u w:val="single"/>
          </w:rPr>
          <w:t xml:space="preserve">Fixed Assets</w:t>
        </w:r>
      </w:hyperlink>
    </w:p>
    <w:p>
      <w:pPr>
        <w:spacing w:after="40"/>
        <w:ind w:left="403"/>
      </w:pPr>
      <w:hyperlink w:anchor="_Toc0068">
        <w:r>
          <w:rPr>
            <w:color w:val="1155CC"/>
            <w:u w:val="single"/>
          </w:rPr>
          <w:t xml:space="preserve">1. Permissions quick reference</w:t>
        </w:r>
      </w:hyperlink>
    </w:p>
    <w:p>
      <w:pPr>
        <w:spacing w:after="40"/>
        <w:ind w:left="403"/>
      </w:pPr>
      <w:hyperlink w:anchor="_Toc0069">
        <w:r>
          <w:rPr>
            <w:color w:val="1155CC"/>
            <w:u w:val="single"/>
          </w:rPr>
          <w:t xml:space="preserve">2. Asset categories</w:t>
        </w:r>
      </w:hyperlink>
    </w:p>
    <w:p>
      <w:pPr>
        <w:spacing w:after="40"/>
        <w:ind w:left="403"/>
      </w:pPr>
      <w:hyperlink w:anchor="_Toc0070">
        <w:r>
          <w:rPr>
            <w:color w:val="1155CC"/>
            <w:u w:val="single"/>
          </w:rPr>
          <w:t xml:space="preserve">3. Asset register</w:t>
        </w:r>
      </w:hyperlink>
    </w:p>
    <w:p>
      <w:pPr>
        <w:spacing w:after="40"/>
        <w:ind w:left="403"/>
      </w:pPr>
      <w:hyperlink w:anchor="_Toc0071">
        <w:r>
          <w:rPr>
            <w:color w:val="1155CC"/>
            <w:u w:val="single"/>
          </w:rPr>
          <w:t xml:space="preserve">4. Placing an asset in service</w:t>
        </w:r>
      </w:hyperlink>
    </w:p>
    <w:p>
      <w:pPr>
        <w:spacing w:after="40"/>
        <w:ind w:left="403"/>
      </w:pPr>
      <w:hyperlink w:anchor="_Toc0072">
        <w:r>
          <w:rPr>
            <w:color w:val="1155CC"/>
            <w:u w:val="single"/>
          </w:rPr>
          <w:t xml:space="preserve">5. Transferring an asset</w:t>
        </w:r>
      </w:hyperlink>
    </w:p>
    <w:p>
      <w:pPr>
        <w:spacing w:after="40"/>
        <w:ind w:left="403"/>
      </w:pPr>
      <w:hyperlink w:anchor="_Toc0073">
        <w:r>
          <w:rPr>
            <w:color w:val="1155CC"/>
            <w:u w:val="single"/>
          </w:rPr>
          <w:t xml:space="preserve">6. Depreciation</w:t>
        </w:r>
      </w:hyperlink>
    </w:p>
    <w:p>
      <w:pPr>
        <w:spacing w:after="40"/>
        <w:ind w:left="403"/>
      </w:pPr>
      <w:hyperlink w:anchor="_Toc0074">
        <w:r>
          <w:rPr>
            <w:color w:val="1155CC"/>
            <w:u w:val="single"/>
          </w:rPr>
          <w:t xml:space="preserve">7. Revaluing an asset</w:t>
        </w:r>
      </w:hyperlink>
    </w:p>
    <w:p>
      <w:pPr>
        <w:spacing w:after="40"/>
        <w:ind w:left="403"/>
      </w:pPr>
      <w:hyperlink w:anchor="_Toc0075">
        <w:r>
          <w:rPr>
            <w:color w:val="1155CC"/>
            <w:u w:val="single"/>
          </w:rPr>
          <w:t xml:space="preserve">8. Disposing of an asset</w:t>
        </w:r>
      </w:hyperlink>
    </w:p>
    <w:p>
      <w:pPr>
        <w:spacing w:after="40"/>
        <w:ind w:left="403"/>
      </w:pPr>
      <w:hyperlink w:anchor="_Toc0076">
        <w:r>
          <w:rPr>
            <w:color w:val="1155CC"/>
            <w:u w:val="single"/>
          </w:rPr>
          <w:t xml:space="preserve">9. FA to GL reconciliation</w:t>
        </w:r>
      </w:hyperlink>
    </w:p>
    <w:p>
      <w:pPr>
        <w:spacing w:after="40"/>
        <w:ind w:left="403"/>
      </w:pPr>
      <w:hyperlink w:anchor="_Toc0077">
        <w:r>
          <w:rPr>
            <w:color w:val="1155CC"/>
            <w:u w:val="single"/>
          </w:rPr>
          <w:t xml:space="preserve">10. Frequently asked questions</w:t>
        </w:r>
      </w:hyperlink>
    </w:p>
    <w:p>
      <w:pPr>
        <w:spacing w:after="40"/>
        <w:ind w:left="0"/>
      </w:pPr>
      <w:hyperlink w:anchor="_Toc0078">
        <w:r>
          <w:rPr>
            <w:b/>
            <w:color w:val="1155CC"/>
            <w:u w:val="single"/>
          </w:rPr>
          <w:t xml:space="preserve">Projects</w:t>
        </w:r>
      </w:hyperlink>
    </w:p>
    <w:p>
      <w:pPr>
        <w:spacing w:after="40"/>
        <w:ind w:left="403"/>
      </w:pPr>
      <w:hyperlink w:anchor="_Toc0079">
        <w:r>
          <w:rPr>
            <w:color w:val="1155CC"/>
            <w:u w:val="single"/>
          </w:rPr>
          <w:t xml:space="preserve">1. Permissions quick reference</w:t>
        </w:r>
      </w:hyperlink>
    </w:p>
    <w:p>
      <w:pPr>
        <w:spacing w:after="40"/>
        <w:ind w:left="403"/>
      </w:pPr>
      <w:hyperlink w:anchor="_Toc0080">
        <w:r>
          <w:rPr>
            <w:color w:val="1155CC"/>
            <w:u w:val="single"/>
          </w:rPr>
          <w:t xml:space="preserve">2. Project lifecycle</w:t>
        </w:r>
      </w:hyperlink>
    </w:p>
    <w:p>
      <w:pPr>
        <w:spacing w:after="40"/>
        <w:ind w:left="403"/>
      </w:pPr>
      <w:hyperlink w:anchor="_Toc0081">
        <w:r>
          <w:rPr>
            <w:color w:val="1155CC"/>
            <w:u w:val="single"/>
          </w:rPr>
          <w:t xml:space="preserve">3. Creating a project</w:t>
        </w:r>
      </w:hyperlink>
    </w:p>
    <w:p>
      <w:pPr>
        <w:spacing w:after="40"/>
        <w:ind w:left="403"/>
      </w:pPr>
      <w:hyperlink w:anchor="_Toc0082">
        <w:r>
          <w:rPr>
            <w:color w:val="1155CC"/>
            <w:u w:val="single"/>
          </w:rPr>
          <w:t xml:space="preserve">4. Project detail</w:t>
        </w:r>
      </w:hyperlink>
    </w:p>
    <w:p>
      <w:pPr>
        <w:spacing w:after="40"/>
        <w:ind w:left="403"/>
      </w:pPr>
      <w:hyperlink w:anchor="_Toc0083">
        <w:r>
          <w:rPr>
            <w:color w:val="1155CC"/>
            <w:u w:val="single"/>
          </w:rPr>
          <w:t xml:space="preserve">5. Project tasks</w:t>
        </w:r>
      </w:hyperlink>
    </w:p>
    <w:p>
      <w:pPr>
        <w:spacing w:after="40"/>
        <w:ind w:left="403"/>
      </w:pPr>
      <w:hyperlink w:anchor="_Toc0084">
        <w:r>
          <w:rPr>
            <w:color w:val="1155CC"/>
            <w:u w:val="single"/>
          </w:rPr>
          <w:t xml:space="preserve">6. Timesheets</w:t>
        </w:r>
      </w:hyperlink>
    </w:p>
    <w:p>
      <w:pPr>
        <w:spacing w:after="40"/>
        <w:ind w:left="403"/>
      </w:pPr>
      <w:hyperlink w:anchor="_Toc0085">
        <w:r>
          <w:rPr>
            <w:color w:val="1155CC"/>
            <w:u w:val="single"/>
          </w:rPr>
          <w:t xml:space="preserve">7. Issuing materials to a project</w:t>
        </w:r>
      </w:hyperlink>
    </w:p>
    <w:p>
      <w:pPr>
        <w:spacing w:after="40"/>
        <w:ind w:left="403"/>
      </w:pPr>
      <w:hyperlink w:anchor="_Toc0086">
        <w:r>
          <w:rPr>
            <w:color w:val="1155CC"/>
            <w:u w:val="single"/>
          </w:rPr>
          <w:t xml:space="preserve">8. Project P&amp;L</w:t>
        </w:r>
      </w:hyperlink>
    </w:p>
    <w:p>
      <w:pPr>
        <w:spacing w:after="40"/>
        <w:ind w:left="403"/>
      </w:pPr>
      <w:hyperlink w:anchor="_Toc0087">
        <w:r>
          <w:rPr>
            <w:color w:val="1155CC"/>
            <w:u w:val="single"/>
          </w:rPr>
          <w:t xml:space="preserve">9. Cross-project WIP report</w:t>
        </w:r>
      </w:hyperlink>
    </w:p>
    <w:p>
      <w:pPr>
        <w:spacing w:after="40"/>
        <w:ind w:left="403"/>
      </w:pPr>
      <w:hyperlink w:anchor="_Toc0088">
        <w:r>
          <w:rPr>
            <w:color w:val="1155CC"/>
            <w:u w:val="single"/>
          </w:rPr>
          <w:t xml:space="preserve">10. Frequently asked questions</w:t>
        </w:r>
      </w:hyperlink>
    </w:p>
    <w:p>
      <w:pPr>
        <w:spacing w:after="40"/>
        <w:ind w:left="0"/>
      </w:pPr>
      <w:hyperlink w:anchor="_Toc0089">
        <w:r>
          <w:rPr>
            <w:b/>
            <w:color w:val="1155CC"/>
            <w:u w:val="single"/>
          </w:rPr>
          <w:t xml:space="preserve">Finance &amp; Accounting</w:t>
        </w:r>
      </w:hyperlink>
    </w:p>
    <w:p>
      <w:pPr>
        <w:spacing w:after="40"/>
        <w:ind w:left="403"/>
      </w:pPr>
      <w:hyperlink w:anchor="_Toc0090">
        <w:r>
          <w:rPr>
            <w:color w:val="1155CC"/>
            <w:u w:val="single"/>
          </w:rPr>
          <w:t xml:space="preserve">General Ledger</w:t>
        </w:r>
      </w:hyperlink>
    </w:p>
    <w:p>
      <w:pPr>
        <w:spacing w:after="40"/>
        <w:ind w:left="403"/>
      </w:pPr>
      <w:hyperlink w:anchor="_Toc0091">
        <w:r>
          <w:rPr>
            <w:color w:val="1155CC"/>
            <w:u w:val="single"/>
          </w:rPr>
          <w:t xml:space="preserve">Accounts Receivable</w:t>
        </w:r>
      </w:hyperlink>
    </w:p>
    <w:p>
      <w:pPr>
        <w:spacing w:after="40"/>
        <w:ind w:left="403"/>
      </w:pPr>
      <w:hyperlink w:anchor="_Toc0092">
        <w:r>
          <w:rPr>
            <w:color w:val="1155CC"/>
            <w:u w:val="single"/>
          </w:rPr>
          <w:t xml:space="preserve">Accounts Payable</w:t>
        </w:r>
      </w:hyperlink>
    </w:p>
    <w:p>
      <w:pPr>
        <w:spacing w:after="40"/>
        <w:ind w:left="403"/>
      </w:pPr>
      <w:hyperlink w:anchor="_Toc0093">
        <w:r>
          <w:rPr>
            <w:color w:val="1155CC"/>
            <w:u w:val="single"/>
          </w:rPr>
          <w:t xml:space="preserve">Cash &amp; Bank</w:t>
        </w:r>
      </w:hyperlink>
    </w:p>
    <w:p>
      <w:pPr>
        <w:spacing w:after="40"/>
        <w:ind w:left="403"/>
      </w:pPr>
      <w:hyperlink w:anchor="_Toc0094">
        <w:r>
          <w:rPr>
            <w:color w:val="1155CC"/>
            <w:u w:val="single"/>
          </w:rPr>
          <w:t xml:space="preserve">Tax</w:t>
        </w:r>
      </w:hyperlink>
    </w:p>
    <w:p>
      <w:pPr>
        <w:spacing w:after="40"/>
        <w:ind w:left="403"/>
      </w:pPr>
      <w:hyperlink w:anchor="_Toc0095">
        <w:r>
          <w:rPr>
            <w:color w:val="1155CC"/>
            <w:u w:val="single"/>
          </w:rPr>
          <w:t xml:space="preserve">Foreign Exchange (FX)</w:t>
        </w:r>
      </w:hyperlink>
    </w:p>
    <w:p>
      <w:pPr>
        <w:spacing w:after="40"/>
        <w:ind w:left="0"/>
      </w:pPr>
      <w:hyperlink w:anchor="_Toc0096">
        <w:r>
          <w:rPr>
            <w:b/>
            <w:color w:val="1155CC"/>
            <w:u w:val="single"/>
          </w:rPr>
          <w:t xml:space="preserve">CRM — Customer Relationship Management</w:t>
        </w:r>
      </w:hyperlink>
    </w:p>
    <w:p>
      <w:pPr>
        <w:spacing w:after="40"/>
        <w:ind w:left="403"/>
      </w:pPr>
      <w:hyperlink w:anchor="_Toc0097">
        <w:r>
          <w:rPr>
            <w:color w:val="1155CC"/>
            <w:u w:val="single"/>
          </w:rPr>
          <w:t xml:space="preserve">Leads</w:t>
        </w:r>
      </w:hyperlink>
    </w:p>
    <w:p>
      <w:pPr>
        <w:spacing w:after="40"/>
        <w:ind w:left="403"/>
      </w:pPr>
      <w:hyperlink w:anchor="_Toc0098">
        <w:r>
          <w:rPr>
            <w:color w:val="1155CC"/>
            <w:u w:val="single"/>
          </w:rPr>
          <w:t xml:space="preserve">Opportunities</w:t>
        </w:r>
      </w:hyperlink>
    </w:p>
    <w:p>
      <w:pPr>
        <w:spacing w:after="40"/>
        <w:ind w:left="403"/>
      </w:pPr>
      <w:hyperlink w:anchor="_Toc0099">
        <w:r>
          <w:rPr>
            <w:color w:val="1155CC"/>
            <w:u w:val="single"/>
          </w:rPr>
          <w:t xml:space="preserve">Pipeline Dashboard</w:t>
        </w:r>
      </w:hyperlink>
    </w:p>
    <w:p>
      <w:pPr>
        <w:spacing w:after="40"/>
        <w:ind w:left="403"/>
      </w:pPr>
      <w:hyperlink w:anchor="_Toc0100">
        <w:r>
          <w:rPr>
            <w:color w:val="1155CC"/>
            <w:u w:val="single"/>
          </w:rPr>
          <w:t xml:space="preserve">Pipeline Stages (Settings)</w:t>
        </w:r>
      </w:hyperlink>
    </w:p>
    <w:p>
      <w:pPr>
        <w:spacing w:after="40"/>
        <w:ind w:left="403"/>
      </w:pPr>
      <w:hyperlink w:anchor="_Toc0101">
        <w:r>
          <w:rPr>
            <w:color w:val="1155CC"/>
            <w:u w:val="single"/>
          </w:rPr>
          <w:t xml:space="preserve">Activities</w:t>
        </w:r>
      </w:hyperlink>
    </w:p>
    <w:p>
      <w:pPr>
        <w:spacing w:after="40"/>
        <w:ind w:left="0"/>
      </w:pPr>
      <w:hyperlink w:anchor="_Toc0102">
        <w:r>
          <w:rPr>
            <w:b/>
            <w:color w:val="1155CC"/>
            <w:u w:val="single"/>
          </w:rPr>
          <w:t xml:space="preserve">Reporting and Business Intelligence</w:t>
        </w:r>
      </w:hyperlink>
    </w:p>
    <w:p>
      <w:pPr>
        <w:spacing w:after="40"/>
        <w:ind w:left="403"/>
      </w:pPr>
      <w:hyperlink w:anchor="_Toc0103">
        <w:r>
          <w:rPr>
            <w:color w:val="1155CC"/>
            <w:u w:val="single"/>
          </w:rPr>
          <w:t xml:space="preserve">Financial Statement Reports</w:t>
        </w:r>
      </w:hyperlink>
    </w:p>
    <w:p>
      <w:pPr>
        <w:spacing w:after="40"/>
        <w:ind w:left="403"/>
      </w:pPr>
      <w:hyperlink w:anchor="_Toc0104">
        <w:r>
          <w:rPr>
            <w:color w:val="1155CC"/>
            <w:u w:val="single"/>
          </w:rPr>
          <w:t xml:space="preserve">Business Intelligence Dashboard</w:t>
        </w:r>
      </w:hyperlink>
    </w:p>
    <w:p>
      <w:pPr>
        <w:spacing w:after="40"/>
        <w:ind w:left="403"/>
      </w:pPr>
      <w:hyperlink w:anchor="_Toc0105">
        <w:r>
          <w:rPr>
            <w:color w:val="1155CC"/>
            <w:u w:val="single"/>
          </w:rPr>
          <w:t xml:space="preserve">Analytical Reports</w:t>
        </w:r>
      </w:hyperlink>
    </w:p>
    <w:p>
      <w:pPr>
        <w:spacing w:after="40"/>
        <w:ind w:left="0"/>
      </w:pPr>
      <w:hyperlink w:anchor="_Toc0106">
        <w:r>
          <w:rPr>
            <w:b/>
            <w:color w:val="1155CC"/>
            <w:u w:val="single"/>
          </w:rPr>
          <w:t xml:space="preserve">HR &amp; Payroll, Budgeting, and Platform Services</w:t>
        </w:r>
      </w:hyperlink>
    </w:p>
    <w:p>
      <w:pPr>
        <w:spacing w:after="40"/>
        <w:ind w:left="403"/>
      </w:pPr>
      <w:hyperlink w:anchor="_Toc0107">
        <w:r>
          <w:rPr>
            <w:color w:val="1155CC"/>
            <w:u w:val="single"/>
          </w:rPr>
          <w:t xml:space="preserve">Part 1 — Human Resources and Payroll</w:t>
        </w:r>
      </w:hyperlink>
    </w:p>
    <w:p>
      <w:pPr>
        <w:spacing w:after="40"/>
        <w:ind w:left="403"/>
      </w:pPr>
      <w:hyperlink w:anchor="_Toc0108">
        <w:r>
          <w:rPr>
            <w:color w:val="1155CC"/>
            <w:u w:val="single"/>
          </w:rPr>
          <w:t xml:space="preserve">Part 2 — Budgeting</w:t>
        </w:r>
      </w:hyperlink>
    </w:p>
    <w:p>
      <w:pPr>
        <w:spacing w:after="40"/>
        <w:ind w:left="403"/>
      </w:pPr>
      <w:hyperlink w:anchor="_Toc0109">
        <w:r>
          <w:rPr>
            <w:color w:val="1155CC"/>
            <w:u w:val="single"/>
          </w:rPr>
          <w:t xml:space="preserve">Part 3 — Platform Services</w:t>
        </w:r>
      </w:hyperlink>
    </w:p>
    <w:p>
      <w:r>
        <w:br w:type="page"/>
      </w:r>
    </w:p>
    <w:p>
      <w:bookmarkStart w:id="0" w:name="_Toc0000"/>
      <w:pPr>
        <w:pStyle w:val="Heading1"/>
      </w:pPr>
      <w:r>
        <w:t>Getting Started</w:t>
      </w:r>
      <w:bookmarkEnd w:id="0"/>
    </w:p>
    <w:p>
      <w:r>
        <w:t>Welcome to the ERP system. This chapter explains how to sign in, find your way around, and use the common patterns you will meet on every screen.</w:t>
      </w:r>
    </w:p>
    <w:p>
      <w:r>
        <w:br/>
      </w:r>
    </w:p>
    <w:p>
      <w:bookmarkStart w:id="1" w:name="_Toc0001"/>
      <w:pPr>
        <w:pStyle w:val="Heading2"/>
      </w:pPr>
      <w:r>
        <w:t>Signing In</w:t>
      </w:r>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pPr>
        <w:pStyle w:val="Heading2"/>
      </w:pPr>
      <w:r>
        <w:t>The App Layout</w:t>
      </w:r>
      <w:bookmarkEnd w:id="2"/>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pPr>
        <w:pStyle w:val="Heading2"/>
      </w:pPr>
      <w:r>
        <w:t>The Branch Switcher</w:t>
      </w:r>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bookmarkStart w:id="4" w:name="_Toc0004"/>
      <w:pPr>
        <w:pStyle w:val="Heading2"/>
      </w:pPr>
      <w:r>
        <w:t>How Permissions Shape What You See</w:t>
      </w:r>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pPr>
        <w:pStyle w:val="Heading2"/>
      </w:pPr>
      <w:r>
        <w:t>Common UI Patterns</w:t>
      </w:r>
      <w:bookmarkEnd w:id="5"/>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bookmarkStart w:id="6" w:name="_Toc0006"/>
      <w:pPr>
        <w:pStyle w:val="Heading2"/>
      </w:pPr>
      <w:r>
        <w:t>Signing In as rootadmin</w:t>
      </w:r>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pPr>
        <w:pStyle w:val="Heading1"/>
      </w:pPr>
      <w:r>
        <w:t>Administration and Access</w:t>
      </w:r>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pPr>
        <w:pStyle w:val="Heading2"/>
      </w:pPr>
      <w:r>
        <w:t>Organisation, Companies, and Branches</w:t>
      </w:r>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pPr>
        <w:pStyle w:val="Heading2"/>
      </w:pPr>
      <w:r>
        <w:t>Users</w:t>
      </w:r>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bookmarkStart w:id="10" w:name="_Toc0010"/>
      <w:pPr>
        <w:pStyle w:val="Heading2"/>
      </w:pPr>
      <w:r>
        <w:t>Roles</w:t>
      </w:r>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Built-in operational roles</w:t>
      </w:r>
    </w:p>
    <w:p>
      <w:r>
        <w:rPr>
          <w:b/>
        </w:rPr>
        <w:t>What they are.</w:t>
      </w:r>
      <w:r>
        <w:t xml:space="preserve"> The system ships with </w:t>
      </w:r>
      <w:r>
        <w:rPr>
          <w:b/>
        </w:rPr>
        <w:t>12 ready-made operational roles</w:t>
      </w:r>
      <w:r>
        <w:t xml:space="preserve"> — one for each common job function — so you can put staff to work without composing a permission set from scratch. They appear in the Roles list from day one, alongside </w:t>
      </w:r>
      <w:r>
        <w:rPr>
          <w:rFonts w:ascii="Consolas" w:hAnsi="Consolas"/>
          <w:color w:val="B03060"/>
          <w:sz w:val="19"/>
        </w:rPr>
        <w:t>ORG_ADMIN</w:t>
      </w:r>
      <w:r>
        <w:t xml:space="preserve">, ready to grant to users in the [Assigning Roles to Users](#assigning-roles-to-users) section below. Each is a </w:t>
      </w:r>
      <w:r>
        <w:rPr>
          <w:b/>
        </w:rPr>
        <w:t>system role</w:t>
      </w:r>
      <w:r>
        <w:t xml:space="preserve">: it is marked as </w:t>
      </w:r>
      <w:r>
        <w:rPr>
          <w:b/>
        </w:rPr>
        <w:t>system</w:t>
      </w:r>
      <w:r>
        <w:t xml:space="preserve"> in the list, cannot be deleted or archived, and its permission set is fixed (view it on the role edit page, but you cannot change it — see [Setting a role's permissions](#setting-a-roles-permissions)).</w:t>
      </w:r>
    </w:p>
    <w:p>
      <w:r>
        <w:rPr>
          <w:b/>
        </w:rPr>
        <w:t>How they differ from ORG_ADMIN.</w:t>
      </w:r>
      <w:r>
        <w:t xml:space="preserve"> </w:t>
      </w:r>
      <w:r>
        <w:rPr>
          <w:rFonts w:ascii="Consolas" w:hAnsi="Consolas"/>
          <w:color w:val="B03060"/>
          <w:sz w:val="19"/>
        </w:rPr>
        <w:t>ORG_ADMIN</w:t>
      </w:r>
      <w:r>
        <w:t xml:space="preserve"> holds *every* permission in the system — it is the full administrator. The 12 operational roles are </w:t>
      </w:r>
      <w:r>
        <w:rPr>
          <w:b/>
        </w:rPr>
        <w:t>least-privilege</w:t>
      </w:r>
      <w:r>
        <w:t>: each holds only the permissions its job actually needs, so a Cashier cannot manage users, a Salesperson cannot void invoices or change pricing settings, and an Accountant cannot close the fiscal year. This is deliberate — you assign people the narrowest role that lets them do their work.</w:t>
      </w:r>
    </w:p>
    <w:p>
      <w:r>
        <w:rPr>
          <w:b/>
        </w:rPr>
        <w:t>How to use them.</w:t>
      </w:r>
      <w:r>
        <w:t xml:space="preserve"> Grant one (or more) of these roles to a user for a company, exactly as you would any other role (see [Assigning Roles to Users](#assigning-roles-to-users)). If none of them fits a person's responsibilities exactly, use them as a starting reference and create your own </w:t>
      </w:r>
      <w:r>
        <w:rPr>
          <w:b/>
        </w:rPr>
        <w:t>custom</w:t>
      </w:r>
      <w:r>
        <w:t xml:space="preserve"> role (custom roles are freely editable; the 12 shipped roles are not).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Name</w:t>
            </w:r>
          </w:p>
        </w:tc>
        <w:tc>
          <w:tcPr>
            <w:tcW w:type="dxa" w:w="2880"/>
          </w:tcPr>
          <w:p>
            <w:r>
              <w:rPr>
                <w:b/>
              </w:rPr>
              <w:t>What it can do</w:t>
            </w:r>
          </w:p>
        </w:tc>
      </w:tr>
      <w:tr>
        <w:tc>
          <w:tcPr>
            <w:tcW w:type="dxa" w:w="2880"/>
          </w:tcPr>
          <w:p>
            <w:r>
              <w:rPr>
                <w:rFonts w:ascii="Consolas" w:hAnsi="Consolas"/>
                <w:color w:val="B03060"/>
                <w:sz w:val="19"/>
              </w:rPr>
              <w:t>SALESPERSON</w:t>
            </w:r>
          </w:p>
        </w:tc>
        <w:tc>
          <w:tcPr>
            <w:tcW w:type="dxa" w:w="2880"/>
          </w:tcPr>
          <w:p>
            <w:r>
              <w:t>Salesperson</w:t>
            </w:r>
          </w:p>
        </w:tc>
        <w:tc>
          <w:tcPr>
            <w:tcW w:type="dxa" w:w="2880"/>
          </w:tcPr>
          <w:p>
            <w:r>
              <w:t>Quotes, orders, invoices, deliveries and returns; issue fiscal receipts; onboard customers. No overrides, voids, or settings.</w:t>
            </w:r>
          </w:p>
        </w:tc>
      </w:tr>
      <w:tr>
        <w:tc>
          <w:tcPr>
            <w:tcW w:type="dxa" w:w="2880"/>
          </w:tcPr>
          <w:p>
            <w:r>
              <w:rPr>
                <w:rFonts w:ascii="Consolas" w:hAnsi="Consolas"/>
                <w:color w:val="B03060"/>
                <w:sz w:val="19"/>
              </w:rPr>
              <w:t>CASHIER</w:t>
            </w:r>
          </w:p>
        </w:tc>
        <w:tc>
          <w:tcPr>
            <w:tcW w:type="dxa" w:w="2880"/>
          </w:tcPr>
          <w:p>
            <w:r>
              <w:t>Cashier</w:t>
            </w:r>
          </w:p>
        </w:tc>
        <w:tc>
          <w:tcPr>
            <w:tcW w:type="dxa" w:w="2880"/>
          </w:tcPr>
          <w:p>
            <w:r>
              <w:t>POS till (open, sell, close, reconcile), customer receipting, end-of-day cash count and petty cash. Front-line cash only.</w:t>
            </w:r>
          </w:p>
        </w:tc>
      </w:tr>
      <w:tr>
        <w:tc>
          <w:tcPr>
            <w:tcW w:type="dxa" w:w="2880"/>
          </w:tcPr>
          <w:p>
            <w:r>
              <w:rPr>
                <w:rFonts w:ascii="Consolas" w:hAnsi="Consolas"/>
                <w:color w:val="B03060"/>
                <w:sz w:val="19"/>
              </w:rPr>
              <w:t>FIELD_SALES_AGENT</w:t>
            </w:r>
          </w:p>
        </w:tc>
        <w:tc>
          <w:tcPr>
            <w:tcW w:type="dxa" w:w="2880"/>
          </w:tcPr>
          <w:p>
            <w:r>
              <w:t>Field Sales Agent</w:t>
            </w:r>
          </w:p>
        </w:tc>
        <w:tc>
          <w:tcPr>
            <w:tcW w:type="dxa" w:w="2880"/>
          </w:tcPr>
          <w:p>
            <w:r>
              <w:t>Route/van selling: capture orders, invoice and deliver on a route, collect cash receipts, reconcile van stock.</w:t>
            </w:r>
          </w:p>
        </w:tc>
      </w:tr>
      <w:tr>
        <w:tc>
          <w:tcPr>
            <w:tcW w:type="dxa" w:w="2880"/>
          </w:tcPr>
          <w:p>
            <w:r>
              <w:rPr>
                <w:rFonts w:ascii="Consolas" w:hAnsi="Consolas"/>
                <w:color w:val="B03060"/>
                <w:sz w:val="19"/>
              </w:rPr>
              <w:t>STOREKEEPER</w:t>
            </w:r>
          </w:p>
        </w:tc>
        <w:tc>
          <w:tcPr>
            <w:tcW w:type="dxa" w:w="2880"/>
          </w:tcPr>
          <w:p>
            <w:r>
              <w:t>Storekeeper</w:t>
            </w:r>
          </w:p>
        </w:tc>
        <w:tc>
          <w:tcPr>
            <w:tcW w:type="dxa" w:w="2880"/>
          </w:tcPr>
          <w:p>
            <w:r>
              <w:t>Stock control: view, adjust, count, post, transfer, locations; receive goods against a PO; supplier returns; batch/serial/expiry.</w:t>
            </w:r>
          </w:p>
        </w:tc>
      </w:tr>
      <w:tr>
        <w:tc>
          <w:tcPr>
            <w:tcW w:type="dxa" w:w="2880"/>
          </w:tcPr>
          <w:p>
            <w:r>
              <w:rPr>
                <w:rFonts w:ascii="Consolas" w:hAnsi="Consolas"/>
                <w:color w:val="B03060"/>
                <w:sz w:val="19"/>
              </w:rPr>
              <w:t>ACCOUNTANT</w:t>
            </w:r>
          </w:p>
        </w:tc>
        <w:tc>
          <w:tcPr>
            <w:tcW w:type="dxa" w:w="2880"/>
          </w:tcPr>
          <w:p>
            <w:r>
              <w:t>Accountant</w:t>
            </w:r>
          </w:p>
        </w:tc>
        <w:tc>
          <w:tcPr>
            <w:tcW w:type="dxa" w:w="2880"/>
          </w:tcPr>
          <w:p>
            <w:r>
              <w:t>GL journals (not close), AR and AP sub-ledgers, cash &amp; bank, VAT preparation (not filing), WHT, cost tagging and financial reports.</w:t>
            </w:r>
          </w:p>
        </w:tc>
      </w:tr>
      <w:tr>
        <w:tc>
          <w:tcPr>
            <w:tcW w:type="dxa" w:w="2880"/>
          </w:tcPr>
          <w:p>
            <w:r>
              <w:rPr>
                <w:rFonts w:ascii="Consolas" w:hAnsi="Consolas"/>
                <w:color w:val="B03060"/>
                <w:sz w:val="19"/>
              </w:rPr>
              <w:t>SALES_MANAGER</w:t>
            </w:r>
          </w:p>
        </w:tc>
        <w:tc>
          <w:tcPr>
            <w:tcW w:type="dxa" w:w="2880"/>
          </w:tcPr>
          <w:p>
            <w:r>
              <w:t>Sales Manager</w:t>
            </w:r>
          </w:p>
        </w:tc>
        <w:tc>
          <w:tcPr>
            <w:tcW w:type="dxa" w:w="2880"/>
          </w:tcPr>
          <w:p>
            <w:r>
              <w:t>Full sales including overrides, voids, credit override and settings; pricing rules, CRM, agents and routes, and sales approvals.</w:t>
            </w:r>
          </w:p>
        </w:tc>
      </w:tr>
      <w:tr>
        <w:tc>
          <w:tcPr>
            <w:tcW w:type="dxa" w:w="2880"/>
          </w:tcPr>
          <w:p>
            <w:r>
              <w:rPr>
                <w:rFonts w:ascii="Consolas" w:hAnsi="Consolas"/>
                <w:color w:val="B03060"/>
                <w:sz w:val="19"/>
              </w:rPr>
              <w:t>BRANCH_MANAGER</w:t>
            </w:r>
          </w:p>
        </w:tc>
        <w:tc>
          <w:tcPr>
            <w:tcW w:type="dxa" w:w="2880"/>
          </w:tcPr>
          <w:p>
            <w:r>
              <w:t>Branch Manager</w:t>
            </w:r>
          </w:p>
        </w:tc>
        <w:tc>
          <w:tcPr>
            <w:tcW w:type="dxa" w:w="2880"/>
          </w:tcPr>
          <w:p>
            <w:r>
              <w:t>Broad single-branch oversight: cross-module views, approvals and operational sign-offs (POS reconcile, cash count, stock post, PO/requisition approve). Usually assigned branch-scoped.</w:t>
            </w:r>
          </w:p>
        </w:tc>
      </w:tr>
      <w:tr>
        <w:tc>
          <w:tcPr>
            <w:tcW w:type="dxa" w:w="2880"/>
          </w:tcPr>
          <w:p>
            <w:r>
              <w:rPr>
                <w:rFonts w:ascii="Consolas" w:hAnsi="Consolas"/>
                <w:color w:val="B03060"/>
                <w:sz w:val="19"/>
              </w:rPr>
              <w:t>PROCUREMENT_OFFICER</w:t>
            </w:r>
          </w:p>
        </w:tc>
        <w:tc>
          <w:tcPr>
            <w:tcW w:type="dxa" w:w="2880"/>
          </w:tcPr>
          <w:p>
            <w:r>
              <w:t>Procurement Officer</w:t>
            </w:r>
          </w:p>
        </w:tc>
        <w:tc>
          <w:tcPr>
            <w:tcW w:type="dxa" w:w="2880"/>
          </w:tcPr>
          <w:p>
            <w:r>
              <w:t>Requisition, RFQ, purchase order, receive and returns; landed cost and suppliers. No approve, void, or settings.</w:t>
            </w:r>
          </w:p>
        </w:tc>
      </w:tr>
      <w:tr>
        <w:tc>
          <w:tcPr>
            <w:tcW w:type="dxa" w:w="2880"/>
          </w:tcPr>
          <w:p>
            <w:r>
              <w:rPr>
                <w:rFonts w:ascii="Consolas" w:hAnsi="Consolas"/>
                <w:color w:val="B03060"/>
                <w:sz w:val="19"/>
              </w:rPr>
              <w:t>PROCUREMENT_MANAGER</w:t>
            </w:r>
          </w:p>
        </w:tc>
        <w:tc>
          <w:tcPr>
            <w:tcW w:type="dxa" w:w="2880"/>
          </w:tcPr>
          <w:p>
            <w:r>
              <w:t>Procurement Manager</w:t>
            </w:r>
          </w:p>
        </w:tc>
        <w:tc>
          <w:tcPr>
            <w:tcW w:type="dxa" w:w="2880"/>
          </w:tcPr>
          <w:p>
            <w:r>
              <w:t>Everything the officer has, plus PO/requisition approval, PO/goods-receipt void, and purchase settings.</w:t>
            </w:r>
          </w:p>
        </w:tc>
      </w:tr>
      <w:tr>
        <w:tc>
          <w:tcPr>
            <w:tcW w:type="dxa" w:w="2880"/>
          </w:tcPr>
          <w:p>
            <w:r>
              <w:rPr>
                <w:rFonts w:ascii="Consolas" w:hAnsi="Consolas"/>
                <w:color w:val="B03060"/>
                <w:sz w:val="19"/>
              </w:rPr>
              <w:t>HR_PAYROLL_MANAGER</w:t>
            </w:r>
          </w:p>
        </w:tc>
        <w:tc>
          <w:tcPr>
            <w:tcW w:type="dxa" w:w="2880"/>
          </w:tcPr>
          <w:p>
            <w:r>
              <w:t>HR &amp; Payroll Manager</w:t>
            </w:r>
          </w:p>
        </w:tc>
        <w:tc>
          <w:tcPr>
            <w:tcW w:type="dxa" w:w="2880"/>
          </w:tcPr>
          <w:p>
            <w:r>
              <w:t>Employees, leave and loans; pay components; the full payroll run/approve/post/disburse/reverse cycle; statutory deductions.</w:t>
            </w:r>
          </w:p>
        </w:tc>
      </w:tr>
      <w:tr>
        <w:tc>
          <w:tcPr>
            <w:tcW w:type="dxa" w:w="2880"/>
          </w:tcPr>
          <w:p>
            <w:r>
              <w:rPr>
                <w:rFonts w:ascii="Consolas" w:hAnsi="Consolas"/>
                <w:color w:val="B03060"/>
                <w:sz w:val="19"/>
              </w:rPr>
              <w:t>FINANCE_DIRECTOR</w:t>
            </w:r>
          </w:p>
        </w:tc>
        <w:tc>
          <w:tcPr>
            <w:tcW w:type="dxa" w:w="2880"/>
          </w:tcPr>
          <w:p>
            <w:r>
              <w:t>Finance Director</w:t>
            </w:r>
          </w:p>
        </w:tc>
        <w:tc>
          <w:tcPr>
            <w:tcW w:type="dxa" w:w="2880"/>
          </w:tcPr>
          <w:p>
            <w:r>
              <w:t>Everything the Accountant has, plus GL configuration, period/year close, VAT filing, FX revaluation, fixed assets, budgeting and approvals policy. Not user or company administration.</w:t>
            </w:r>
          </w:p>
        </w:tc>
      </w:tr>
      <w:tr>
        <w:tc>
          <w:tcPr>
            <w:tcW w:type="dxa" w:w="2880"/>
          </w:tcPr>
          <w:p>
            <w:r>
              <w:rPr>
                <w:rFonts w:ascii="Consolas" w:hAnsi="Consolas"/>
                <w:color w:val="B03060"/>
                <w:sz w:val="19"/>
              </w:rPr>
              <w:t>PRODUCTION_MANAGER</w:t>
            </w:r>
          </w:p>
        </w:tc>
        <w:tc>
          <w:tcPr>
            <w:tcW w:type="dxa" w:w="2880"/>
          </w:tcPr>
          <w:p>
            <w:r>
              <w:t>Production Manager</w:t>
            </w:r>
          </w:p>
        </w:tc>
        <w:tc>
          <w:tcPr>
            <w:tcW w:type="dxa" w:w="2880"/>
          </w:tcPr>
          <w:p>
            <w:r>
              <w:t>Work-order lifecycle, BOMs, material movements and WIP/costing views.</w:t>
            </w:r>
          </w:p>
        </w:tc>
      </w:tr>
    </w:tbl>
    <w:p/>
    <w:p>
      <w:r>
        <w:t xml:space="preserve">The </w:t>
      </w:r>
      <w:r>
        <w:rPr>
          <w:rFonts w:ascii="Consolas" w:hAnsi="Consolas"/>
          <w:color w:val="B03060"/>
          <w:sz w:val="19"/>
        </w:rPr>
        <w:t>SALESPERSON</w:t>
      </w:r>
      <w:r>
        <w:t>/</w:t>
      </w:r>
      <w:r>
        <w:rPr>
          <w:rFonts w:ascii="Consolas" w:hAnsi="Consolas"/>
          <w:color w:val="B03060"/>
          <w:sz w:val="19"/>
        </w:rPr>
        <w:t>SALES_MANAGER</w:t>
      </w:r>
      <w:r>
        <w:t xml:space="preserve">, </w:t>
      </w:r>
      <w:r>
        <w:rPr>
          <w:rFonts w:ascii="Consolas" w:hAnsi="Consolas"/>
          <w:color w:val="B03060"/>
          <w:sz w:val="19"/>
        </w:rPr>
        <w:t>PROCUREMENT_OFFICER</w:t>
      </w:r>
      <w:r>
        <w:t>/</w:t>
      </w:r>
      <w:r>
        <w:rPr>
          <w:rFonts w:ascii="Consolas" w:hAnsi="Consolas"/>
          <w:color w:val="B03060"/>
          <w:sz w:val="19"/>
        </w:rPr>
        <w:t>PROCUREMENT_MANAGER</w:t>
      </w:r>
      <w:r>
        <w:t xml:space="preserve">, and </w:t>
      </w:r>
      <w:r>
        <w:rPr>
          <w:rFonts w:ascii="Consolas" w:hAnsi="Consolas"/>
          <w:color w:val="B03060"/>
          <w:sz w:val="19"/>
        </w:rPr>
        <w:t>ACCOUNTANT</w:t>
      </w:r>
      <w:r>
        <w:t>/</w:t>
      </w:r>
      <w:r>
        <w:rPr>
          <w:rFonts w:ascii="Consolas" w:hAnsi="Consolas"/>
          <w:color w:val="B03060"/>
          <w:sz w:val="19"/>
        </w:rPr>
        <w:t>FINANCE_DIRECTOR</w:t>
      </w:r>
      <w:r>
        <w:t xml:space="preserve"> pairs are split on purpose: the manager/director role adds the approve, void, close and settings capabilities that the day-to-day role deliberately lacks (segregation of duties). Assign the day-to-day role to front-line staff and the manager role to whoever signs off their work.</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pPr>
        <w:pStyle w:val="Heading2"/>
      </w:pPr>
      <w:r>
        <w:t>Assigning Companies to Users</w:t>
      </w:r>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pPr>
        <w:pStyle w:val="Heading2"/>
      </w:pPr>
      <w:r>
        <w:t>Assigning Roles to Users</w:t>
      </w:r>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bookmarkStart w:id="13" w:name="_Toc0013"/>
      <w:pPr>
        <w:pStyle w:val="Heading2"/>
      </w:pPr>
      <w:r>
        <w:t>Assigning Branches to Users</w:t>
      </w:r>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pPr>
        <w:pStyle w:val="Heading2"/>
      </w:pPr>
      <w:r>
        <w:t>Sales Settings — sales-order approval and stock control</w:t>
      </w:r>
      <w:bookmarkEnd w:id="14"/>
    </w:p>
    <w:p>
      <w:r>
        <w:rPr>
          <w:b/>
        </w:rPr>
        <w:t>What this screen is.</w:t>
      </w:r>
      <w:r>
        <w:t xml:space="preserve"> Sales Settings is a per-company configuration screen that holds one setting group per company. It controls two independent things: whether large </w:t>
      </w:r>
      <w:r>
        <w:rPr>
          <w:b/>
        </w:rPr>
        <w:t>sales orders</w:t>
      </w:r>
      <w:r>
        <w:t xml:space="preserve"> must be approved before they can be confirmed (and above what value that approval kicks in), and whether sales that would take </w:t>
      </w:r>
      <w:r>
        <w:rPr>
          <w:b/>
        </w:rPr>
        <w:t>stock negative</w:t>
      </w:r>
      <w:r>
        <w:t xml:space="preserve"> are blocked or allowed.</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pPr>
        <w:pStyle w:val="Heading3"/>
      </w:pPr>
      <w:r>
        <w:t>Setting the sales-order approval threshold</w:t>
      </w:r>
    </w:p>
    <w:p>
      <w:pPr>
        <w:pStyle w:val="ListNumbe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pPr>
      <w:r>
        <w:t>With the workflow enabled, fill in:</w:t>
      </w:r>
    </w:p>
    <w:p>
      <w:pPr>
        <w:pStyle w:val="ListBullet"/>
        <w:ind w:left="720"/>
      </w:pPr>
      <w:r>
        <w:rPr>
          <w:b/>
        </w:rPr>
        <w:t>Approval Threshold Amount</w:t>
      </w:r>
      <w:r>
        <w:t xml:space="preserve"> — the order value at or above which approval is required. The hint beneath the field reads *"Sales orders above this value require approval."*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pPr>
      <w:r>
        <w:t xml:space="preserve">Click </w:t>
      </w:r>
      <w:r>
        <w:rPr>
          <w:b/>
        </w:rPr>
        <w:t>Save Settings</w:t>
      </w:r>
      <w:r>
        <w:t>. A confirmation *"Sales settings saved"*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r>
        <w:rPr>
          <w:b/>
        </w:rPr>
        <w:t>A zero or empty threshold catches everything.</w:t>
      </w:r>
      <w:r>
        <w:t xml:space="preserve"> If the workflow is enabled and you leave the threshold at </w:t>
      </w:r>
      <w:r>
        <w:rPr>
          <w:rFonts w:ascii="Consolas" w:hAnsi="Consolas"/>
          <w:color w:val="B03060"/>
          <w:sz w:val="19"/>
        </w:rPr>
        <w:t>0</w:t>
      </w:r>
      <w:r>
        <w:t>, every order (any value) requires approval. The amount must be zero or positive — a negative value is rejected with *"Threshold amount must be zero or positive."*</w:t>
      </w:r>
    </w:p>
    <w:p>
      <w:r>
        <w:rPr>
          <w:b/>
        </w:rPr>
        <w:t>The threshold is per company, not per branch.</w:t>
      </w:r>
      <w:r>
        <w:t xml:space="preserve"> All branches of the selected company share the same threshold. Configure each company separately.</w:t>
      </w:r>
    </w:p>
    <w:p>
      <w:pPr>
        <w:pStyle w:val="Heading3"/>
      </w:pPr>
      <w:r>
        <w:t>Blocking sales that would take stock negative</w:t>
      </w:r>
    </w:p>
    <w:p>
      <w:r>
        <w:rPr>
          <w:b/>
        </w:rPr>
        <w:t>What this control does.</w:t>
      </w:r>
      <w:r>
        <w:t xml:space="preserve"> Below the SO Approval card, the same screen carries a </w:t>
      </w:r>
      <w:r>
        <w:rPr>
          <w:b/>
        </w:rPr>
        <w:t>Block sales that would take stock negative</w:t>
      </w:r>
      <w:r>
        <w:t xml:space="preserve"> switch. It decides what happens when someone tries to sell more of a product than the branch actually has on hand:</w:t>
      </w:r>
    </w:p>
    <w:p>
      <w:pPr>
        <w:pStyle w:val="ListBullet"/>
      </w:pPr>
      <w:r>
        <w:rPr>
          <w:b/>
        </w:rPr>
        <w:t>On (Block)</w:t>
      </w:r>
      <w:r>
        <w:t xml:space="preserve"> — finalising an invoice or creating a delivery is </w:t>
      </w:r>
      <w:r>
        <w:rPr>
          <w:b/>
        </w:rPr>
        <w:t>rejected</w:t>
      </w:r>
      <w:r>
        <w:t xml:space="preserve"> when there isn't enough stock to cover it. The user sees a friendly message naming the product, how much is available and how much was requested, and telling them to *"enable backorder in Sales Settings"* if the sale should go through anyway. Stock can never be driven below zero this way.</w:t>
      </w:r>
    </w:p>
    <w:p>
      <w:pPr>
        <w:pStyle w:val="ListBullet"/>
      </w:pPr>
      <w:r>
        <w:rPr>
          <w:b/>
        </w:rPr>
        <w:t>Off (Allow / backorder)</w:t>
      </w:r>
      <w:r>
        <w:t xml:space="preserve"> — overselling is permitted: the sale completes even when there isn't enough on hand, and stock is allowed to go negative (a backorder). Use this when you routinely sell ahead of receiving goods.</w:t>
      </w:r>
    </w:p>
    <w:p>
      <w:r>
        <w:t>The hint beneath the switch reads *"When on, a sale is blocked if there isn't enough stock. Turn off to allow overselling (backorder)."* The check applies to ordinary stock-tracked products; services and other non-stocked items are never affected.</w:t>
      </w:r>
    </w:p>
    <w:p>
      <w:r>
        <w:rPr>
          <w:b/>
        </w:rPr>
        <w:t>When it takes effect.</w:t>
      </w:r>
      <w:r>
        <w:t xml:space="preserve"> The switch sits on its own, independent of the SO Approval workflow above — you can use either, both, or neither. To change it:</w:t>
      </w:r>
    </w:p>
    <w:p>
      <w:pPr>
        <w:pStyle w:val="ListNumber"/>
      </w:pPr>
      <w:r>
        <w:t xml:space="preserve">On the Sales Settings screen, choose the </w:t>
      </w:r>
      <w:r>
        <w:rPr>
          <w:b/>
        </w:rPr>
        <w:t>Company</w:t>
      </w:r>
      <w:r>
        <w:t xml:space="preserve"> at the top.</w:t>
      </w:r>
    </w:p>
    <w:p>
      <w:pPr>
        <w:pStyle w:val="ListNumber"/>
      </w:pPr>
      <w:r>
        <w:t xml:space="preserve">Set the </w:t>
      </w:r>
      <w:r>
        <w:rPr>
          <w:b/>
        </w:rPr>
        <w:t>Block sales that would take stock negative</w:t>
      </w:r>
      <w:r>
        <w:t xml:space="preserve"> switch on or off.</w:t>
      </w:r>
    </w:p>
    <w:p>
      <w:pPr>
        <w:pStyle w:val="ListNumber"/>
      </w:pPr>
      <w:r>
        <w:t xml:space="preserve">Click </w:t>
      </w:r>
      <w:r>
        <w:rPr>
          <w:b/>
        </w:rPr>
        <w:t>Save Settings</w:t>
      </w:r>
      <w:r>
        <w:t xml:space="preserve">. (The same </w:t>
      </w:r>
      <w:r>
        <w:rPr>
          <w:rFonts w:ascii="Consolas" w:hAnsi="Consolas"/>
          <w:color w:val="B03060"/>
          <w:sz w:val="19"/>
        </w:rPr>
        <w:t>SALES.SETTINGS.MANAGE</w:t>
      </w:r>
      <w:r>
        <w:t xml:space="preserve"> permission governs this control.)</w:t>
      </w:r>
    </w:p>
    <w:p>
      <w:r>
        <w:rPr>
          <w:b/>
        </w:rPr>
        <w:t>Allow until configured, then block by default.</w:t>
      </w:r>
      <w:r>
        <w:t xml:space="preserve"> A brand-new company that has </w:t>
      </w:r>
      <w:r>
        <w:rPr>
          <w:b/>
        </w:rPr>
        <w:t>never opened and saved</w:t>
      </w:r>
      <w:r>
        <w:t xml:space="preserve"> Sales Settings is *not* yet guarded — its sales are allowed to oversell until you configure the screen. The moment you save Sales Settings for the first time, the switch defaults to </w:t>
      </w:r>
      <w:r>
        <w:rPr>
          <w:b/>
        </w:rPr>
        <w:t>Block</w:t>
      </w:r>
      <w:r>
        <w:t>, so a saved company blocks negative-stock sales unless you deliberately turn the switch off.</w:t>
      </w:r>
    </w:p>
    <w:p>
      <w:r>
        <w:br/>
      </w:r>
    </w:p>
    <w:p>
      <w:bookmarkStart w:id="15" w:name="_Toc0015"/>
      <w:pPr>
        <w:pStyle w:val="Heading2"/>
      </w:pPr>
      <w:r>
        <w:t>Fiscal / EFD Configuration</w:t>
      </w:r>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*seam*: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b/>
        </w:rPr>
        <w:t>`none`</w:t>
      </w:r>
      <w:r>
        <w:t xml:space="preserve"> (the default) — no device is wired. Every fiscalisation attempt returns the honest status </w:t>
      </w:r>
      <w:r>
        <w:rPr>
          <w:b/>
        </w:rPr>
        <w:t>NOT_CONFIGURED</w:t>
      </w:r>
      <w:r>
        <w:t>; nothing is invented.</w:t>
      </w:r>
    </w:p>
    <w:p>
      <w:pPr>
        <w:pStyle w:val="ListBullet"/>
      </w:pPr>
      <w:r>
        <w:rPr>
          <w:b/>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b/>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pPr>
        <w:pStyle w:val="Heading3"/>
      </w:pPr>
      <w:r>
        <w:t>Where operators see fiscal status</w:t>
      </w:r>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*"No EFD device is configured for this company yet."*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pPr>
        <w:pStyle w:val="Heading2"/>
      </w:pPr>
      <w:r>
        <w:t>Audit Trail</w:t>
      </w:r>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bookmarkStart w:id="17" w:name="_Toc0017"/>
      <w:pPr>
        <w:pStyle w:val="Heading2"/>
      </w:pPr>
      <w:r>
        <w:t>Key Concepts Reference</w:t>
      </w:r>
      <w:bookmarkEnd w:id="17"/>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pPr>
        <w:pStyle w:val="Heading1"/>
      </w:pPr>
      <w:r>
        <w:t>Master Data</w:t>
      </w:r>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pPr>
        <w:pStyle w:val="Heading2"/>
      </w:pPr>
      <w:r>
        <w:t>Customers</w:t>
      </w:r>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pPr>
        <w:pStyle w:val="Heading2"/>
      </w:pPr>
      <w:r>
        <w:t>Suppliers</w:t>
      </w:r>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pPr>
        <w:pStyle w:val="Heading2"/>
      </w:pPr>
      <w:r>
        <w:t>Other Parties</w:t>
      </w:r>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pPr>
        <w:pStyle w:val="Heading2"/>
      </w:pPr>
      <w:r>
        <w:t>Sales Agents</w:t>
      </w:r>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pPr>
        <w:pStyle w:val="Heading2"/>
      </w:pPr>
      <w:r>
        <w:t>Products</w:t>
      </w:r>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Weighed goods (sell by weight)</w:t>
      </w:r>
    </w:p>
    <w:p>
      <w:r>
        <w:t xml:space="preserve">Some products are not sold by the piece but </w:t>
      </w:r>
      <w:r>
        <w:rPr>
          <w:b/>
        </w:rPr>
        <w:t>by weight</w:t>
      </w:r>
      <w:r>
        <w:t xml:space="preserve"> — loose rice, sugar, produce, or deli goods scooped and weighed on a counter scale. For these, the price is quoted per weight unit (for example, TZS 2,000 per kg) and the sale line carries the </w:t>
      </w:r>
      <w:r>
        <w:rPr>
          <w:b/>
        </w:rPr>
        <w:t>actual weighed amount</w:t>
      </w:r>
      <w:r>
        <w:t xml:space="preserve"> (0.813 kg), not a whole-number count. Marking a product as *sold by weight* makes that intent explicit so it is billed as a weight, never rung up as "1 unit".</w:t>
      </w:r>
    </w:p>
    <w:p>
      <w:r>
        <w:rPr>
          <w:b/>
        </w:rPr>
        <w:t>The prerequisite: a weight base unit.</w:t>
      </w:r>
      <w:r>
        <w:t xml:space="preserve"> A weighed product's </w:t>
      </w:r>
      <w:r>
        <w:rPr>
          <w:b/>
        </w:rPr>
        <w:t>base unit must be a weight unit</w:t>
      </w:r>
      <w:r>
        <w:t xml:space="preserve"> — kilograms or grams — because the whole point is to price and record a weight. The seeded units of measure </w:t>
      </w:r>
      <w:r>
        <w:rPr>
          <w:rFonts w:ascii="Consolas" w:hAnsi="Consolas"/>
          <w:color w:val="B03060"/>
          <w:sz w:val="19"/>
        </w:rPr>
        <w:t>KG</w:t>
      </w:r>
      <w:r>
        <w:t xml:space="preserve"> and </w:t>
      </w:r>
      <w:r>
        <w:rPr>
          <w:rFonts w:ascii="Consolas" w:hAnsi="Consolas"/>
          <w:color w:val="B03060"/>
          <w:sz w:val="19"/>
        </w:rPr>
        <w:t>GRAM</w:t>
      </w:r>
      <w:r>
        <w:t xml:space="preserve"> are weight units; </w:t>
      </w:r>
      <w:r>
        <w:rPr>
          <w:rFonts w:ascii="Consolas" w:hAnsi="Consolas"/>
          <w:color w:val="B03060"/>
          <w:sz w:val="19"/>
        </w:rPr>
        <w:t>EA</w:t>
      </w:r>
      <w:r>
        <w:t>/</w:t>
      </w:r>
      <w:r>
        <w:rPr>
          <w:rFonts w:ascii="Consolas" w:hAnsi="Consolas"/>
          <w:color w:val="B03060"/>
          <w:sz w:val="19"/>
        </w:rPr>
        <w:t>PCS</w:t>
      </w:r>
      <w:r>
        <w:t xml:space="preserve"> and volume units (litre, millilitre) are not. If the product's base unit is not a weight unit, the </w:t>
      </w:r>
      <w:r>
        <w:rPr>
          <w:b/>
        </w:rPr>
        <w:t>Sold by weight</w:t>
      </w:r>
      <w:r>
        <w:t xml:space="preserve"> switch is disabled and a hint reads *"Choose a weight base unit (e.g. kg) to sell this by weight."* Pick a weight base unit when you create the product (or change it before turning weighing on).</w:t>
      </w:r>
    </w:p>
    <w:p>
      <w:r>
        <w:rPr>
          <w:b/>
        </w:rPr>
        <w:t>Where you set it.</w:t>
      </w:r>
      <w:r>
        <w:t xml:space="preserve"> On the product detail page (</w:t>
      </w:r>
      <w:r>
        <w:rPr>
          <w:rFonts w:ascii="Consolas" w:hAnsi="Consolas"/>
          <w:color w:val="B03060"/>
          <w:sz w:val="19"/>
        </w:rPr>
        <w:t>/admin/products/uid/&lt;uid&gt;</w:t>
      </w:r>
      <w:r>
        <w:t xml:space="preserve">) there is a </w:t>
      </w:r>
      <w:r>
        <w:rPr>
          <w:b/>
        </w:rPr>
        <w:t>Weighed Goods</w:t>
      </w:r>
      <w:r>
        <w:t xml:space="preserve"> card; the same controls also appear on the </w:t>
      </w:r>
      <w:r>
        <w:rPr>
          <w:b/>
        </w:rPr>
        <w:t>Product Master</w:t>
      </w:r>
      <w:r>
        <w:t xml:space="preserve"> one-screen form. It has one switch and three optional fields: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What it does</w:t>
            </w:r>
          </w:p>
        </w:tc>
      </w:tr>
      <w:tr>
        <w:tc>
          <w:tcPr>
            <w:tcW w:type="dxa" w:w="4320"/>
          </w:tcPr>
          <w:p>
            <w:r>
              <w:rPr>
                <w:b/>
              </w:rPr>
              <w:t>Sold by weight</w:t>
            </w:r>
          </w:p>
        </w:tc>
        <w:tc>
          <w:tcPr>
            <w:tcW w:type="dxa" w:w="4320"/>
          </w:tcPr>
          <w:p>
            <w:r>
              <w:t>Turns weighing on for the product. When on, the sale path requires a weight unit on every line for this product and rejects a by-count unit with a clear *"…is sold by weight — choose a weight unit such as kilograms"* message.</w:t>
            </w:r>
          </w:p>
        </w:tc>
      </w:tr>
      <w:tr>
        <w:tc>
          <w:tcPr>
            <w:tcW w:type="dxa" w:w="4320"/>
          </w:tcPr>
          <w:p>
            <w:r>
              <w:rPr>
                <w:b/>
              </w:rPr>
              <w:t>Tare weight</w:t>
            </w:r>
          </w:p>
        </w:tc>
        <w:tc>
          <w:tcPr>
            <w:tcW w:type="dxa" w:w="4320"/>
          </w:tcPr>
          <w:p>
            <w:r>
              <w:t xml:space="preserve">The container/packaging weight, in the base unit (e.g. </w:t>
            </w:r>
            <w:r>
              <w:rPr>
                <w:rFonts w:ascii="Consolas" w:hAnsi="Consolas"/>
                <w:color w:val="B03060"/>
                <w:sz w:val="19"/>
              </w:rPr>
              <w:t>0.050</w:t>
            </w:r>
            <w:r>
              <w:t xml:space="preserve"> kg for a tub). This is </w:t>
            </w:r>
            <w:r>
              <w:rPr>
                <w:b/>
              </w:rPr>
              <w:t>configuration for the weighing client</w:t>
            </w:r>
            <w:r>
              <w:t xml:space="preserve"> to deduct before it submits the net weight — the server does </w:t>
            </w:r>
            <w:r>
              <w:rPr>
                <w:b/>
              </w:rPr>
              <w:t>not</w:t>
            </w:r>
            <w:r>
              <w:t xml:space="preserve"> auto-deduct it, so a net scale label is never double-tared. Optional.</w:t>
            </w:r>
          </w:p>
        </w:tc>
      </w:tr>
      <w:tr>
        <w:tc>
          <w:tcPr>
            <w:tcW w:type="dxa" w:w="4320"/>
          </w:tcPr>
          <w:p>
            <w:r>
              <w:rPr>
                <w:b/>
              </w:rPr>
              <w:t>Scale step</w:t>
            </w:r>
          </w:p>
        </w:tc>
        <w:tc>
          <w:tcPr>
            <w:tcW w:type="dxa" w:w="4320"/>
          </w:tcPr>
          <w:p>
            <w:r>
              <w:t xml:space="preserve">The scale's division — the smallest weight increment it reports, e.g. </w:t>
            </w:r>
            <w:r>
              <w:rPr>
                <w:rFonts w:ascii="Consolas" w:hAnsi="Consolas"/>
                <w:color w:val="B03060"/>
                <w:sz w:val="19"/>
              </w:rPr>
              <w:t>0.005</w:t>
            </w:r>
            <w:r>
              <w:t xml:space="preserve"> kg. When set, the sold weight is </w:t>
            </w:r>
            <w:r>
              <w:rPr>
                <w:b/>
              </w:rPr>
              <w:t>rounded to the nearest multiple</w:t>
            </w:r>
            <w:r>
              <w:t xml:space="preserve"> of this step (see *How rounding shows on the sale* below). Leave blank for no rounding.</w:t>
            </w:r>
          </w:p>
        </w:tc>
      </w:tr>
      <w:tr>
        <w:tc>
          <w:tcPr>
            <w:tcW w:type="dxa" w:w="4320"/>
          </w:tcPr>
          <w:p>
            <w:r>
              <w:rPr>
                <w:b/>
              </w:rPr>
              <w:t>Max sale weight</w:t>
            </w:r>
          </w:p>
        </w:tc>
        <w:tc>
          <w:tcPr>
            <w:tcW w:type="dxa" w:w="4320"/>
          </w:tcPr>
          <w:p>
            <w:r>
              <w:t xml:space="preserve">A safety ceiling, in the base unit (e.g. </w:t>
            </w:r>
            <w:r>
              <w:rPr>
                <w:rFonts w:ascii="Consolas" w:hAnsi="Consolas"/>
                <w:color w:val="B03060"/>
                <w:sz w:val="19"/>
              </w:rPr>
              <w:t>25</w:t>
            </w:r>
            <w:r>
              <w:t xml:space="preserve"> kg). A weighed line above this weight is </w:t>
            </w:r>
            <w:r>
              <w:rPr>
                <w:b/>
              </w:rPr>
              <w:t>rejected</w:t>
            </w:r>
            <w:r>
              <w:t xml:space="preserve"> — it catches a kg/gram fat-finger such as keying </w:t>
            </w:r>
            <w:r>
              <w:rPr>
                <w:rFonts w:ascii="Consolas" w:hAnsi="Consolas"/>
                <w:color w:val="B03060"/>
                <w:sz w:val="19"/>
              </w:rPr>
              <w:t>813</w:t>
            </w:r>
            <w:r>
              <w:t xml:space="preserve"> (meaning 813 g) against a per-kg product and ringing 813 kg. Optional.</w:t>
            </w:r>
          </w:p>
        </w:tc>
      </w:tr>
    </w:tbl>
    <w:p/>
    <w:p>
      <w:r>
        <w:t xml:space="preserve">Fill in the fields you want and click </w:t>
      </w:r>
      <w:r>
        <w:rPr>
          <w:b/>
        </w:rPr>
        <w:t>Save weighing profile</w:t>
      </w:r>
      <w:r>
        <w:t xml:space="preserve">. All three numeric fields are optional — turning </w:t>
      </w:r>
      <w:r>
        <w:rPr>
          <w:b/>
        </w:rPr>
        <w:t>Sold by weight</w:t>
      </w:r>
      <w:r>
        <w:t xml:space="preserve"> on with all three blank simply enforces the weight-unit rule with no rounding and no ceiling.</w:t>
      </w:r>
    </w:p>
    <w:p>
      <w:r>
        <w:rPr>
          <w:b/>
        </w:rPr>
        <w:t>How rounding shows on the sale.</w:t>
      </w:r>
      <w:r>
        <w:t xml:space="preserve"> When a scale step is set, entering a weight that is not an exact multiple rounds it to the nearest division — 0.813 kg at a 0.005 kg step bills as 0.815 kg. So the customer can see the adjustment was deliberate, the sale line records both figures and displays *"entered 0.813 → billed 0.815"* (see </w:t>
      </w:r>
      <w:r>
        <w:rPr>
          <w:b/>
        </w:rPr>
        <w:t>Sales and Point of Sale</w:t>
      </w:r>
      <w:r>
        <w:t xml:space="preserve"> for the seller's view). A weight so small it would round down to zero is rejected with *"that weight is too small to sell. The smallest amount is 0.005 Kilogram."* (the unit shown in these messages is the product's unit </w:t>
      </w:r>
      <w:r>
        <w:rPr>
          <w:b/>
        </w:rPr>
        <w:t>name</w:t>
      </w:r>
      <w:r>
        <w:t xml:space="preserve"> — </w:t>
      </w:r>
      <w:r>
        <w:rPr>
          <w:rFonts w:ascii="Consolas" w:hAnsi="Consolas"/>
          <w:color w:val="B03060"/>
          <w:sz w:val="19"/>
        </w:rPr>
        <w:t>Kilogram</w:t>
      </w:r>
      <w:r>
        <w:t xml:space="preserve"> for the seeded </w:t>
      </w:r>
      <w:r>
        <w:rPr>
          <w:rFonts w:ascii="Consolas" w:hAnsi="Consolas"/>
          <w:color w:val="B03060"/>
          <w:sz w:val="19"/>
        </w:rPr>
        <w:t>KG</w:t>
      </w:r>
      <w:r>
        <w:t xml:space="preserve"> unit — not its short code).</w:t>
      </w:r>
    </w:p>
    <w:p>
      <w:r>
        <w:rPr>
          <w:b/>
        </w:rPr>
        <w:t>Example — set up loose rice sold by the kilogram.</w:t>
      </w:r>
      <w:r>
        <w:t xml:space="preserve"> A shop sells rice scooped from a sack, priced at TZS 2,000/kg, on a scale that reads to 5 g. Create the product </w:t>
      </w:r>
      <w:r>
        <w:rPr>
          <w:rFonts w:ascii="Consolas" w:hAnsi="Consolas"/>
          <w:color w:val="B03060"/>
          <w:sz w:val="19"/>
        </w:rPr>
        <w:t>Loose Rice</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Sellable + Stockable, and set a </w:t>
      </w:r>
      <w:r>
        <w:rPr>
          <w:rFonts w:ascii="Consolas" w:hAnsi="Consolas"/>
          <w:color w:val="B03060"/>
          <w:sz w:val="19"/>
        </w:rPr>
        <w:t>RETAIL</w:t>
      </w:r>
      <w:r>
        <w:t xml:space="preserve"> price of 2,000. Open its detail page, and in the </w:t>
      </w:r>
      <w:r>
        <w:rPr>
          <w:b/>
        </w:rPr>
        <w:t>Weighed Goods</w:t>
      </w:r>
      <w:r>
        <w:t xml:space="preserve"> card turn on </w:t>
      </w:r>
      <w:r>
        <w:rPr>
          <w:b/>
        </w:rPr>
        <w:t>Sold by weight</w:t>
      </w:r>
      <w:r>
        <w:t xml:space="preserve">, set Scale step </w:t>
      </w:r>
      <w:r>
        <w:rPr>
          <w:rFonts w:ascii="Consolas" w:hAnsi="Consolas"/>
          <w:color w:val="B03060"/>
          <w:sz w:val="19"/>
        </w:rPr>
        <w:t>0.005</w:t>
      </w:r>
      <w:r>
        <w:t xml:space="preserve">, Max sale weight </w:t>
      </w:r>
      <w:r>
        <w:rPr>
          <w:rFonts w:ascii="Consolas" w:hAnsi="Consolas"/>
          <w:color w:val="B03060"/>
          <w:sz w:val="19"/>
        </w:rPr>
        <w:t>50</w:t>
      </w:r>
      <w:r>
        <w:t xml:space="preserve">, and (if the scoop tub weighs 10 g) Tare weight </w:t>
      </w:r>
      <w:r>
        <w:rPr>
          <w:rFonts w:ascii="Consolas" w:hAnsi="Consolas"/>
          <w:color w:val="B03060"/>
          <w:sz w:val="19"/>
        </w:rPr>
        <w:t>0.010</w:t>
      </w:r>
      <w:r>
        <w:t xml:space="preserve">. Click </w:t>
      </w:r>
      <w:r>
        <w:rPr>
          <w:b/>
        </w:rPr>
        <w:t>Save weighing profile</w:t>
      </w:r>
      <w:r>
        <w:t>. From now on a sales line for this product must use kg, its weight rounds to the nearest 5 g, and any line above 50 kg is refused.</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*Bulk packs* above). Pick </w:t>
      </w:r>
      <w:r>
        <w:rPr>
          <w:b/>
        </w:rPr>
        <w:t>Base unit</w:t>
      </w:r>
      <w:r>
        <w:t xml:space="preserve"> to price the base unit, or a pack unit to set that pack's own price.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*not*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pPr>
        <w:pStyle w:val="Heading2"/>
      </w:pPr>
      <w:r>
        <w:t>Units of Measure</w:t>
      </w:r>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Behind the scenes each unit also carries a </w:t>
      </w:r>
      <w:r>
        <w:rPr>
          <w:b/>
        </w:rPr>
        <w:t>physical dimension</w:t>
      </w:r>
      <w:r>
        <w:t xml:space="preserve"> — *count* (each, piece, carton), *weight* (kilogram, gram), or *volume* (litre, millilitre). The seeded default units are already classified correctly, so you do not set this on screen. The dimension is what lets the system tell a weight unit from a count unit: a product marked *sold by weight* (see *Products › Weighed goods*) must use a </w:t>
      </w:r>
      <w:r>
        <w:rPr>
          <w:b/>
        </w:rPr>
        <w:t>weight</w:t>
      </w:r>
      <w:r>
        <w:t xml:space="preserve"> base unit such as </w:t>
      </w:r>
      <w:r>
        <w:rPr>
          <w:rFonts w:ascii="Consolas" w:hAnsi="Consolas"/>
          <w:color w:val="B03060"/>
          <w:sz w:val="19"/>
        </w:rPr>
        <w:t>KG</w:t>
      </w:r>
      <w:r>
        <w:t>, and the sale path uses the dimension to keep weighed products off by-count units.</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pPr>
        <w:pStyle w:val="Heading2"/>
      </w:pPr>
      <w:r>
        <w:t>Price Lists</w:t>
      </w:r>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Decide whether the </w:t>
      </w:r>
      <w:r>
        <w:rPr>
          <w:b/>
        </w:rPr>
        <w:t>Prices include VAT</w:t>
      </w:r>
      <w:r>
        <w:t xml:space="preserve"> toggle should be on or off (see *VAT-inclusive vs exclusive pricing* below). For a new list it is </w:t>
      </w:r>
      <w:r>
        <w:rPr>
          <w:b/>
        </w:rPr>
        <w:t>pre-checked</w:t>
      </w:r>
      <w:r>
        <w:t xml:space="preserve"> — the help text reads *The customer-facing price already includes VAT. New price lists default to this on.* Leave it on for a retail/shelf list where the price you type is the price the customer sees; clear it for a wholesale list quoted as a net price plus VAT.</w:t>
      </w:r>
    </w:p>
    <w:p>
      <w:pPr>
        <w:pStyle w:val="ListNumber"/>
      </w:pPr>
      <w:r>
        <w:t xml:space="preserve">Click </w:t>
      </w:r>
      <w:r>
        <w:rPr>
          <w:b/>
        </w:rPr>
        <w:t>Create</w:t>
      </w:r>
      <w:r>
        <w:t>.</w:t>
      </w:r>
    </w:p>
    <w:p>
      <w:pPr>
        <w:pStyle w:val="Heading3"/>
      </w:pPr>
      <w:r>
        <w:t>VAT-inclusive vs exclusive pricing</w:t>
      </w:r>
    </w:p>
    <w:p>
      <w:r>
        <w:t xml:space="preserve">Each price list carries a single VAT stance that decides how the prices in it are read at invoicing. You set it with the </w:t>
      </w:r>
      <w:r>
        <w:rPr>
          <w:b/>
        </w:rPr>
        <w:t>Prices include VAT</w:t>
      </w:r>
      <w:r>
        <w:t xml:space="preserve"> toggle on the create form and can change it later by editing the list. A </w:t>
      </w:r>
      <w:r>
        <w:rPr>
          <w:b/>
        </w:rPr>
        <w:t>VAT</w:t>
      </w:r>
      <w:r>
        <w:t xml:space="preserve"> column on the list shows the current stance at a glance with an </w:t>
      </w:r>
      <w:r>
        <w:rPr>
          <w:b/>
        </w:rPr>
        <w:t>Incl. VAT</w:t>
      </w:r>
      <w:r>
        <w:t xml:space="preserve"> or </w:t>
      </w:r>
      <w:r>
        <w:rPr>
          <w:b/>
        </w:rPr>
        <w:t>Excl. VAT</w:t>
      </w:r>
      <w:r>
        <w:t xml:space="preserve"> badge.</w:t>
      </w:r>
    </w:p>
    <w:p>
      <w:pPr>
        <w:pStyle w:val="ListBullet"/>
      </w:pPr>
      <w:r>
        <w:rPr>
          <w:b/>
        </w:rPr>
        <w:t>Prices include VAT (inclusive).</w:t>
      </w:r>
      <w:r>
        <w:t xml:space="preserve"> The price you enter is the </w:t>
      </w:r>
      <w:r>
        <w:rPr>
          <w:b/>
        </w:rPr>
        <w:t>gross</w:t>
      </w:r>
      <w:r>
        <w:t xml:space="preserve"> shelf price — the amount the customer actually pays. When the sale is invoiced, the system splits the VAT back out of that figure so the net and VAT add up to exactly the price you typed, with no rounding drift. This is the natural choice for retail and counter sales where prices are displayed VAT-inclusive on the shelf. New price lists default to this stance.</w:t>
      </w:r>
    </w:p>
    <w:p>
      <w:pPr>
        <w:pStyle w:val="ListBullet"/>
      </w:pPr>
      <w:r>
        <w:rPr>
          <w:b/>
        </w:rPr>
        <w:t>Prices exclude VAT (exclusive).</w:t>
      </w:r>
      <w:r>
        <w:t xml:space="preserve"> The price you enter is the </w:t>
      </w:r>
      <w:r>
        <w:rPr>
          <w:b/>
        </w:rPr>
        <w:t>net</w:t>
      </w:r>
      <w:r>
        <w:t xml:space="preserve"> amount and VAT is added on top when the sale is invoiced, so the customer pays the price plus VAT. This suits wholesale and B2B lists that are quoted as "price + VAT". This is the long-standing behaviour; existing price lists keep it unless you turn the toggle on.</w:t>
      </w:r>
    </w:p>
    <w:p>
      <w:r>
        <w:t>The stance applies per list, so you can run a retail list (inclusive) and a wholesale list (exclusive) side by side for the same products. VAT-exempt and zero-rated products are unaffected either way — there is no VAT to add or split out.</w:t>
      </w:r>
    </w:p>
    <w:p>
      <w:pPr>
        <w:pStyle w:val="Heading3"/>
      </w:pPr>
      <w:r>
        <w:t>Edit, archive, restore</w:t>
      </w:r>
    </w:p>
    <w:p>
      <w:r>
        <w:t xml:space="preserve">Click </w:t>
      </w:r>
      <w:r>
        <w:rPr>
          <w:b/>
        </w:rPr>
        <w:t>Edit</w:t>
      </w:r>
      <w:r>
        <w:t xml:space="preserve"> on a row to change the name and the </w:t>
      </w:r>
      <w:r>
        <w:rPr>
          <w:b/>
        </w:rPr>
        <w:t>Incl. VAT</w:t>
      </w:r>
      <w:r>
        <w:t xml:space="preserve"> setting (code is read-only after creation). Archive and restore work as on all master records.</w:t>
      </w:r>
    </w:p>
    <w:p>
      <w:r>
        <w:br/>
      </w:r>
    </w:p>
    <w:p>
      <w:bookmarkStart w:id="26" w:name="_Toc0026"/>
      <w:pPr>
        <w:pStyle w:val="Heading2"/>
      </w:pPr>
      <w:r>
        <w:t>Pricing Rules</w:t>
      </w:r>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pPr>
        <w:pStyle w:val="Heading2"/>
      </w:pPr>
      <w:r>
        <w:t>Currencies and FX Rates</w:t>
      </w:r>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pPr>
        <w:pStyle w:val="Heading2"/>
      </w:pPr>
      <w:r>
        <w:t>Tax Rates</w:t>
      </w:r>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bookmarkStart w:id="29" w:name="_Toc0029"/>
      <w:pPr>
        <w:pStyle w:val="Heading2"/>
      </w:pPr>
      <w:r>
        <w:t>Distribution Routes</w:t>
      </w:r>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bookmarkStart w:id="30" w:name="_Toc0030"/>
      <w:pPr>
        <w:pStyle w:val="Heading2"/>
      </w:pPr>
      <w:r>
        <w:t>Bulk Import — mass create &amp; update from Excel</w:t>
      </w:r>
      <w:bookmarkEnd w:id="30"/>
    </w:p>
    <w:p>
      <w:r>
        <w:t xml:space="preserve">When you have many products, customers, suppliers or prices to enter or change at once, the </w:t>
      </w:r>
      <w:r>
        <w:rPr>
          <w:b/>
        </w:rPr>
        <w:t>Bulk Import</w:t>
      </w:r>
      <w:r>
        <w:t xml:space="preserve"> tool loads them from a spreadsheet instead of one form at a time. It is a guided four-step wizard: pick what to import, download a spreadsheet, fill it in, then upload it to validate and commit.</w:t>
      </w:r>
    </w:p>
    <w:p>
      <w:r>
        <w:rPr>
          <w:b/>
        </w:rPr>
        <w:t>Where:</w:t>
      </w:r>
      <w:r>
        <w:t xml:space="preserve"> Master Data › </w:t>
      </w:r>
      <w:r>
        <w:rPr>
          <w:b/>
        </w:rPr>
        <w:t>Bulk Import</w:t>
      </w:r>
      <w:r>
        <w:t xml:space="preserve"> (</w:t>
      </w:r>
      <w:r>
        <w:rPr>
          <w:rFonts w:ascii="Consolas" w:hAnsi="Consolas"/>
          <w:color w:val="B03060"/>
          <w:sz w:val="19"/>
        </w:rPr>
        <w:t>/admin/bulk-import</w:t>
      </w:r>
      <w:r>
        <w:t>).</w:t>
      </w:r>
    </w:p>
    <w:p>
      <w:r>
        <w:rPr>
          <w:b/>
        </w:rPr>
        <w:t>Who can use it:</w:t>
      </w:r>
      <w:r>
        <w:t xml:space="preserve"> the menu item and screen appear only for users whose role grants an import permission — </w:t>
      </w:r>
      <w:r>
        <w:rPr>
          <w:rFonts w:ascii="Consolas" w:hAnsi="Consolas"/>
          <w:color w:val="B03060"/>
          <w:sz w:val="19"/>
        </w:rPr>
        <w:t>PRODUCT.IMPORT</w:t>
      </w:r>
      <w:r>
        <w:t xml:space="preserve"> (products), </w:t>
      </w:r>
      <w:r>
        <w:rPr>
          <w:rFonts w:ascii="Consolas" w:hAnsi="Consolas"/>
          <w:color w:val="B03060"/>
          <w:sz w:val="19"/>
        </w:rPr>
        <w:t>CUSTOMER.IMPORT</w:t>
      </w:r>
      <w:r>
        <w:t xml:space="preserve"> (customers), </w:t>
      </w:r>
      <w:r>
        <w:rPr>
          <w:rFonts w:ascii="Consolas" w:hAnsi="Consolas"/>
          <w:color w:val="B03060"/>
          <w:sz w:val="19"/>
        </w:rPr>
        <w:t>SUPPLIER.IMPORT</w:t>
      </w:r>
      <w:r>
        <w:t xml:space="preserve"> (suppliers) or </w:t>
      </w:r>
      <w:r>
        <w:rPr>
          <w:rFonts w:ascii="Consolas" w:hAnsi="Consolas"/>
          <w:color w:val="B03060"/>
          <w:sz w:val="19"/>
        </w:rPr>
        <w:t>PRICE.MASS_UPDATE</w:t>
      </w:r>
      <w:r>
        <w:t xml:space="preserve"> (prices). You only see the entity types you are allowed to import.</w:t>
      </w:r>
    </w:p>
    <w:p>
      <w:r>
        <w:rPr>
          <w:b/>
        </w:rPr>
        <w:t>What you can import: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Entity type</w:t>
            </w:r>
          </w:p>
        </w:tc>
        <w:tc>
          <w:tcPr>
            <w:tcW w:type="dxa" w:w="4320"/>
          </w:tcPr>
          <w:p>
            <w:r>
              <w:rPr>
                <w:b/>
              </w:rPr>
              <w:t>Creates / updates</w:t>
            </w:r>
          </w:p>
        </w:tc>
      </w:tr>
      <w:tr>
        <w:tc>
          <w:tcPr>
            <w:tcW w:type="dxa" w:w="4320"/>
          </w:tcPr>
          <w:p>
            <w:r>
              <w:rPr>
                <w:b/>
              </w:rPr>
              <w:t>Products</w:t>
            </w:r>
          </w:p>
        </w:tc>
        <w:tc>
          <w:tcPr>
            <w:tcW w:type="dxa" w:w="4320"/>
          </w:tcPr>
          <w:p>
            <w:r>
              <w:t>The product catalogue — code, name, type, sellable/stockable, base unit, unit cost, VAT status, reorder levels, barcode …</w:t>
            </w:r>
          </w:p>
        </w:tc>
      </w:tr>
      <w:tr>
        <w:tc>
          <w:tcPr>
            <w:tcW w:type="dxa" w:w="4320"/>
          </w:tcPr>
          <w:p>
            <w:r>
              <w:rPr>
                <w:b/>
              </w:rPr>
              <w:t>Customers</w:t>
            </w:r>
          </w:p>
        </w:tc>
        <w:tc>
          <w:tcPr>
            <w:tcW w:type="dxa" w:w="4320"/>
          </w:tcPr>
          <w:p>
            <w:r>
              <w:t>Customer master — name, TIN, VAT registration, contacts, credit limit, payment terms, segment …</w:t>
            </w:r>
          </w:p>
        </w:tc>
      </w:tr>
      <w:tr>
        <w:tc>
          <w:tcPr>
            <w:tcW w:type="dxa" w:w="4320"/>
          </w:tcPr>
          <w:p>
            <w:r>
              <w:rPr>
                <w:b/>
              </w:rPr>
              <w:t>Suppliers</w:t>
            </w:r>
          </w:p>
        </w:tc>
        <w:tc>
          <w:tcPr>
            <w:tcW w:type="dxa" w:w="4320"/>
          </w:tcPr>
          <w:p>
            <w:r>
              <w:t>Supplier master — name, TIN, contacts, payment terms, lead time, minimum order value …</w:t>
            </w:r>
          </w:p>
        </w:tc>
      </w:tr>
      <w:tr>
        <w:tc>
          <w:tcPr>
            <w:tcW w:type="dxa" w:w="4320"/>
          </w:tcPr>
          <w:p>
            <w:r>
              <w:rPr>
                <w:b/>
              </w:rPr>
              <w:t>Product prices &amp; cost</w:t>
            </w:r>
          </w:p>
        </w:tc>
        <w:tc>
          <w:tcPr>
            <w:tcW w:type="dxa" w:w="4320"/>
          </w:tcPr>
          <w:p>
            <w:r>
              <w:t xml:space="preserve">The selling price on a chosen price list </w:t>
            </w:r>
            <w:r>
              <w:rPr>
                <w:b/>
              </w:rPr>
              <w:t>and</w:t>
            </w:r>
            <w:r>
              <w:t xml:space="preserve"> the unit cost, in one sheet</w:t>
            </w:r>
          </w:p>
        </w:tc>
      </w:tr>
    </w:tbl>
    <w:p/>
    <w:p>
      <w:pPr>
        <w:pStyle w:val="Heading3"/>
      </w:pPr>
      <w:r>
        <w:t>The four steps</w:t>
      </w:r>
    </w:p>
    <w:p>
      <w:pPr>
        <w:pStyle w:val="ListNumber"/>
      </w:pPr>
      <w:r>
        <w:rPr>
          <w:b/>
        </w:rPr>
        <w:t>Choose what to import.</w:t>
      </w:r>
      <w:r>
        <w:t xml:space="preserve"> Pick the entity type. The screen then shows the download and upload panels for that type.</w:t>
      </w:r>
    </w:p>
    <w:p>
      <w:pPr>
        <w:pStyle w:val="ListNumber"/>
      </w:pPr>
      <w:r>
        <w:rPr>
          <w:b/>
        </w:rPr>
        <w:t>Download a spreadsheet.</w:t>
      </w:r>
      <w:r>
        <w:t xml:space="preserve"> Two buttons:</w:t>
      </w:r>
    </w:p>
    <w:p>
      <w:pPr>
        <w:pStyle w:val="ListBullet"/>
        <w:ind w:left="720"/>
      </w:pPr>
      <w:r>
        <w:rPr>
          <w:b/>
        </w:rPr>
        <w:t>Download Template</w:t>
      </w:r>
      <w:r>
        <w:t xml:space="preserve"> — a blank sheet with just the column headers, for entering brand-new records.</w:t>
      </w:r>
    </w:p>
    <w:p>
      <w:pPr>
        <w:pStyle w:val="ListBullet"/>
        <w:ind w:left="720"/>
      </w:pPr>
      <w:r>
        <w:rPr>
          <w:b/>
        </w:rPr>
        <w:t>Export current data</w:t>
      </w:r>
      <w:r>
        <w:t xml:space="preserve"> — the same sheet </w:t>
      </w:r>
      <w:r>
        <w:rPr>
          <w:b/>
        </w:rPr>
        <w:t>pre-filled</w:t>
      </w:r>
      <w:r>
        <w:t xml:space="preserve"> with the records already in the system, so you can edit what is there and upload it back. (For </w:t>
      </w:r>
      <w:r>
        <w:rPr>
          <w:b/>
        </w:rPr>
        <w:t>Product prices &amp; cost</w:t>
      </w:r>
      <w:r>
        <w:t xml:space="preserve">, first pick the </w:t>
      </w:r>
      <w:r>
        <w:rPr>
          <w:b/>
        </w:rPr>
        <w:t>company</w:t>
      </w:r>
      <w:r>
        <w:t xml:space="preserve"> and the </w:t>
      </w:r>
      <w:r>
        <w:rPr>
          <w:b/>
        </w:rPr>
        <w:t>price list</w:t>
      </w:r>
      <w:r>
        <w:t xml:space="preserve"> to export — exporting without choosing a list falls back to the company default, which is often empty.)</w:t>
      </w:r>
    </w:p>
    <w:p>
      <w:pPr>
        <w:pStyle w:val="ListNumber"/>
      </w:pPr>
      <w:r>
        <w:rPr>
          <w:b/>
        </w:rPr>
        <w:t>Fill it in (in Excel).</w:t>
      </w:r>
      <w:r>
        <w:t xml:space="preserve"> The sheet is self-describing:</w:t>
      </w:r>
    </w:p>
    <w:p>
      <w:pPr>
        <w:pStyle w:val="ListBullet"/>
        <w:ind w:left="720"/>
      </w:pPr>
      <w:r>
        <w:rPr>
          <w:b/>
        </w:rPr>
        <w:t>Required</w:t>
      </w:r>
      <w:r>
        <w:t xml:space="preserve"> columns are marked with </w:t>
      </w:r>
      <w:r>
        <w:rPr>
          <w:rFonts w:ascii="Consolas" w:hAnsi="Consolas"/>
          <w:color w:val="B03060"/>
          <w:sz w:val="19"/>
        </w:rPr>
        <w:t>*</w:t>
      </w:r>
      <w:r>
        <w:t xml:space="preserve"> in the header; a blank required cell is rejected.</w:t>
      </w:r>
    </w:p>
    <w:p>
      <w:pPr>
        <w:pStyle w:val="ListBullet"/>
        <w:ind w:left="720"/>
      </w:pPr>
      <w:r>
        <w:t xml:space="preserve">Columns with a fixed set of values (e.g. *Party Type*, *VAT Status*, *Yes/No*) show a </w:t>
      </w:r>
      <w:r>
        <w:rPr>
          <w:b/>
        </w:rPr>
        <w:t>drop-down</w:t>
      </w:r>
      <w:r>
        <w:t xml:space="preserve"> so you pick a valid value.</w:t>
      </w:r>
    </w:p>
    <w:p>
      <w:pPr>
        <w:pStyle w:val="ListBullet"/>
        <w:ind w:left="720"/>
      </w:pPr>
      <w:r>
        <w:rPr>
          <w:b/>
        </w:rPr>
        <w:t>Number</w:t>
      </w:r>
      <w:r>
        <w:t xml:space="preserve"> columns — Cost Amount, Selling Price, Credit Limit, quantities, terms/lead-time days — are written as </w:t>
      </w:r>
      <w:r>
        <w:rPr>
          <w:b/>
        </w:rPr>
        <w:t>real numeric cells</w:t>
      </w:r>
      <w:r>
        <w:t xml:space="preserve">, so you can use </w:t>
      </w:r>
      <w:r>
        <w:rPr>
          <w:rFonts w:ascii="Consolas" w:hAnsi="Consolas"/>
          <w:color w:val="B03060"/>
          <w:sz w:val="19"/>
        </w:rPr>
        <w:t>SUM</w:t>
      </w:r>
      <w:r>
        <w:t xml:space="preserve">, formulas and arithmetic directly (no "number stored as text"). A separate </w:t>
      </w:r>
      <w:r>
        <w:rPr>
          <w:b/>
        </w:rPr>
        <w:t>Instructions</w:t>
      </w:r>
      <w:r>
        <w:t xml:space="preserve"> sheet lists every column with a note and its allowed values.</w:t>
      </w:r>
    </w:p>
    <w:p>
      <w:pPr>
        <w:pStyle w:val="ListBullet"/>
        <w:ind w:left="720"/>
      </w:pPr>
      <w:r>
        <w:rPr>
          <w:b/>
        </w:rPr>
        <w:t>Blue "reference" columns</w:t>
      </w:r>
      <w:r>
        <w:t xml:space="preserve"> (for example the product name beside a price) are </w:t>
      </w:r>
      <w:r>
        <w:rPr>
          <w:b/>
        </w:rPr>
        <w:t>read-only context</w:t>
      </w:r>
      <w:r>
        <w:t xml:space="preserve"> — shown to help you find the right row, but never imported. Edit the white cells; the blue ones are ignored.</w:t>
      </w:r>
    </w:p>
    <w:p>
      <w:pPr>
        <w:pStyle w:val="ListBullet"/>
        <w:ind w:left="720"/>
      </w:pPr>
      <w:r>
        <w:t xml:space="preserve">On an </w:t>
      </w:r>
      <w:r>
        <w:rPr>
          <w:b/>
        </w:rPr>
        <w:t>update</w:t>
      </w:r>
      <w:r>
        <w:t xml:space="preserve"> (a row whose code matches an existing record), a </w:t>
      </w:r>
      <w:r>
        <w:rPr>
          <w:b/>
        </w:rPr>
        <w:t>blank optional cell keeps the current value</w:t>
      </w:r>
      <w:r>
        <w:t xml:space="preserve"> — you only fill the cells you want to change.</w:t>
      </w:r>
    </w:p>
    <w:p>
      <w:pPr>
        <w:pStyle w:val="ListNumber"/>
      </w:pPr>
      <w:r>
        <w:rPr>
          <w:b/>
        </w:rPr>
        <w:t>Upload &amp; validate, then commit.</w:t>
      </w:r>
      <w:r>
        <w:t xml:space="preserve"> Choose the filled-in </w:t>
      </w:r>
      <w:r>
        <w:rPr>
          <w:rFonts w:ascii="Consolas" w:hAnsi="Consolas"/>
          <w:color w:val="B03060"/>
          <w:sz w:val="19"/>
        </w:rPr>
        <w:t>.xlsx</w:t>
      </w:r>
      <w:r>
        <w:t xml:space="preserve"> file. The system checks every row and shows a results table with one row per spreadsheet line and an outcome tag:</w:t>
      </w:r>
    </w:p>
    <w:p>
      <w:pPr>
        <w:pStyle w:val="ListBullet"/>
        <w:ind w:left="720"/>
      </w:pPr>
      <w:r>
        <w:rPr>
          <w:b/>
        </w:rPr>
        <w:t>Create</w:t>
      </w:r>
      <w:r>
        <w:t xml:space="preserve"> — a new record will be added.</w:t>
      </w:r>
    </w:p>
    <w:p>
      <w:pPr>
        <w:pStyle w:val="ListBullet"/>
        <w:ind w:left="720"/>
      </w:pPr>
      <w:r>
        <w:rPr>
          <w:b/>
        </w:rPr>
        <w:t>Update</w:t>
      </w:r>
      <w:r>
        <w:t xml:space="preserve"> — an existing record (matched by code) will be changed.</w:t>
      </w:r>
    </w:p>
    <w:p>
      <w:pPr>
        <w:pStyle w:val="ListBullet"/>
        <w:ind w:left="720"/>
      </w:pPr>
      <w:r>
        <w:rPr>
          <w:b/>
        </w:rPr>
        <w:t>Skip</w:t>
      </w:r>
      <w:r>
        <w:t xml:space="preserve"> — nothing to do (e.g. an all-blank optional row).</w:t>
      </w:r>
    </w:p>
    <w:p>
      <w:pPr>
        <w:pStyle w:val="ListBullet"/>
        <w:ind w:left="720"/>
      </w:pPr>
      <w:r>
        <w:rPr>
          <w:b/>
        </w:rPr>
        <w:t>Error</w:t>
      </w:r>
      <w:r>
        <w:t xml:space="preserve"> — the row has a problem; the </w:t>
      </w:r>
      <w:r>
        <w:rPr>
          <w:b/>
        </w:rPr>
        <w:t>Message</w:t>
      </w:r>
      <w:r>
        <w:t xml:space="preserve"> column explains it in plain language.</w:t>
      </w:r>
    </w:p>
    <w:p>
      <w:r>
        <w:t xml:space="preserve">   </w:t>
      </w:r>
      <w:r>
        <w:rPr>
          <w:b/>
        </w:rPr>
        <w:t>Commit Import</w:t>
      </w:r>
      <w:r>
        <w:t xml:space="preserve"> stays disabled until *every* row is clean, so a bad row can never post a half-import. Fix the flagged rows in the spreadsheet, upload again, and when the error count is </w:t>
      </w:r>
      <w:r>
        <w:rPr>
          <w:rFonts w:ascii="Consolas" w:hAnsi="Consolas"/>
          <w:color w:val="B03060"/>
          <w:sz w:val="19"/>
        </w:rPr>
        <w:t>0</w:t>
      </w:r>
      <w:r>
        <w:t xml:space="preserve">, click </w:t>
      </w:r>
      <w:r>
        <w:rPr>
          <w:b/>
        </w:rPr>
        <w:t>Commit Import</w:t>
      </w:r>
      <w:r>
        <w:t>. The bulk import runs through exactly the same validation, scope, code-generation and audit as manual entry — nothing bypasses the rules.</w:t>
      </w:r>
    </w:p>
    <w:p>
      <w:r>
        <w:rPr>
          <w:b/>
        </w:rPr>
        <w:t>Round-trip editing.</w:t>
      </w:r>
      <w:r>
        <w:t xml:space="preserve"> *Export current data → edit in Excel → upload* is the fastest way to change many records at once: the upload bulk-</w:t>
      </w:r>
      <w:r>
        <w:rPr>
          <w:b/>
        </w:rPr>
        <w:t>updates</w:t>
      </w:r>
      <w:r>
        <w:t xml:space="preserve"> the rows the sheet contains (matched by their code) and leaves everything else untouched.</w:t>
      </w:r>
    </w:p>
    <w:p>
      <w:r>
        <w:rPr>
          <w:b/>
        </w:rPr>
        <w:t>Cost on the price sheet.</w:t>
      </w:r>
      <w:r>
        <w:t xml:space="preserve"> Changing the </w:t>
      </w:r>
      <w:r>
        <w:rPr>
          <w:b/>
        </w:rPr>
        <w:t>Cost Amount</w:t>
      </w:r>
      <w:r>
        <w:t xml:space="preserve"> on the *Product prices &amp; cost* sheet needs product-management permission (</w:t>
      </w:r>
      <w:r>
        <w:rPr>
          <w:rFonts w:ascii="Consolas" w:hAnsi="Consolas"/>
          <w:color w:val="B03060"/>
          <w:sz w:val="19"/>
        </w:rPr>
        <w:t>PRODUCT.MANAGE</w:t>
      </w:r>
      <w:r>
        <w:t xml:space="preserve"> or </w:t>
      </w:r>
      <w:r>
        <w:rPr>
          <w:rFonts w:ascii="Consolas" w:hAnsi="Consolas"/>
          <w:color w:val="B03060"/>
          <w:sz w:val="19"/>
        </w:rPr>
        <w:t>PRODUCT.IMPORT</w:t>
      </w:r>
      <w:r>
        <w:t>); it is only applied when the cost actually differs from the current value, so a price-only user can safely re-upload a pre-filled sheet without being blocked on the cost column.</w:t>
      </w:r>
    </w:p>
    <w:p>
      <w:r>
        <w:rPr>
          <w:b/>
        </w:rPr>
        <w:t>Example — raise every RETAIL price and correct two costs</w:t>
      </w:r>
    </w:p>
    <w:p>
      <w:pPr>
        <w:pStyle w:val="ListNumber"/>
      </w:pPr>
      <w:r>
        <w:t xml:space="preserve">Go to </w:t>
      </w:r>
      <w:r>
        <w:rPr>
          <w:b/>
        </w:rPr>
        <w:t>Master Data › Bulk Import</w:t>
      </w:r>
      <w:r>
        <w:t xml:space="preserve">, choose </w:t>
      </w:r>
      <w:r>
        <w:rPr>
          <w:b/>
        </w:rPr>
        <w:t>Product prices &amp; cost</w:t>
      </w:r>
      <w:r>
        <w:t>.</w:t>
      </w:r>
    </w:p>
    <w:p>
      <w:pPr>
        <w:pStyle w:val="ListNumber"/>
      </w:pPr>
      <w:r>
        <w:t xml:space="preserve">Under *Download a spreadsheet*, pick the </w:t>
      </w:r>
      <w:r>
        <w:rPr>
          <w:b/>
        </w:rPr>
        <w:t>RETAIL</w:t>
      </w:r>
      <w:r>
        <w:t xml:space="preserve"> price list and click </w:t>
      </w:r>
      <w:r>
        <w:rPr>
          <w:b/>
        </w:rPr>
        <w:t>Export current data</w:t>
      </w:r>
      <w:r>
        <w:t>.</w:t>
      </w:r>
    </w:p>
    <w:p>
      <w:pPr>
        <w:pStyle w:val="ListNumber"/>
      </w:pPr>
      <w:r>
        <w:t xml:space="preserve">In Excel, edit the </w:t>
      </w:r>
      <w:r>
        <w:rPr>
          <w:b/>
        </w:rPr>
        <w:t>Selling Price</w:t>
      </w:r>
      <w:r>
        <w:t xml:space="preserve"> column (the figures are real numbers, so a quick formula works), and correct the </w:t>
      </w:r>
      <w:r>
        <w:rPr>
          <w:b/>
        </w:rPr>
        <w:t>Cost Amount</w:t>
      </w:r>
      <w:r>
        <w:t xml:space="preserve"> on the two products whose cost changed. Leave every other cell as exported.</w:t>
      </w:r>
    </w:p>
    <w:p>
      <w:pPr>
        <w:pStyle w:val="ListNumber"/>
      </w:pPr>
      <w:r>
        <w:t xml:space="preserve">Save, return to the wizard, and choose the file under </w:t>
      </w:r>
      <w:r>
        <w:rPr>
          <w:b/>
        </w:rPr>
        <w:t>Upload &amp; validate</w:t>
      </w:r>
      <w:r>
        <w:t xml:space="preserve">. Review the results — each edited row shows </w:t>
      </w:r>
      <w:r>
        <w:rPr>
          <w:b/>
        </w:rPr>
        <w:t>Update</w:t>
      </w:r>
      <w:r>
        <w:t xml:space="preserve">; untouched rows show </w:t>
      </w:r>
      <w:r>
        <w:rPr>
          <w:b/>
        </w:rPr>
        <w:t>Skip</w:t>
      </w:r>
      <w:r>
        <w:t>.</w:t>
      </w:r>
    </w:p>
    <w:p>
      <w:pPr>
        <w:pStyle w:val="ListNumber"/>
      </w:pPr>
      <w:r>
        <w:t xml:space="preserve">When </w:t>
      </w:r>
      <w:r>
        <w:rPr>
          <w:b/>
        </w:rPr>
        <w:t>Errors: 0</w:t>
      </w:r>
      <w:r>
        <w:t xml:space="preserve">, click </w:t>
      </w:r>
      <w:r>
        <w:rPr>
          <w:b/>
        </w:rPr>
        <w:t>Commit Import</w:t>
      </w:r>
      <w:r>
        <w:t>. The new prices and costs are live immediately.</w:t>
      </w:r>
    </w:p>
    <w:p>
      <w:r>
        <w:br/>
      </w:r>
    </w:p>
    <w:p>
      <w:bookmarkStart w:id="31" w:name="_Toc0031"/>
      <w:pPr>
        <w:pStyle w:val="Heading1"/>
      </w:pPr>
      <w:r>
        <w:t>Sales and Point of Sale</w:t>
      </w:r>
      <w:bookmarkEnd w:id="31"/>
    </w:p>
    <w:p>
      <w:r>
        <w:t>This chapter covers everything from quoting a customer through to collecting payment, including recurring and blanket agreements, advanced pricing, and the Point of Sale cashier workflow.</w:t>
      </w:r>
    </w:p>
    <w:p>
      <w:r>
        <w:br/>
      </w:r>
    </w:p>
    <w:p>
      <w:bookmarkStart w:id="32" w:name="_Toc0032"/>
      <w:pPr>
        <w:pStyle w:val="Heading2"/>
      </w:pPr>
      <w:r>
        <w:t>Overview</w:t>
      </w:r>
      <w:bookmarkEnd w:id="32"/>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3" w:name="_Toc0033"/>
      <w:pPr>
        <w:pStyle w:val="Heading2"/>
      </w:pPr>
      <w:r>
        <w:t>1. Quotations</w:t>
      </w:r>
      <w:bookmarkEnd w:id="33"/>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4" w:name="_Toc0034"/>
      <w:pPr>
        <w:pStyle w:val="Heading2"/>
      </w:pPr>
      <w:r>
        <w:t>2. Sales Orders</w:t>
      </w:r>
      <w:bookmarkEnd w:id="34"/>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pPr>
      <w:r>
        <w:t xml:space="preserve">Click </w:t>
      </w:r>
      <w:r>
        <w:rPr>
          <w:b/>
        </w:rPr>
        <w:t>Create Order</w:t>
      </w:r>
      <w:r>
        <w:t xml:space="preserve">. The order is created in </w:t>
      </w:r>
      <w:r>
        <w:rPr>
          <w:b/>
        </w:rPr>
        <w:t>DRAFT</w:t>
      </w:r>
      <w:r>
        <w:t>.</w:t>
      </w:r>
    </w:p>
    <w:p>
      <w:r>
        <w:rPr>
          <w:b/>
        </w:rPr>
        <w:t>Agent pre-fill.</w:t>
      </w:r>
      <w:r>
        <w:t xml:space="preserve"> The Agent box shows *your*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*Sales Settings*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*"This order exceeds the approval threshold and has been submitted for approval. It can be confirmed once it is approved."*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5" w:name="_Toc0035"/>
      <w:pPr>
        <w:pStyle w:val="Heading2"/>
      </w:pPr>
      <w:r>
        <w:t>3. Deliveries</w:t>
      </w:r>
      <w:bookmarkEnd w:id="35"/>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r>
        <w:rPr>
          <w:b/>
        </w:rPr>
        <w:t>Not enough stock (negative-stock block).</w:t>
      </w:r>
      <w:r>
        <w:t xml:space="preserve"> Creating a delivery issues stock from the branch, so if your company has turned on </w:t>
      </w:r>
      <w:r>
        <w:rPr>
          <w:b/>
        </w:rPr>
        <w:t>Block sales that would take stock negative</w:t>
      </w:r>
      <w:r>
        <w:t xml:space="preserve"> (in *Sales Settings*), </w:t>
      </w:r>
      <w:r>
        <w:rPr>
          <w:b/>
        </w:rPr>
        <w:t>Create Delivery</w:t>
      </w:r>
      <w:r>
        <w:t xml:space="preserve"> is refused when a delivered line would take that product's available stock below zero. You get a plain message naming the product with how much is available versus requested, and no delivery is created. Lower the </w:t>
      </w:r>
      <w:r>
        <w:rPr>
          <w:b/>
        </w:rPr>
        <w:t>Deliver Qty</w:t>
      </w:r>
      <w:r>
        <w:t xml:space="preserve"> (which leaves the rest as a backorder — section 3.2), receive or transfer more stock in first, or have a user with </w:t>
      </w:r>
      <w:r>
        <w:rPr>
          <w:rFonts w:ascii="Consolas" w:hAnsi="Consolas"/>
          <w:color w:val="B03060"/>
          <w:sz w:val="19"/>
        </w:rPr>
        <w:t>SALES.SETTINGS.MANAGE</w:t>
      </w:r>
      <w:r>
        <w:t xml:space="preserve"> turn the setting off to allow the shortfall. This is the same block described under section 4.4; when the setting is off (or Sales Settings has never been saved) deliveries are never blocked this way.</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bookmarkStart w:id="36" w:name="_Toc0036"/>
      <w:pPr>
        <w:pStyle w:val="Heading2"/>
      </w:pPr>
      <w:r>
        <w:t>4. Sales Invoices</w:t>
      </w:r>
      <w:bookmarkEnd w:id="36"/>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r>
        <w:rPr>
          <w:b/>
        </w:rPr>
        <w:t>"incl. VAT" vs "excl. VAT" on a line.</w:t>
      </w:r>
      <w:r>
        <w:t xml:space="preserve"> Each line shows a small tag beside its </w:t>
      </w:r>
      <w:r>
        <w:rPr>
          <w:b/>
        </w:rPr>
        <w:t>Unit Price</w:t>
      </w:r>
      <w:r>
        <w:t xml:space="preserve"> reading either </w:t>
      </w:r>
      <w:r>
        <w:rPr>
          <w:b/>
        </w:rPr>
        <w:t>incl. VAT</w:t>
      </w:r>
      <w:r>
        <w:t xml:space="preserve"> or </w:t>
      </w:r>
      <w:r>
        <w:rPr>
          <w:b/>
        </w:rPr>
        <w:t>excl. VAT</w:t>
      </w:r>
      <w:r>
        <w:t>. It tells you how the unit price relates to VAT, and it simply reflects the VAT stance of the price list the line's price came from (set once per list — see *Price Lists › VAT-inclusive vs exclusive pricing* in chapter 02, Master Data):</w:t>
      </w:r>
    </w:p>
    <w:p>
      <w:pPr>
        <w:pStyle w:val="ListBullet"/>
      </w:pPr>
      <w:r>
        <w:rPr>
          <w:b/>
        </w:rPr>
        <w:t>incl. VAT</w:t>
      </w:r>
      <w:r>
        <w:t xml:space="preserve"> — the unit price shown is the customer-facing </w:t>
      </w:r>
      <w:r>
        <w:rPr>
          <w:b/>
        </w:rPr>
        <w:t>gross</w:t>
      </w:r>
      <w:r>
        <w:t xml:space="preserve"> price, with VAT already inside it. The system splits the net and the VAT back out of that figure (shown in the line's </w:t>
      </w:r>
      <w:r>
        <w:rPr>
          <w:b/>
        </w:rPr>
        <w:t>Net</w:t>
      </w:r>
      <w:r>
        <w:t xml:space="preserve"> and </w:t>
      </w:r>
      <w:r>
        <w:rPr>
          <w:b/>
        </w:rPr>
        <w:t>VAT Amt</w:t>
      </w:r>
      <w:r>
        <w:t xml:space="preserve"> columns) so the customer pays exactly the price shown, to the shilling. This is the natural fit for retail/shelf pricing.</w:t>
      </w:r>
    </w:p>
    <w:p>
      <w:pPr>
        <w:pStyle w:val="ListBullet"/>
      </w:pPr>
      <w:r>
        <w:rPr>
          <w:b/>
        </w:rPr>
        <w:t>excl. VAT</w:t>
      </w:r>
      <w:r>
        <w:t xml:space="preserve"> — the unit price shown is the </w:t>
      </w:r>
      <w:r>
        <w:rPr>
          <w:b/>
        </w:rPr>
        <w:t>net</w:t>
      </w:r>
      <w:r>
        <w:t xml:space="preserve"> price, and VAT is added on top, so the customer pays the price plus VAT. This is the usual wholesale/B2B "price + VAT" convention.</w:t>
      </w:r>
    </w:p>
    <w:p>
      <w:r>
        <w:t>The tag is a read-only indicator — you never set it on the line, and it does not change which product or price you picked, only how the VAT is derived from that price. The same tag appears on quotation and sales-order lines. Zero-rated and exempt products still show a tag but attract no VAT either way.</w:t>
      </w:r>
    </w:p>
    <w:p>
      <w:pPr>
        <w:pStyle w:val="Heading4"/>
      </w:pPr>
      <w:r>
        <w:t>Weighed-goods lines (sell by weight)</w:t>
      </w:r>
    </w:p>
    <w:p>
      <w:r>
        <w:t xml:space="preserve">When a product is configured as </w:t>
      </w:r>
      <w:r>
        <w:rPr>
          <w:b/>
        </w:rPr>
        <w:t>sold by weight</w:t>
      </w:r>
      <w:r>
        <w:t xml:space="preserve"> (loose rice, sugar, produce — see *Master Data › Products › Weighed goods*), the line behaves the same as any other, with three differences you will notice:</w:t>
      </w:r>
    </w:p>
    <w:p>
      <w:pPr>
        <w:pStyle w:val="ListBullet"/>
      </w:pPr>
      <w:r>
        <w:rPr>
          <w:b/>
        </w:rPr>
        <w:t>You must use a weight unit.</w:t>
      </w:r>
      <w:r>
        <w:t xml:space="preserve"> The </w:t>
      </w:r>
      <w:r>
        <w:rPr>
          <w:b/>
        </w:rPr>
        <w:t>Unit</w:t>
      </w:r>
      <w:r>
        <w:t xml:space="preserve"> dropdown for a weighed product offers only its weight units (kilograms, grams). If a by-count unit is somehow submitted, the line is refused with *"&lt;Product&gt; is sold by weight — choose a weight unit such as kilograms, not Pieces."* Enter the weighed amount as the </w:t>
      </w:r>
      <w:r>
        <w:rPr>
          <w:b/>
        </w:rPr>
        <w:t>Quantity</w:t>
      </w:r>
      <w:r>
        <w:t xml:space="preserve"> — for example </w:t>
      </w:r>
      <w:r>
        <w:rPr>
          <w:rFonts w:ascii="Consolas" w:hAnsi="Consolas"/>
          <w:color w:val="B03060"/>
          <w:sz w:val="19"/>
        </w:rPr>
        <w:t>0.813</w:t>
      </w:r>
      <w:r>
        <w:t xml:space="preserve"> for 813 grams on a per-kg product. (In these messages the trailing unit is the unit's full </w:t>
      </w:r>
      <w:r>
        <w:rPr>
          <w:b/>
        </w:rPr>
        <w:t>name</w:t>
      </w:r>
      <w:r>
        <w:t xml:space="preserve"> — </w:t>
      </w:r>
      <w:r>
        <w:rPr>
          <w:rFonts w:ascii="Consolas" w:hAnsi="Consolas"/>
          <w:color w:val="B03060"/>
          <w:sz w:val="19"/>
        </w:rPr>
        <w:t>Pieces</w:t>
      </w:r>
      <w:r>
        <w:t xml:space="preserve">, </w:t>
      </w:r>
      <w:r>
        <w:rPr>
          <w:rFonts w:ascii="Consolas" w:hAnsi="Consolas"/>
          <w:color w:val="B03060"/>
          <w:sz w:val="19"/>
        </w:rPr>
        <w:t>Kilogram</w:t>
      </w:r>
      <w:r>
        <w:t xml:space="preserve"> — not its short code; the exact by-count name shown is whichever unit was attempted.)</w:t>
      </w:r>
    </w:p>
    <w:p>
      <w:pPr>
        <w:pStyle w:val="ListBullet"/>
      </w:pPr>
      <w:r>
        <w:rPr>
          <w:b/>
        </w:rPr>
        <w:t>The weight is rounded to the scale step.</w:t>
      </w:r>
      <w:r>
        <w:t xml:space="preserve"> If the product declares a scale division (say 0.005 kg), the quantity you enter is rounded to the nearest division when the line is saved. Entering </w:t>
      </w:r>
      <w:r>
        <w:rPr>
          <w:rFonts w:ascii="Consolas" w:hAnsi="Consolas"/>
          <w:color w:val="B03060"/>
          <w:sz w:val="19"/>
        </w:rPr>
        <w:t>0.813</w:t>
      </w:r>
      <w:r>
        <w:t xml:space="preserve"> kg records a </w:t>
      </w:r>
      <w:r>
        <w:rPr>
          <w:b/>
        </w:rPr>
        <w:t>billed</w:t>
      </w:r>
      <w:r>
        <w:t xml:space="preserve"> quantity of </w:t>
      </w:r>
      <w:r>
        <w:rPr>
          <w:rFonts w:ascii="Consolas" w:hAnsi="Consolas"/>
          <w:color w:val="B03060"/>
          <w:sz w:val="19"/>
        </w:rPr>
        <w:t>0.815</w:t>
      </w:r>
      <w:r>
        <w:t xml:space="preserve"> kg. The line shows both so the rounding is transparent: under the quantity it reads </w:t>
      </w:r>
      <w:r>
        <w:rPr>
          <w:b/>
        </w:rPr>
        <w:t>entered 0.813 → billed 0.815</w:t>
      </w:r>
      <w:r>
        <w:t>. The amount is always computed from the billed (rounded) weight × the per-unit price.</w:t>
      </w:r>
    </w:p>
    <w:p>
      <w:pPr>
        <w:pStyle w:val="ListBullet"/>
      </w:pPr>
      <w:r>
        <w:rPr>
          <w:b/>
        </w:rPr>
        <w:t>Guards catch scale mistakes.</w:t>
      </w:r>
      <w:r>
        <w:t xml:space="preserve"> A weight so small it would round down to nothing is refused (*"that weight is too small to sell. The smallest amount is 0.005 Kilogram"*), and a weight above the product's </w:t>
      </w:r>
      <w:r>
        <w:rPr>
          <w:b/>
        </w:rPr>
        <w:t>max sale weight</w:t>
      </w:r>
      <w:r>
        <w:t xml:space="preserve"> — the classic kg/gram fat-finger, keying </w:t>
      </w:r>
      <w:r>
        <w:rPr>
          <w:rFonts w:ascii="Consolas" w:hAnsi="Consolas"/>
          <w:color w:val="B03060"/>
          <w:sz w:val="19"/>
        </w:rPr>
        <w:t>813</w:t>
      </w:r>
      <w:r>
        <w:t xml:space="preserve"> instead of </w:t>
      </w:r>
      <w:r>
        <w:rPr>
          <w:rFonts w:ascii="Consolas" w:hAnsi="Consolas"/>
          <w:color w:val="B03060"/>
          <w:sz w:val="19"/>
        </w:rPr>
        <w:t>0.813</w:t>
      </w:r>
      <w:r>
        <w:t xml:space="preserve"> — is refused with *"813 Kilogram is above the maximum sale weight of 50 Kilogram. Please check the weight."* Nothing is saved; correct the quantity and re-add the line.</w:t>
      </w:r>
    </w:p>
    <w:p>
      <w:r>
        <w:t>Everything else — VAT, discounts, the incl./excl. VAT tag, price snapshots — works exactly as for a by-count line.</w:t>
      </w:r>
    </w:p>
    <w:p>
      <w:pPr>
        <w:pStyle w:val="Heading4"/>
      </w:pPr>
      <w:r>
        <w:t>Override a line's unit price</w:t>
      </w:r>
    </w:p>
    <w:p>
      <w:r>
        <w:t xml:space="preserve">Sometimes the price the system resolved from the price list is not the price you want to bill — a one-off negotiated rate, a price-match, or a correction. On a </w:t>
      </w:r>
      <w:r>
        <w:rPr>
          <w:b/>
        </w:rPr>
        <w:t>DRAFT</w:t>
      </w:r>
      <w:r>
        <w:t xml:space="preserve"> invoice you can override any line's unit price in place (this needs the </w:t>
      </w:r>
      <w:r>
        <w:rPr>
          <w:rFonts w:ascii="Consolas" w:hAnsi="Consolas"/>
          <w:color w:val="B03060"/>
          <w:sz w:val="19"/>
        </w:rPr>
        <w:t>SALES.INVOICE.OVERRIDE</w:t>
      </w:r>
      <w:r>
        <w:t xml:space="preserve"> permission — users without it do not see the control):</w:t>
      </w:r>
    </w:p>
    <w:p>
      <w:pPr>
        <w:pStyle w:val="ListNumber"/>
      </w:pPr>
      <w:r>
        <w:t xml:space="preserve">In the </w:t>
      </w:r>
      <w:r>
        <w:rPr>
          <w:b/>
        </w:rPr>
        <w:t>Lines</w:t>
      </w:r>
      <w:r>
        <w:t xml:space="preserve"> table, click the </w:t>
      </w:r>
      <w:r>
        <w:rPr>
          <w:b/>
        </w:rPr>
        <w:t>pencil</w:t>
      </w:r>
      <w:r>
        <w:t xml:space="preserve"> (Override price) icon next to the line's unit price. A small input replaces the price.</w:t>
      </w:r>
    </w:p>
    <w:p>
      <w:pPr>
        <w:pStyle w:val="ListNumber"/>
      </w:pPr>
      <w:r>
        <w:t xml:space="preserve">Type the new unit price and click the </w:t>
      </w:r>
      <w:r>
        <w:rPr>
          <w:b/>
        </w:rPr>
        <w:t>save</w:t>
      </w:r>
      <w:r>
        <w:t xml:space="preserve"> (check) button. Click the </w:t>
      </w:r>
      <w:r>
        <w:rPr>
          <w:b/>
        </w:rPr>
        <w:t>✕</w:t>
      </w:r>
      <w:r>
        <w:t xml:space="preserve"> to cancel and keep the original price.</w:t>
      </w:r>
    </w:p>
    <w:p>
      <w:r>
        <w:t>The override is applied to that line only, and the line's net, VAT, and gross recalculate immediately. Two rules apply:</w:t>
      </w:r>
    </w:p>
    <w:p>
      <w:pPr>
        <w:pStyle w:val="ListBullet"/>
      </w:pPr>
      <w:r>
        <w:rPr>
          <w:b/>
        </w:rPr>
        <w:t>The price must be greater than zero.</w:t>
      </w:r>
      <w:r>
        <w:t xml:space="preserve"> A zero or negative override is refused with *"Enter a valid unit price greater than zero."* — you cannot give the goods away or drive the line total negative through this field. (The server enforces the same rule with its own message, *"The override price must be greater than zero."*, for direct API callers.)</w:t>
      </w:r>
    </w:p>
    <w:p>
      <w:pPr>
        <w:pStyle w:val="ListBullet"/>
      </w:pPr>
      <w:r>
        <w:rPr>
          <w:b/>
        </w:rPr>
        <w:t>A wildly-off price asks for confirmation (soft guard).</w:t>
      </w:r>
      <w:r>
        <w:t xml:space="preserve"> If the price you enter is more than about </w:t>
      </w:r>
      <w:r>
        <w:rPr>
          <w:b/>
        </w:rPr>
        <w:t>10×</w:t>
      </w:r>
      <w:r>
        <w:t xml:space="preserve"> or less than about </w:t>
      </w:r>
      <w:r>
        <w:rPr>
          <w:b/>
        </w:rPr>
        <w:t>0.1×</w:t>
      </w:r>
      <w:r>
        <w:t xml:space="preserve"> the line's list price, a confirmation pops up — *"This is about 12× the list price (2,000). Apply anyway?"* — before it is applied. This is a fat-finger guard, </w:t>
      </w:r>
      <w:r>
        <w:rPr>
          <w:b/>
        </w:rPr>
        <w:t>not</w:t>
      </w:r>
      <w:r>
        <w:t xml:space="preserve"> a hard block: any positive price is allowed once you confirm. Confirm to apply, or cancel to keep editing. When the list price is unknown or the entered price is within the normal range, no confirmation appears.</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r>
        <w:rPr>
          <w:b/>
        </w:rPr>
        <w:t>Not enough stock (negative-stock block).</w:t>
      </w:r>
      <w:r>
        <w:t xml:space="preserve"> If your company has turned on </w:t>
      </w:r>
      <w:r>
        <w:rPr>
          <w:b/>
        </w:rPr>
        <w:t>Block sales that would take stock negative</w:t>
      </w:r>
      <w:r>
        <w:t xml:space="preserve"> (in *Sales Settings*), finalising a walk-in </w:t>
      </w:r>
      <w:r>
        <w:rPr>
          <w:b/>
        </w:rPr>
        <w:t>DIRECT</w:t>
      </w:r>
      <w:r>
        <w:t xml:space="preserve"> or </w:t>
      </w:r>
      <w:r>
        <w:rPr>
          <w:b/>
        </w:rPr>
        <w:t>POS</w:t>
      </w:r>
      <w:r>
        <w:t xml:space="preserve"> invoice is refused when a line would take that product's available stock below zero. The refusal is a plain message naming the product with how much is available versus requested — for example *"Not enough stock of Sukari 1kg to complete this sale — 3 available, 5 requested. To allow this, enable backorder in Sales Settings."* Nothing is posted; the invoice stays in DRAFT. To clear it you can lower the quantity, receive or transfer more stock in first, or — if selling ahead of stock is deliberate — have a user with </w:t>
      </w:r>
      <w:r>
        <w:rPr>
          <w:rFonts w:ascii="Consolas" w:hAnsi="Consolas"/>
          <w:color w:val="B03060"/>
          <w:sz w:val="19"/>
        </w:rPr>
        <w:t>SALES.SETTINGS.MANAGE</w:t>
      </w:r>
      <w:r>
        <w:t xml:space="preserve"> turn the setting off, which lets the sale go through and stock go negative (backorder). When the setting is </w:t>
      </w:r>
      <w:r>
        <w:rPr>
          <w:b/>
        </w:rPr>
        <w:t>off</w:t>
      </w:r>
      <w:r>
        <w:t xml:space="preserve">, or the company has never saved any Sales Settings, sales are never blocked this way and stock is allowed to go negative. Invoices raised from a delivery are not checked here (their stock was issued and checked at the delivery — see below), and </w:t>
      </w:r>
      <w:r>
        <w:rPr>
          <w:b/>
        </w:rPr>
        <w:t>the same block applies when you create a Delivery</w:t>
      </w:r>
      <w:r>
        <w:t xml:space="preserve"> against a sales order (section 3.1).</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Issue a fiscal (EFD) receipt</w:t>
      </w:r>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pPr>
      <w:r>
        <w:t xml:space="preserve">Open the </w:t>
      </w:r>
      <w:r>
        <w:rPr>
          <w:b/>
        </w:rPr>
        <w:t>FINALISED</w:t>
      </w:r>
      <w:r>
        <w:t xml:space="preserve"> invoice.</w:t>
      </w:r>
    </w:p>
    <w:p>
      <w:pPr>
        <w:pStyle w:val="ListNumber"/>
      </w:pPr>
      <w:r>
        <w:t xml:space="preserve">In the </w:t>
      </w:r>
      <w:r>
        <w:rPr>
          <w:b/>
        </w:rPr>
        <w:t>Fiscal Receipt</w:t>
      </w:r>
      <w:r>
        <w:t xml:space="preserve"> panel, read the current status tag (see the table below). If no receipt exists yet it reads </w:t>
      </w:r>
      <w:r>
        <w:rPr>
          <w:b/>
        </w:rPr>
        <w:t>Not issued</w:t>
      </w:r>
      <w:r>
        <w:t>.</w:t>
      </w:r>
    </w:p>
    <w:p>
      <w:pPr>
        <w:pStyle w:val="ListNumbe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pPr>
        <w:pStyle w:val="Heading3"/>
      </w:pPr>
      <w:r>
        <w:t>4.7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7" w:name="_Toc0037"/>
      <w:pPr>
        <w:pStyle w:val="Heading2"/>
      </w:pPr>
      <w:r>
        <w:t>5. Sales Returns (RMA)</w:t>
      </w:r>
      <w:bookmarkEnd w:id="37"/>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8" w:name="_Toc0038"/>
      <w:pPr>
        <w:pStyle w:val="Heading2"/>
      </w:pPr>
      <w:r>
        <w:t>6. Blanket Orders</w:t>
      </w:r>
      <w:bookmarkEnd w:id="38"/>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9" w:name="_Toc0039"/>
      <w:pPr>
        <w:pStyle w:val="Heading2"/>
      </w:pPr>
      <w:r>
        <w:t>7. Standing Orders (Recurring)</w:t>
      </w:r>
      <w:bookmarkEnd w:id="39"/>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40" w:name="_Toc0040"/>
      <w:pPr>
        <w:pStyle w:val="Heading2"/>
      </w:pPr>
      <w:r>
        <w:t>8. Pricing Rules</w:t>
      </w:r>
      <w:bookmarkEnd w:id="40"/>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r>
        <w:rPr>
          <w:b/>
        </w:rPr>
        <w:t>VAT stance travels with the resolved price.</w:t>
      </w:r>
      <w:r>
        <w:t xml:space="preserve"> Whichever source wins above, the resolved price also carries the VAT-inclusive or -exclusive stance of the price list it came from. That stance is what shows as the </w:t>
      </w:r>
      <w:r>
        <w:rPr>
          <w:b/>
        </w:rPr>
        <w:t>incl. VAT</w:t>
      </w:r>
      <w:r>
        <w:t xml:space="preserve"> / </w:t>
      </w:r>
      <w:r>
        <w:rPr>
          <w:b/>
        </w:rPr>
        <w:t>excl. VAT</w:t>
      </w:r>
      <w:r>
        <w:t xml:space="preserve"> tag on the sales line (section 4.2): it decides whether VAT is split out of the price or added on top, but it does not change which price wins the resolution. See *Price Lists › VAT-inclusive vs exclusive pricing* in chapter 02 for how the stance is set on a list.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1" w:name="_Toc0041"/>
      <w:pPr>
        <w:pStyle w:val="Heading2"/>
      </w:pPr>
      <w:r>
        <w:t>9. Point of Sale</w:t>
      </w:r>
      <w:bookmarkEnd w:id="41"/>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2" w:name="_Toc0042"/>
      <w:pPr>
        <w:pStyle w:val="Heading1"/>
      </w:pPr>
      <w:r>
        <w:t>Procurement (Procure-to-Pay)</w:t>
      </w:r>
      <w:bookmarkEnd w:id="42"/>
    </w:p>
    <w:p>
      <w:r>
        <w:t>This chapter covers the full procure-to-pay (P2P) chain from raising a purchase request through to settling the supplier's invoice, including goods receipt, landed costs, purchase returns, and purchase settings.</w:t>
      </w:r>
    </w:p>
    <w:p>
      <w:r>
        <w:br/>
      </w:r>
    </w:p>
    <w:p>
      <w:bookmarkStart w:id="43" w:name="_Toc0043"/>
      <w:pPr>
        <w:pStyle w:val="Heading2"/>
      </w:pPr>
      <w:r>
        <w:t>Overview</w:t>
      </w:r>
      <w:bookmarkEnd w:id="43"/>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4" w:name="_Toc0044"/>
      <w:pPr>
        <w:pStyle w:val="Heading2"/>
      </w:pPr>
      <w:r>
        <w:t>1. Purchase Requisitions</w:t>
      </w:r>
      <w:bookmarkEnd w:id="44"/>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xml:space="preserve">. An inline </w:t>
      </w:r>
      <w:r>
        <w:rPr>
          <w:b/>
        </w:rPr>
        <w:t>Convert Requisition</w:t>
      </w:r>
      <w:r>
        <w:t xml:space="preserve"> form opens.</w:t>
      </w:r>
    </w:p>
    <w:p>
      <w:pPr>
        <w:pStyle w:val="ListNumbe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pPr>
      <w:r>
        <w:t xml:space="preserve">Click </w:t>
      </w:r>
      <w:r>
        <w:rPr>
          <w:b/>
        </w:rPr>
        <w:t>Confirm Convert</w:t>
      </w:r>
      <w:r>
        <w:t>. This button stays disabled until you have chosen the required supplier(s) — a PO needs one supplier, an RFQ needs at least one invitee.</w:t>
      </w:r>
    </w:p>
    <w:p>
      <w:pPr>
        <w:pStyle w:val="ListNumbe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5" w:name="_Toc0045"/>
      <w:pPr>
        <w:pStyle w:val="Heading2"/>
      </w:pPr>
      <w:r>
        <w:t>2. RFQ (Request for Quotation)</w:t>
      </w:r>
      <w:bookmarkEnd w:id="45"/>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6" w:name="_Toc0046"/>
      <w:pPr>
        <w:pStyle w:val="Heading2"/>
      </w:pPr>
      <w:r>
        <w:t>3. Purchase Orders</w:t>
      </w:r>
      <w:bookmarkEnd w:id="46"/>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7" w:name="_Toc0047"/>
      <w:pPr>
        <w:pStyle w:val="Heading2"/>
      </w:pPr>
      <w:r>
        <w:t>4. Goods Receipt</w:t>
      </w:r>
      <w:bookmarkEnd w:id="47"/>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xml:space="preserve">, and untick any lines not in this delivery. By default the quantity cannot exceed the outstanding balance on each line — unless your company has set an </w:t>
      </w:r>
      <w:r>
        <w:rPr>
          <w:b/>
        </w:rPr>
        <w:t>over-receipt tolerance</w:t>
      </w:r>
      <w:r>
        <w:t xml:space="preserve"> (see below), in which case each line may go up to that percent over, and the field shows a </w:t>
      </w:r>
      <w:r>
        <w:rPr>
          <w:b/>
        </w:rPr>
        <w:t>max</w:t>
      </w:r>
      <w:r>
        <w:t xml:space="preserve"> hint of the amount allowed.</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r>
        <w:rPr>
          <w:b/>
        </w:rPr>
        <w:t>Over-receipt tolerance (receiving slightly more than ordered).</w:t>
      </w:r>
      <w:r>
        <w:t xml:space="preserve"> By default the system is strict: you cannot receive more than a line's outstanding quantity, and a line entered above it is rejected. But commodities delivered by weight — rice, produce, cement — rarely match the order to the exact bag or kilogram, and a delivery can legitimately arrive a little over. A company can therefore set an </w:t>
      </w:r>
      <w:r>
        <w:rPr>
          <w:b/>
        </w:rPr>
        <w:t>over-receipt tolerance</w:t>
      </w:r>
      <w:r>
        <w:t xml:space="preserve"> (a percent) in Purchase Settings (section 8) so a receipt may exceed the outstanding quantity by up to that margin. When it is set:</w:t>
      </w:r>
    </w:p>
    <w:p>
      <w:pPr>
        <w:pStyle w:val="ListBullet"/>
      </w:pPr>
      <w:r>
        <w:t>An information banner at the top of the receipt form reads *"Over-receipt tolerance: 5% — each line may be received up to 5% over its outstanding quantity."*</w:t>
      </w:r>
    </w:p>
    <w:p>
      <w:pPr>
        <w:pStyle w:val="ListBullet"/>
      </w:pPr>
      <w:r>
        <w:t xml:space="preserve">Each </w:t>
      </w:r>
      <w:r>
        <w:rPr>
          <w:b/>
        </w:rPr>
        <w:t>Receive Qty</w:t>
      </w:r>
      <w:r>
        <w:t xml:space="preserve"> field shows a </w:t>
      </w:r>
      <w:r>
        <w:rPr>
          <w:b/>
        </w:rPr>
        <w:t>max</w:t>
      </w:r>
      <w:r>
        <w:t xml:space="preserve"> hint of the ceiling for that line (outstanding × (1 + tolerance), for example </w:t>
      </w:r>
      <w:r>
        <w:rPr>
          <w:rFonts w:ascii="Consolas" w:hAnsi="Consolas"/>
          <w:color w:val="B03060"/>
          <w:sz w:val="19"/>
        </w:rPr>
        <w:t>max 105</w:t>
      </w:r>
      <w:r>
        <w:t xml:space="preserve"> on a line of 100 outstanding at 5%).</w:t>
      </w:r>
    </w:p>
    <w:p>
      <w:pPr>
        <w:pStyle w:val="ListBullet"/>
      </w:pPr>
      <w:r>
        <w:t xml:space="preserve">Entering more than the ceiling is refused with a plain message naming the line (product) and stating that the quantity received exceeds what is outstanding — reduce it and try again; nothing is posted. (The allowed maximum is shown up front as the </w:t>
      </w:r>
      <w:r>
        <w:rPr>
          <w:b/>
        </w:rPr>
        <w:t>max</w:t>
      </w:r>
      <w:r>
        <w:t xml:space="preserve"> hint on the field, not repeated in the rejection message.)</w:t>
      </w:r>
    </w:p>
    <w:p>
      <w:r>
        <w:t>When no tolerance is configured (the default), receiving stays strict and the banner does not appear. See section 8.2 for how to set it.</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Void a goods receipt</w:t>
      </w:r>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pPr>
      <w:r>
        <w:t xml:space="preserve">Open the receipt (navigate to </w:t>
      </w:r>
      <w:r>
        <w:rPr>
          <w:rFonts w:ascii="Consolas" w:hAnsi="Consolas"/>
          <w:color w:val="B03060"/>
          <w:sz w:val="19"/>
        </w:rPr>
        <w:t>/admin/goods-receipts/uid/{uid}</w:t>
      </w:r>
      <w:r>
        <w:t>) — it must be in status RECEIVED.</w:t>
      </w:r>
    </w:p>
    <w:p>
      <w:pPr>
        <w:pStyle w:val="ListNumber"/>
      </w:pPr>
      <w:r>
        <w:t xml:space="preserve">Click </w:t>
      </w:r>
      <w:r>
        <w:rPr>
          <w:b/>
        </w:rPr>
        <w:t>Void Receipt</w:t>
      </w:r>
      <w:r>
        <w:t>. An inline form opens.</w:t>
      </w:r>
    </w:p>
    <w:p>
      <w:pPr>
        <w:pStyle w:val="ListNumber"/>
      </w:pPr>
      <w:r>
        <w:t xml:space="preserve">Enter a mandatory </w:t>
      </w:r>
      <w:r>
        <w:rPr>
          <w:b/>
        </w:rPr>
        <w:t>Reason</w:t>
      </w:r>
      <w:r>
        <w:t xml:space="preserve"> and click </w:t>
      </w:r>
      <w:r>
        <w:rPr>
          <w:b/>
        </w:rPr>
        <w:t>Confirm Void</w:t>
      </w:r>
      <w:r>
        <w:t>.</w:t>
      </w:r>
    </w:p>
    <w:p>
      <w:pPr>
        <w:pStyle w:val="ListNumbe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pPr>
        <w:pStyle w:val="Heading3"/>
      </w:pPr>
      <w:r>
        <w:t>4.4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8" w:name="_Toc0048"/>
      <w:pPr>
        <w:pStyle w:val="Heading2"/>
      </w:pPr>
      <w:r>
        <w:t>5. Landed Costs</w:t>
      </w:r>
      <w:bookmarkEnd w:id="48"/>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49" w:name="_Toc0049"/>
      <w:pPr>
        <w:pStyle w:val="Heading2"/>
      </w:pPr>
      <w:r>
        <w:t>6. Supplier Bills and 3-Way Bill Match</w:t>
      </w:r>
      <w:bookmarkEnd w:id="49"/>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50" w:name="_Toc0050"/>
      <w:pPr>
        <w:pStyle w:val="Heading2"/>
      </w:pPr>
      <w:r>
        <w:t>7. Purchase Returns</w:t>
      </w:r>
      <w:bookmarkEnd w:id="50"/>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1" w:name="_Toc0051"/>
      <w:pPr>
        <w:pStyle w:val="Heading2"/>
      </w:pPr>
      <w:r>
        <w:t>8. Purchase Settings</w:t>
      </w:r>
      <w:bookmarkEnd w:id="51"/>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 and how much over the ordered quantity a goods receipt may accept.</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 and the goods-receipt over-receipt tolerance.</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pPr>
        <w:pStyle w:val="Heading3"/>
      </w:pPr>
      <w:r>
        <w:t>8.2 Over-receipt tolerance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Goods-receipt over-receipt tolerance (%)</w:t>
            </w:r>
          </w:p>
        </w:tc>
        <w:tc>
          <w:tcPr>
            <w:tcW w:type="dxa" w:w="4320"/>
          </w:tcPr>
          <w:p>
            <w:r>
              <w:t xml:space="preserve">How much over a purchase-order line's outstanding quantity a goods receipt may accept, as a percent (e.g. </w:t>
            </w:r>
            <w:r>
              <w:rPr>
                <w:rFonts w:ascii="Consolas" w:hAnsi="Consolas"/>
                <w:color w:val="B03060"/>
                <w:sz w:val="19"/>
              </w:rPr>
              <w:t>5</w:t>
            </w:r>
            <w:r>
              <w:t xml:space="preserve"> = 5%). A receipt line may be received up to outstanding × (1 + tolerance ÷ 100). Leave </w:t>
            </w:r>
            <w:r>
              <w:rPr>
                <w:b/>
              </w:rPr>
              <w:t>blank</w:t>
            </w:r>
            <w:r>
              <w:t xml:space="preserve"> (or </w:t>
            </w:r>
            <w:r>
              <w:rPr>
                <w:rFonts w:ascii="Consolas" w:hAnsi="Consolas"/>
                <w:color w:val="B03060"/>
                <w:sz w:val="19"/>
              </w:rPr>
              <w:t>0</w:t>
            </w:r>
            <w:r>
              <w:t>) for strict receiving — no over-receipt, the default.</w:t>
            </w:r>
          </w:p>
        </w:tc>
      </w:tr>
    </w:tbl>
    <w:p/>
    <w:p>
      <w:r>
        <w:t>This governs the goods-receipt behaviour described in section 4.1. It exists because goods delivered by weight or in bulk (rice, produce, cement) seldom match the order exactly, and a delivery a fraction over the ordered amount is normal in trade — blocking it outright would force artificial short-receipts and re-orders. Setting a small tolerance (commonly 2–5%) lets the storekeeper book the actual delivered quantity in one receipt, while the ceiling still stops a grossly wrong quantity being received against the wrong PO.</w:t>
      </w:r>
    </w:p>
    <w:p>
      <w:r>
        <w:t xml:space="preserve">To set it,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enter the percent in </w:t>
      </w:r>
      <w:r>
        <w:rPr>
          <w:b/>
        </w:rPr>
        <w:t>Goods-receipt over-receipt tolerance (%)</w:t>
      </w:r>
      <w:r>
        <w:t xml:space="preserve">, and click </w:t>
      </w:r>
      <w:r>
        <w:rPr>
          <w:b/>
        </w:rPr>
        <w:t>Save Settings</w:t>
      </w:r>
      <w:r>
        <w:t xml:space="preserve">. The permission required is </w:t>
      </w:r>
      <w:r>
        <w:rPr>
          <w:rFonts w:ascii="Consolas" w:hAnsi="Consolas"/>
          <w:color w:val="B03060"/>
          <w:sz w:val="19"/>
        </w:rPr>
        <w:t>PURCHASE.SETTINGS.MANAGE</w:t>
      </w:r>
      <w:r>
        <w:t>.</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rPr>
          <w:b/>
        </w:rPr>
        <w:t>Example — Allowing a 5% over-receipt on commodities:</w:t>
      </w:r>
    </w:p>
    <w:p>
      <w:r>
        <w:t xml:space="preserve">The procurement manager knows rice deliveries never match the order to the exact kilogram. She opens </w:t>
      </w:r>
      <w:r>
        <w:rPr>
          <w:b/>
        </w:rPr>
        <w:t>Purchasing › Purchase Settings</w:t>
      </w:r>
      <w:r>
        <w:t xml:space="preserve"> (</w:t>
      </w:r>
      <w:r>
        <w:rPr>
          <w:rFonts w:ascii="Consolas" w:hAnsi="Consolas"/>
          <w:color w:val="B03060"/>
          <w:sz w:val="19"/>
        </w:rPr>
        <w:t>/admin/purchase-settings</w:t>
      </w:r>
      <w:r>
        <w:t xml:space="preserve">), enters </w:t>
      </w:r>
      <w:r>
        <w:rPr>
          <w:b/>
        </w:rPr>
        <w:t>Goods-receipt over-receipt tolerance (%)</w:t>
      </w:r>
      <w:r>
        <w:t xml:space="preserve"> = </w:t>
      </w:r>
      <w:r>
        <w:rPr>
          <w:b/>
        </w:rPr>
        <w:t>5</w:t>
      </w:r>
      <w:r>
        <w:t xml:space="preserve">, and clicks </w:t>
      </w:r>
      <w:r>
        <w:rPr>
          <w:b/>
        </w:rPr>
        <w:t>Save Settings</w:t>
      </w:r>
      <w:r>
        <w:t xml:space="preserve">. Now when the storekeeper receives against a PO line of 100 bags outstanding, the receipt form shows a </w:t>
      </w:r>
      <w:r>
        <w:rPr>
          <w:b/>
        </w:rPr>
        <w:t>max 105</w:t>
      </w:r>
      <w:r>
        <w:t xml:space="preserve"> hint and accepts up to 105 bags in a single GRN; a keyed 120 is still refused.</w:t>
      </w:r>
    </w:p>
    <w:p>
      <w:r>
        <w:br/>
      </w:r>
    </w:p>
    <w:p>
      <w:bookmarkStart w:id="52" w:name="_Toc0052"/>
      <w:pPr>
        <w:pStyle w:val="Heading2"/>
      </w:pPr>
      <w:r>
        <w:t>9. End-to-end procure-to-pay example</w:t>
      </w:r>
      <w:bookmarkEnd w:id="52"/>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3" w:name="_Toc0053"/>
      <w:pPr>
        <w:pStyle w:val="Heading1"/>
      </w:pPr>
      <w:r>
        <w:t>Inventory and Manufacturing</w:t>
      </w:r>
      <w:bookmarkEnd w:id="53"/>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4" w:name="_Toc0054"/>
      <w:pPr>
        <w:pStyle w:val="Heading2"/>
      </w:pPr>
      <w:r>
        <w:t>1. Permissions quick reference</w:t>
      </w:r>
      <w:bookmarkEnd w:id="54"/>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5" w:name="_Toc0055"/>
      <w:pPr>
        <w:pStyle w:val="Heading2"/>
      </w:pPr>
      <w:r>
        <w:t>2. Stock on-hand</w:t>
      </w:r>
      <w:bookmarkEnd w:id="55"/>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6" w:name="_Toc0056"/>
      <w:pPr>
        <w:pStyle w:val="Heading2"/>
      </w:pPr>
      <w:r>
        <w:t>3. Stock locations</w:t>
      </w:r>
      <w:bookmarkEnd w:id="56"/>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If you chose the </w:t>
      </w:r>
      <w:r>
        <w:rPr>
          <w:b/>
        </w:rPr>
        <w:t>VAN</w:t>
      </w:r>
      <w:r>
        <w:t xml:space="preserve"> type, an </w:t>
      </w:r>
      <w:r>
        <w:rPr>
          <w:b/>
        </w:rPr>
        <w:t>Agent</w:t>
      </w:r>
      <w:r>
        <w:t xml:space="preserve"> picker appears. Optionally select the route agent who runs this van — the hint reads *"Assigns this van to the route agent who runs it."* The assignment is company-scoped and carries onto that van's day-end reconciliation worksheets (section 6). The Agent field is shown only for VAN locations; switching the type away from VAN clears it.</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7" w:name="_Toc0057"/>
      <w:pPr>
        <w:pStyle w:val="Heading2"/>
      </w:pPr>
      <w:r>
        <w:t>4. Stock transfers</w:t>
      </w:r>
      <w:bookmarkEnd w:id="57"/>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58" w:name="_Toc0058"/>
      <w:pPr>
        <w:pStyle w:val="Heading2"/>
      </w:pPr>
      <w:r>
        <w:t>5. Stock counts</w:t>
      </w:r>
      <w:bookmarkEnd w:id="58"/>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bookmarkStart w:id="59" w:name="_Toc0059"/>
      <w:pPr>
        <w:pStyle w:val="Heading2"/>
      </w:pPr>
      <w:r>
        <w:t>6. Van-stock reconciliation</w:t>
      </w:r>
      <w:bookmarkEnd w:id="59"/>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p>
    <w:p>
      <w:r>
        <w:t xml:space="preserve">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*did the stock that left the van get accounted for by sales plus returns?*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p>
    <w:p>
      <w:r>
        <w:t xml:space="preserve">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p>
    <w:p>
      <w:r>
        <w:t xml:space="preserve">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pPr>
        <w:pStyle w:val="Heading3"/>
      </w:pPr>
      <w:r>
        <w:t>Reconciliation status lifecycle</w:t>
      </w:r>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pPr>
        <w:pStyle w:val="Heading3"/>
      </w:pPr>
      <w:r>
        <w:t>6.1 Creating a reconciliation</w:t>
      </w:r>
    </w:p>
    <w:p>
      <w:pPr>
        <w:pStyle w:val="ListNumbe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pPr>
      <w:r>
        <w:t xml:space="preserve">Set the </w:t>
      </w:r>
      <w:r>
        <w:rPr>
          <w:b/>
        </w:rPr>
        <w:t>Business Date</w:t>
      </w:r>
      <w:r>
        <w:t xml:space="preserve"> (defaults to today) — the route day being reconciled.</w:t>
      </w:r>
    </w:p>
    <w:p>
      <w:pPr>
        <w:pStyle w:val="ListNumber"/>
      </w:pPr>
      <w:r>
        <w:t xml:space="preserve">Optionally add </w:t>
      </w:r>
      <w:r>
        <w:rPr>
          <w:b/>
        </w:rPr>
        <w:t>Notes</w:t>
      </w:r>
      <w:r>
        <w:t>.</w:t>
      </w:r>
    </w:p>
    <w:p>
      <w:pPr>
        <w:pStyle w:val="ListNumbe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*into* the van location that day (the sum of Transfer-In movements).</w:t>
      </w:r>
    </w:p>
    <w:p>
      <w:pPr>
        <w:pStyle w:val="ListBullet"/>
      </w:pPr>
      <w:r>
        <w:rPr>
          <w:b/>
        </w:rPr>
        <w:t>Returned</w:t>
      </w:r>
      <w:r>
        <w:t xml:space="preserve"> — the total stock transferred *out of*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pPr>
        <w:pStyle w:val="Heading3"/>
      </w:pPr>
      <w:r>
        <w:t>6.2 Entering sold and physical counts</w:t>
      </w:r>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pPr>
      <w:r>
        <w:t xml:space="preserve">Enter the </w:t>
      </w:r>
      <w:r>
        <w:rPr>
          <w:b/>
        </w:rPr>
        <w:t>Physical</w:t>
      </w:r>
      <w:r>
        <w:t xml:space="preserve"> count — what is actually still on the van at day-end. Leave it blank on any line you have not yet counted.</w:t>
      </w:r>
    </w:p>
    <w:p>
      <w:pPr>
        <w:pStyle w:val="ListNumbe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*should*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pPr>
        <w:pStyle w:val="Heading3"/>
      </w:pPr>
      <w:r>
        <w:t>6.3 Reconciling</w:t>
      </w:r>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pPr>
        <w:pStyle w:val="Heading3"/>
      </w:pPr>
      <w:r>
        <w:t>6.4 Cancelling</w:t>
      </w:r>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pPr>
        <w:pStyle w:val="Heading3"/>
      </w:pPr>
      <w:r>
        <w:t>6.5 Viewing the reconciliation list</w:t>
      </w:r>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60" w:name="_Toc0060"/>
      <w:pPr>
        <w:pStyle w:val="Heading2"/>
      </w:pPr>
      <w:r>
        <w:t>7. Batches and lot tracking</w:t>
      </w:r>
      <w:bookmarkEnd w:id="60"/>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p>
    <w:p>
      <w:r>
        <w:t>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pPr>
        <w:pStyle w:val="Heading3"/>
      </w:pPr>
      <w:r>
        <w:t>7.1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7.2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1" w:name="_Toc0061"/>
      <w:pPr>
        <w:pStyle w:val="Heading2"/>
      </w:pPr>
      <w:r>
        <w:t>8. Serial number tracking</w:t>
      </w:r>
      <w:bookmarkEnd w:id="61"/>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p>
    <w:p>
      <w:r>
        <w:t xml:space="preserve">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pPr>
        <w:pStyle w:val="Heading3"/>
      </w:pPr>
      <w:r>
        <w:t>8.1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8.2 Viewing serial history by product</w:t>
      </w:r>
    </w:p>
    <w:p>
      <w:r>
        <w:t xml:space="preserve">Switch to the </w:t>
      </w:r>
      <w:r>
        <w:rPr>
          <w:b/>
        </w:rPr>
        <w:t>Product History</w:t>
      </w:r>
      <w:r>
        <w:t xml:space="preserve"> tab. Pick a product to see all of its serials across all statuses and locations.</w:t>
      </w:r>
    </w:p>
    <w:p>
      <w:pPr>
        <w:pStyle w:val="Heading3"/>
      </w:pPr>
      <w:r>
        <w:t>8.3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2" w:name="_Toc0062"/>
      <w:pPr>
        <w:pStyle w:val="Heading2"/>
      </w:pPr>
      <w:r>
        <w:t>9. Inventory valuation</w:t>
      </w:r>
      <w:bookmarkEnd w:id="62"/>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9.1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9.2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bookmarkStart w:id="63" w:name="_Toc0063"/>
      <w:pPr>
        <w:pStyle w:val="Heading2"/>
      </w:pPr>
      <w:r>
        <w:t>10. Bills of Materials</w:t>
      </w:r>
      <w:bookmarkEnd w:id="63"/>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10.1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10.2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10.3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10.4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10.5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4" w:name="_Toc0064"/>
      <w:pPr>
        <w:pStyle w:val="Heading2"/>
      </w:pPr>
      <w:r>
        <w:t>11. Work Orders</w:t>
      </w:r>
      <w:bookmarkEnd w:id="64"/>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11.1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11.2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11.3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11.4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11.5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11.6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11.7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11.8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11.9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11.10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5" w:name="_Toc0065"/>
      <w:pPr>
        <w:pStyle w:val="Heading2"/>
      </w:pPr>
      <w:r>
        <w:t>12. WIP reconciliation</w:t>
      </w:r>
      <w:bookmarkEnd w:id="65"/>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6" w:name="_Toc0066"/>
      <w:pPr>
        <w:pStyle w:val="Heading2"/>
      </w:pPr>
      <w:r>
        <w:t>13. Frequently asked questions</w:t>
      </w:r>
      <w:bookmarkEnd w:id="66"/>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p>
    <w:p>
      <w:r>
        <w:t>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p>
    <w:p>
      <w:r>
        <w:t>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7" w:name="_Toc0067"/>
      <w:pPr>
        <w:pStyle w:val="Heading1"/>
      </w:pPr>
      <w:r>
        <w:t>Fixed Assets</w:t>
      </w:r>
      <w:bookmarkEnd w:id="67"/>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68" w:name="_Toc0068"/>
      <w:pPr>
        <w:pStyle w:val="Heading2"/>
      </w:pPr>
      <w:r>
        <w:t>1. Permissions quick reference</w:t>
      </w:r>
      <w:bookmarkEnd w:id="6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69" w:name="_Toc0069"/>
      <w:pPr>
        <w:pStyle w:val="Heading2"/>
      </w:pPr>
      <w:r>
        <w:t>2. Asset categories</w:t>
      </w:r>
      <w:bookmarkEnd w:id="69"/>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70" w:name="_Toc0070"/>
      <w:pPr>
        <w:pStyle w:val="Heading2"/>
      </w:pPr>
      <w:r>
        <w:t>3. Asset register</w:t>
      </w:r>
      <w:bookmarkEnd w:id="70"/>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1" w:name="_Toc0071"/>
      <w:pPr>
        <w:pStyle w:val="Heading2"/>
      </w:pPr>
      <w:r>
        <w:t>4. Placing an asset in service</w:t>
      </w:r>
      <w:bookmarkEnd w:id="71"/>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2" w:name="_Toc0072"/>
      <w:pPr>
        <w:pStyle w:val="Heading2"/>
      </w:pPr>
      <w:r>
        <w:t>5. Transferring an asset</w:t>
      </w:r>
      <w:bookmarkEnd w:id="72"/>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bookmarkStart w:id="73" w:name="_Toc0073"/>
      <w:pPr>
        <w:pStyle w:val="Heading2"/>
      </w:pPr>
      <w:r>
        <w:t>6. Depreciation</w:t>
      </w:r>
      <w:bookmarkEnd w:id="73"/>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4" w:name="_Toc0074"/>
      <w:pPr>
        <w:pStyle w:val="Heading2"/>
      </w:pPr>
      <w:r>
        <w:t>7. Revaluing an asset</w:t>
      </w:r>
      <w:bookmarkEnd w:id="74"/>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5" w:name="_Toc0075"/>
      <w:pPr>
        <w:pStyle w:val="Heading2"/>
      </w:pPr>
      <w:r>
        <w:t>8. Disposing of an asset</w:t>
      </w:r>
      <w:bookmarkEnd w:id="75"/>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6" w:name="_Toc0076"/>
      <w:pPr>
        <w:pStyle w:val="Heading2"/>
      </w:pPr>
      <w:r>
        <w:t>9. FA to GL reconciliation</w:t>
      </w:r>
      <w:bookmarkEnd w:id="76"/>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bookmarkStart w:id="77" w:name="_Toc0077"/>
      <w:pPr>
        <w:pStyle w:val="Heading2"/>
      </w:pPr>
      <w:r>
        <w:t>10. Frequently asked questions</w:t>
      </w:r>
      <w:bookmarkEnd w:id="77"/>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bookmarkStart w:id="78" w:name="_Toc0078"/>
      <w:pPr>
        <w:pStyle w:val="Heading1"/>
      </w:pPr>
      <w:r>
        <w:t>Projects</w:t>
      </w:r>
      <w:bookmarkEnd w:id="78"/>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79" w:name="_Toc0079"/>
      <w:pPr>
        <w:pStyle w:val="Heading2"/>
      </w:pPr>
      <w:r>
        <w:t>1. Permissions quick reference</w:t>
      </w:r>
      <w:bookmarkEnd w:id="7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80" w:name="_Toc0080"/>
      <w:pPr>
        <w:pStyle w:val="Heading2"/>
      </w:pPr>
      <w:r>
        <w:t>2. Project lifecycle</w:t>
      </w:r>
      <w:bookmarkEnd w:id="80"/>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1" w:name="_Toc0081"/>
      <w:pPr>
        <w:pStyle w:val="Heading2"/>
      </w:pPr>
      <w:r>
        <w:t>3. Creating a project</w:t>
      </w:r>
      <w:bookmarkEnd w:id="81"/>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2" w:name="_Toc0082"/>
      <w:pPr>
        <w:pStyle w:val="Heading2"/>
      </w:pPr>
      <w:r>
        <w:t>4. Project detail</w:t>
      </w:r>
      <w:bookmarkEnd w:id="82"/>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3" w:name="_Toc0083"/>
      <w:pPr>
        <w:pStyle w:val="Heading2"/>
      </w:pPr>
      <w:r>
        <w:t>5. Project tasks</w:t>
      </w:r>
      <w:bookmarkEnd w:id="83"/>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4" w:name="_Toc0084"/>
      <w:pPr>
        <w:pStyle w:val="Heading2"/>
      </w:pPr>
      <w:r>
        <w:t>6. Timesheets</w:t>
      </w:r>
      <w:bookmarkEnd w:id="84"/>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5" w:name="_Toc0085"/>
      <w:pPr>
        <w:pStyle w:val="Heading2"/>
      </w:pPr>
      <w:r>
        <w:t>7. Issuing materials to a project</w:t>
      </w:r>
      <w:bookmarkEnd w:id="85"/>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bookmarkStart w:id="86" w:name="_Toc0086"/>
      <w:pPr>
        <w:pStyle w:val="Heading2"/>
      </w:pPr>
      <w:r>
        <w:t>8. Project P&amp;L</w:t>
      </w:r>
      <w:bookmarkEnd w:id="86"/>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7" w:name="_Toc0087"/>
      <w:pPr>
        <w:pStyle w:val="Heading2"/>
      </w:pPr>
      <w:r>
        <w:t>9. Cross-project WIP report</w:t>
      </w:r>
      <w:bookmarkEnd w:id="87"/>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88" w:name="_Toc0088"/>
      <w:pPr>
        <w:pStyle w:val="Heading2"/>
      </w:pPr>
      <w:r>
        <w:t>10. Frequently asked questions</w:t>
      </w:r>
      <w:bookmarkEnd w:id="88"/>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bookmarkStart w:id="89" w:name="_Toc0089"/>
      <w:pPr>
        <w:pStyle w:val="Heading1"/>
      </w:pPr>
      <w:r>
        <w:t>Finance &amp; Accounting</w:t>
      </w:r>
      <w:bookmarkEnd w:id="89"/>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90" w:name="_Toc0090"/>
      <w:pPr>
        <w:pStyle w:val="Heading2"/>
      </w:pPr>
      <w:r>
        <w:t>General Ledger</w:t>
      </w:r>
      <w:bookmarkEnd w:id="90"/>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1" w:name="_Toc0091"/>
      <w:pPr>
        <w:pStyle w:val="Heading2"/>
      </w:pPr>
      <w:r>
        <w:t>Accounts Receivable</w:t>
      </w:r>
      <w:bookmarkEnd w:id="91"/>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bookmarkStart w:id="92" w:name="_Toc0092"/>
      <w:pPr>
        <w:pStyle w:val="Heading2"/>
      </w:pPr>
      <w:r>
        <w:t>Accounts Payable</w:t>
      </w:r>
      <w:bookmarkEnd w:id="92"/>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bookmarkStart w:id="93" w:name="_Toc0093"/>
      <w:pPr>
        <w:pStyle w:val="Heading2"/>
      </w:pPr>
      <w:r>
        <w:t>Cash &amp; Bank</w:t>
      </w:r>
      <w:bookmarkEnd w:id="93"/>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3"/>
      </w:pPr>
      <w:r>
        <w:t>End-of-Day Cash Count</w:t>
      </w:r>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Opening a count (requires `CASH.COUNT.MANAGE`):</w:t>
      </w:r>
    </w:p>
    <w:p>
      <w:pPr>
        <w:pStyle w:val="ListNumbe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r>
        <w:t>Only one live count per till per day. If an OPEN or COUNTED count already exists for that till and date, opening another is rejected — finish or reconcile the first.</w:t>
      </w:r>
    </w:p>
    <w:p>
      <w:r>
        <w:rPr>
          <w:b/>
        </w:rPr>
        <w:t>Entering the count and saving:</w:t>
      </w:r>
    </w:p>
    <w:p>
      <w:pPr>
        <w:pStyle w:val="ListNumbe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pPr>
      <w:r>
        <w:t xml:space="preserve">Once the count is COUNTED, click </w:t>
      </w:r>
      <w:r>
        <w:rPr>
          <w:b/>
        </w:rPr>
        <w:t>Reconcile</w:t>
      </w:r>
      <w:r>
        <w:t>.</w:t>
      </w:r>
    </w:p>
    <w:p>
      <w:pPr>
        <w:pStyle w:val="ListNumbe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r>
        <w:t>The denomination ladder is fixed to the standard TZS notes and coins in this release — a configurable per-currency ladder is a planned follow-up.</w:t>
      </w:r>
    </w:p>
    <w:p>
      <w:r>
        <w:br/>
      </w:r>
    </w:p>
    <w:p>
      <w:pPr>
        <w:pStyle w:val="Heading3"/>
      </w:pPr>
      <w:r>
        <w:t>Petty Cash</w:t>
      </w:r>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Creating a fund (requires `PETTY_CASH.MANAGE`):</w:t>
      </w:r>
    </w:p>
    <w:p>
      <w:pPr>
        <w:pStyle w:val="ListNumbe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pPr>
      <w:r>
        <w:t xml:space="preserve">Optionally select a </w:t>
      </w:r>
      <w:r>
        <w:rPr>
          <w:b/>
        </w:rPr>
        <w:t>Custodian</w:t>
      </w:r>
      <w:r>
        <w:t xml:space="preserve"> (a user in the company) who is responsible for the float.</w:t>
      </w:r>
    </w:p>
    <w:p>
      <w:pPr>
        <w:pStyle w:val="ListNumber"/>
      </w:pPr>
      <w:r>
        <w:t xml:space="preserve">Enter the </w:t>
      </w:r>
      <w:r>
        <w:rPr>
          <w:b/>
        </w:rPr>
        <w:t>Float Amount</w:t>
      </w:r>
      <w:r>
        <w:t xml:space="preserve"> (the authorised ceiling) and the </w:t>
      </w:r>
      <w:r>
        <w:rPr>
          <w:b/>
        </w:rPr>
        <w:t>Currency</w:t>
      </w:r>
      <w:r>
        <w:t xml:space="preserve"> (defaults to the company base currency).</w:t>
      </w:r>
    </w:p>
    <w:p>
      <w:pPr>
        <w:pStyle w:val="ListNumber"/>
      </w:pPr>
      <w:r>
        <w:t xml:space="preserve">Click </w:t>
      </w:r>
      <w:r>
        <w:rPr>
          <w:b/>
        </w:rPr>
        <w:t>Create Fund</w:t>
      </w:r>
      <w:r>
        <w:t>. The fund opens with a balance of zero — record a replenishment to put the opening cash in.</w:t>
      </w:r>
    </w:p>
    <w:p>
      <w:r>
        <w:t>The company must already have at least one branch before a petty cash fund can be created.</w:t>
      </w:r>
    </w:p>
    <w:p>
      <w:r>
        <w:rPr>
          <w:b/>
        </w:rPr>
        <w:t>Recording a transaction (requires `PETTY_CASH.MANAGE`):</w:t>
      </w:r>
    </w:p>
    <w:p>
      <w:r>
        <w:t xml:space="preserve">On the fund detail screen, use the </w:t>
      </w:r>
      <w:r>
        <w:rPr>
          <w:b/>
        </w:rPr>
        <w:t>Record Transaction</w:t>
      </w:r>
      <w:r>
        <w:t xml:space="preserve"> panel:</w:t>
      </w:r>
    </w:p>
    <w:p>
      <w:pPr>
        <w:pStyle w:val="ListNumbe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pPr>
      <w:r>
        <w:t xml:space="preserve">Optionally add a </w:t>
      </w:r>
      <w:r>
        <w:rPr>
          <w:b/>
        </w:rPr>
        <w:t>Reference</w:t>
      </w:r>
      <w:r>
        <w:t xml:space="preserve"> and a </w:t>
      </w:r>
      <w:r>
        <w:rPr>
          <w:b/>
        </w:rPr>
        <w:t>Description</w:t>
      </w:r>
      <w:r>
        <w:t>.</w:t>
      </w:r>
    </w:p>
    <w:p>
      <w:pPr>
        <w:pStyle w:val="ListNumbe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r>
        <w:t xml:space="preserve">A transaction that would take the balance below zero is rejected. Transactions can be recorded only against an </w:t>
      </w:r>
      <w:r>
        <w:rPr>
          <w:b/>
        </w:rPr>
        <w:t>ACTIVE</w:t>
      </w:r>
      <w:r>
        <w:t xml:space="preserve"> fund.</w:t>
      </w:r>
    </w:p>
    <w:p>
      <w:r>
        <w:br/>
      </w:r>
    </w:p>
    <w:p>
      <w:bookmarkStart w:id="94" w:name="_Toc0094"/>
      <w:pPr>
        <w:pStyle w:val="Heading2"/>
      </w:pPr>
      <w:r>
        <w:t>Tax</w:t>
      </w:r>
      <w:bookmarkEnd w:id="94"/>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Turnover by rate band</w:t>
      </w:r>
      <w:r>
        <w:t xml:space="preserve"> — a table with one row per VAT band showing the </w:t>
      </w:r>
      <w:r>
        <w:rPr>
          <w:b/>
        </w:rPr>
        <w:t>Taxable Base</w:t>
      </w:r>
      <w:r>
        <w:t xml:space="preserve"> (the net sales value in that band) and the </w:t>
      </w:r>
      <w:r>
        <w:rPr>
          <w:b/>
        </w:rPr>
        <w:t>Output VAT</w:t>
      </w:r>
      <w:r>
        <w:t xml:space="preserve"> on it. All three bands are always listed — </w:t>
      </w:r>
      <w:r>
        <w:rPr>
          <w:b/>
        </w:rPr>
        <w:t>Standard</w:t>
      </w:r>
      <w:r>
        <w:t xml:space="preserve"> (18%), </w:t>
      </w:r>
      <w:r>
        <w:rPr>
          <w:b/>
        </w:rPr>
        <w:t>Zero-Rated</w:t>
      </w:r>
      <w:r>
        <w:t xml:space="preserve">, and </w:t>
      </w:r>
      <w:r>
        <w:rPr>
          <w:b/>
        </w:rPr>
        <w:t>Exempt</w:t>
      </w:r>
      <w:r>
        <w:t xml:space="preserve"> — with zero shown where a band had no sales in the period, so the breakdown is complete and reconciles to the total every month rather than dropping bands that happened to be empty. A </w:t>
      </w:r>
      <w:r>
        <w:rPr>
          <w:b/>
        </w:rPr>
        <w:t>Total</w:t>
      </w:r>
      <w:r>
        <w:t xml:space="preserve"> row sums the taxable base to the </w:t>
      </w:r>
      <w:r>
        <w:rPr>
          <w:b/>
        </w:rPr>
        <w:t>Sales Turnover</w:t>
      </w:r>
      <w:r>
        <w:t xml:space="preserve"> and the VAT to the </w:t>
      </w:r>
      <w:r>
        <w:rPr>
          <w:b/>
        </w:rPr>
        <w:t>Output VAT</w:t>
      </w:r>
      <w:r>
        <w:t>.</w:t>
      </w:r>
    </w:p>
    <w:p>
      <w:pPr>
        <w:pStyle w:val="ListBullet"/>
      </w:pPr>
      <w:r>
        <w:rPr>
          <w:b/>
        </w:rPr>
        <w:t>Sales Turnover</w:t>
      </w:r>
      <w:r>
        <w:t xml:space="preserve"> — the period's total net sales, with </w:t>
      </w:r>
      <w:r>
        <w:rPr>
          <w:b/>
        </w:rPr>
        <w:t>of which Zero-Rated Sales</w:t>
      </w:r>
      <w:r>
        <w:t xml:space="preserve"> and </w:t>
      </w:r>
      <w:r>
        <w:rPr>
          <w:b/>
        </w:rPr>
        <w:t>of which Exempt Sales</w:t>
      </w:r>
      <w:r>
        <w:t xml:space="preserve"> shown beneath it so the non-standard-rated portion of turnover is visible at a glance (both are subsets of Sales Turnover, not additional amounts). </w:t>
      </w:r>
      <w:r>
        <w:rPr>
          <w:b/>
        </w:rPr>
        <w:t>Purchases Turnover</w:t>
      </w:r>
      <w:r>
        <w:t xml:space="preserve"> is shown alongside.</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t xml:space="preserve">Zero-rated and exempt sales carry </w:t>
      </w:r>
      <w:r>
        <w:rPr>
          <w:b/>
        </w:rPr>
        <w:t>no</w:t>
      </w:r>
      <w:r>
        <w:t xml:space="preserve"> output VAT (their VAT column is nil) but they </w:t>
      </w:r>
      <w:r>
        <w:rPr>
          <w:b/>
        </w:rPr>
        <w:t>do</w:t>
      </w:r>
      <w:r>
        <w:t xml:space="preserve"> count toward turnover — which is why they appear as their own bands and as the "of which" lines. This matters for the return: turnover is reported in full even though only the standard band contributes VAT.</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5" w:name="_Toc0095"/>
      <w:pPr>
        <w:pStyle w:val="Heading2"/>
      </w:pPr>
      <w:r>
        <w:t>Foreign Exchange (FX)</w:t>
      </w:r>
      <w:bookmarkEnd w:id="95"/>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6" w:name="_Toc0096"/>
      <w:pPr>
        <w:pStyle w:val="Heading1"/>
      </w:pPr>
      <w:r>
        <w:t>CRM — Customer Relationship Management</w:t>
      </w:r>
      <w:bookmarkEnd w:id="96"/>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7" w:name="_Toc0097"/>
      <w:pPr>
        <w:pStyle w:val="Heading2"/>
      </w:pPr>
      <w:r>
        <w:t>Leads</w:t>
      </w:r>
      <w:bookmarkEnd w:id="97"/>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bookmarkStart w:id="98" w:name="_Toc0098"/>
      <w:pPr>
        <w:pStyle w:val="Heading2"/>
      </w:pPr>
      <w:r>
        <w:t>Opportunities</w:t>
      </w:r>
      <w:bookmarkEnd w:id="98"/>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99" w:name="_Toc0099"/>
      <w:pPr>
        <w:pStyle w:val="Heading2"/>
      </w:pPr>
      <w:r>
        <w:t>Pipeline Dashboard</w:t>
      </w:r>
      <w:bookmarkEnd w:id="99"/>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100" w:name="_Toc0100"/>
      <w:pPr>
        <w:pStyle w:val="Heading2"/>
      </w:pPr>
      <w:r>
        <w:t>Pipeline Stages (Settings)</w:t>
      </w:r>
      <w:bookmarkEnd w:id="100"/>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1" w:name="_Toc0101"/>
      <w:pPr>
        <w:pStyle w:val="Heading2"/>
      </w:pPr>
      <w:r>
        <w:t>Activities</w:t>
      </w:r>
      <w:bookmarkEnd w:id="101"/>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2" w:name="_Toc0102"/>
      <w:pPr>
        <w:pStyle w:val="Heading1"/>
      </w:pPr>
      <w:r>
        <w:t>Reporting and Business Intelligence</w:t>
      </w:r>
      <w:bookmarkEnd w:id="102"/>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3" w:name="_Toc0103"/>
      <w:pPr>
        <w:pStyle w:val="Heading2"/>
      </w:pPr>
      <w:r>
        <w:t>Financial Statement Reports</w:t>
      </w:r>
      <w:bookmarkEnd w:id="103"/>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4" w:name="_Toc0104"/>
      <w:pPr>
        <w:pStyle w:val="Heading2"/>
      </w:pPr>
      <w:r>
        <w:t>Business Intelligence Dashboard</w:t>
      </w:r>
      <w:bookmarkEnd w:id="104"/>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bookmarkStart w:id="105" w:name="_Toc0105"/>
      <w:pPr>
        <w:pStyle w:val="Heading2"/>
      </w:pPr>
      <w:r>
        <w:t>Analytical Reports</w:t>
      </w:r>
      <w:bookmarkEnd w:id="105"/>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6" w:name="_Toc0106"/>
      <w:pPr>
        <w:pStyle w:val="Heading1"/>
      </w:pPr>
      <w:r>
        <w:t>HR &amp; Payroll, Budgeting, and Platform Services</w:t>
      </w:r>
      <w:bookmarkEnd w:id="106"/>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7" w:name="_Toc0107"/>
      <w:pPr>
        <w:pStyle w:val="Heading2"/>
      </w:pPr>
      <w:r>
        <w:t>Part 1 — Human Resources and Payroll</w:t>
      </w:r>
      <w:bookmarkEnd w:id="107"/>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08" w:name="_Toc0108"/>
      <w:pPr>
        <w:pStyle w:val="Heading2"/>
      </w:pPr>
      <w:r>
        <w:t>Part 2 — Budgeting</w:t>
      </w:r>
      <w:bookmarkEnd w:id="108"/>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09" w:name="_Toc0109"/>
      <w:pPr>
        <w:pStyle w:val="Heading2"/>
      </w:pPr>
      <w:r>
        <w:t>Part 3 — Platform Services</w:t>
      </w:r>
      <w:bookmarkEnd w:id="109"/>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