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ERPCLEAN2 — System Documentation</w:t>
      </w:r>
    </w:p>
    <w:p>
      <w:r>
        <w:t>_ERPCLEAN2 — modular-monolith ERP (Spring Boot + Angular + PostgreSQL). Generated from the live codebase + the verified test-case suite._</w:t>
      </w:r>
    </w:p>
    <w:p>
      <w:pPr>
        <w:pStyle w:val="Heading2"/>
      </w:pPr>
      <w:r>
        <w:t>Contents</w:t>
      </w:r>
    </w:p>
    <w:p>
      <w:pPr>
        <w:pStyle w:val="ListNumber"/>
      </w:pPr>
      <w:r>
        <w:t>ERPCLEAN2 — System Overview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Module Catalog</w:t>
      </w:r>
    </w:p>
    <w:p>
      <w:pPr>
        <w:pStyle w:val="ListNumber"/>
      </w:pPr>
      <w:r>
        <w:t>Data Model</w:t>
      </w:r>
    </w:p>
    <w:p>
      <w:pPr>
        <w:pStyle w:val="ListNumber"/>
      </w:pPr>
      <w:r>
        <w:t>Security</w:t>
      </w:r>
    </w:p>
    <w:p>
      <w:pPr>
        <w:pStyle w:val="ListNumber"/>
      </w:pPr>
      <w:r>
        <w:t>Deployment and Operations</w:t>
      </w:r>
    </w:p>
    <w:p>
      <w:pPr>
        <w:pStyle w:val="ListNumber"/>
      </w:pPr>
      <w:r>
        <w:t>Engineering Conventions</w:t>
      </w:r>
    </w:p>
    <w:p>
      <w:pPr>
        <w:pStyle w:val="ListNumber"/>
      </w:pPr>
      <w:r>
        <w:t>Testing</w:t>
      </w:r>
    </w:p>
    <w:p>
      <w:r>
        <w:br/>
      </w:r>
    </w:p>
    <w:p>
      <w:pPr>
        <w:pStyle w:val="Heading1"/>
      </w:pPr>
      <w:r>
        <w:t>ERPCLEAN2 — System Overview</w:t>
      </w:r>
    </w:p>
    <w:p>
      <w:r>
        <w:t xml:space="preserve">ERPCLEAN2 is a full, multi-company Enterprise Resource Planning system built as a </w:t>
      </w:r>
      <w:r>
        <w:rPr>
          <w:b/>
        </w:rPr>
        <w:t>modular monolith</w:t>
      </w:r>
      <w:r>
        <w:t>: one Spring Boot application, one Angular web client, one PostgreSQL database. It runs the back-office of a trading and light-manufacturing business end to end — from a sales quotation to the posted journal entry behind it, from a purchase requisition to the supplier payment, from a stock receipt to the inventory valuation on the balance sheet.</w:t>
      </w:r>
    </w:p>
    <w:p>
      <w:r>
        <w:t>This document orients a new engineer or implementer. The companion documents go deeper: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01-architecture.md</w:t>
      </w:r>
      <w:r>
        <w:t xml:space="preserve"> — layering, the request lifecycle, the transactional outbox, the GL posting engine.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02-module-catalog.md</w:t>
      </w:r>
      <w:r>
        <w:t xml:space="preserve"> — every module, its endpoints, entities, permissions, and governing ADR.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03-data-model.md</w:t>
      </w:r>
      <w:r>
        <w:t xml:space="preserve"> — the identity model, money model, multi-tenancy, and per-domain table summary.</w:t>
      </w:r>
    </w:p>
    <w:p>
      <w:pPr>
        <w:pStyle w:val="Heading2"/>
      </w:pPr>
      <w:r>
        <w:t>What ERPCLEAN2 is</w:t>
      </w:r>
    </w:p>
    <w:p>
      <w:r>
        <w:t>A single deployable system covering the standard ERP surface: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Finance — General Ledger</w:t>
            </w:r>
          </w:p>
        </w:tc>
        <w:tc>
          <w:tcPr>
            <w:tcW w:type="dxa" w:w="4320"/>
          </w:tcPr>
          <w:p>
            <w:r>
              <w:t>Chart of accounts, double-entry journals, fiscal calendar, trial balance, year-end close. The posting engine every financial module feeds.</w:t>
            </w:r>
          </w:p>
        </w:tc>
      </w:tr>
      <w:tr>
        <w:tc>
          <w:tcPr>
            <w:tcW w:type="dxa" w:w="4320"/>
          </w:tcPr>
          <w:p>
            <w:r>
              <w:t>Accounts Receivable</w:t>
            </w:r>
          </w:p>
        </w:tc>
        <w:tc>
          <w:tcPr>
            <w:tcW w:type="dxa" w:w="4320"/>
          </w:tcPr>
          <w:p>
            <w:r>
              <w:t>Customer open items, receipts with allocation, credit notes, write-offs, opening balances, statements and ageing.</w:t>
            </w:r>
          </w:p>
        </w:tc>
      </w:tr>
      <w:tr>
        <w:tc>
          <w:tcPr>
            <w:tcW w:type="dxa" w:w="4320"/>
          </w:tcPr>
          <w:p>
            <w:r>
              <w:t>Accounts Payable</w:t>
            </w:r>
          </w:p>
        </w:tc>
        <w:tc>
          <w:tcPr>
            <w:tcW w:type="dxa" w:w="4320"/>
          </w:tcPr>
          <w:p>
            <w:r>
              <w:t>Supplier bills with 3-way match, single + run payments, debit notes, opening balances, statements.</w:t>
            </w:r>
          </w:p>
        </w:tc>
      </w:tr>
      <w:tr>
        <w:tc>
          <w:tcPr>
            <w:tcW w:type="dxa" w:w="4320"/>
          </w:tcPr>
          <w:p>
            <w:r>
              <w:t>Cash &amp; Bank</w:t>
            </w:r>
          </w:p>
        </w:tc>
        <w:tc>
          <w:tcPr>
            <w:tcW w:type="dxa" w:w="4320"/>
          </w:tcPr>
          <w:p>
            <w:r>
              <w:t>Cash/bank accounts, transfers, direct entries, bank reconciliation, cheque register.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VAT return lifecycle (open → recompute → file) with adjustments; WHT types and the WHT register/certificates.</w:t>
            </w:r>
          </w:p>
        </w:tc>
      </w:tr>
      <w:tr>
        <w:tc>
          <w:tcPr>
            <w:tcW w:type="dxa" w:w="4320"/>
          </w:tcPr>
          <w:p>
            <w:r>
              <w:t>FX / Multi-currency</w:t>
            </w:r>
          </w:p>
        </w:tc>
        <w:tc>
          <w:tcPr>
            <w:tcW w:type="dxa" w:w="4320"/>
          </w:tcPr>
          <w:p>
            <w:r>
              <w:t>Currency master, effective-dated rates, foreign-currency posting against a base ledger, FX revaluation runs.</w:t>
            </w:r>
          </w:p>
        </w:tc>
      </w:tr>
      <w:tr>
        <w:tc>
          <w:tcPr>
            <w:tcW w:type="dxa" w:w="4320"/>
          </w:tcPr>
          <w:p>
            <w:r>
              <w:t>Sales (Order-to-Cash)</w:t>
            </w:r>
          </w:p>
        </w:tc>
        <w:tc>
          <w:tcPr>
            <w:tcW w:type="dxa" w:w="4320"/>
          </w:tcPr>
          <w:p>
            <w:r>
              <w:t>Quotation → Sales Order → Delivery → Sales Invoice → Sales Return, plus advanced pricing rules and price lists.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Till setup, session lifecycle (open float → sell → X-read → close → reconcile/Z-read), quick checkout.</w:t>
            </w:r>
          </w:p>
        </w:tc>
      </w:tr>
      <w:tr>
        <w:tc>
          <w:tcPr>
            <w:tcW w:type="dxa" w:w="4320"/>
          </w:tcPr>
          <w:p>
            <w:r>
              <w:t>Procurement (Procure-to-Pay)</w:t>
            </w:r>
          </w:p>
        </w:tc>
        <w:tc>
          <w:tcPr>
            <w:tcW w:type="dxa" w:w="4320"/>
          </w:tcPr>
          <w:p>
            <w:r>
              <w:t>Requisition → RFQ → supplier quote → Purchase Order → Goods Receipt → landed cost → supplier bill → 3-way match → purchase return.</w:t>
            </w:r>
          </w:p>
        </w:tc>
      </w:tr>
      <w:tr>
        <w:tc>
          <w:tcPr>
            <w:tcW w:type="dxa" w:w="4320"/>
          </w:tcPr>
          <w:p>
            <w:r>
              <w:t>Inventory / Stock</w:t>
            </w:r>
          </w:p>
        </w:tc>
        <w:tc>
          <w:tcPr>
            <w:tcW w:type="dxa" w:w="4320"/>
          </w:tcPr>
          <w:p>
            <w:r>
              <w:t>On-hand by location/product, movements, adjustments, transfers, counts, batches/lots, serials, valuation.</w:t>
            </w:r>
          </w:p>
        </w:tc>
      </w:tr>
      <w:tr>
        <w:tc>
          <w:tcPr>
            <w:tcW w:type="dxa" w:w="4320"/>
          </w:tcPr>
          <w:p>
            <w:r>
              <w:t>Manufacturing</w:t>
            </w:r>
          </w:p>
        </w:tc>
        <w:tc>
          <w:tcPr>
            <w:tcW w:type="dxa" w:w="4320"/>
          </w:tcPr>
          <w:p>
            <w:r>
              <w:t>Multi-level Bills of Materials, Work Orders (release → issue → cost → complete), WIP reconciliation.</w:t>
            </w:r>
          </w:p>
        </w:tc>
      </w:tr>
      <w:tr>
        <w:tc>
          <w:tcPr>
            <w:tcW w:type="dxa" w:w="4320"/>
          </w:tcPr>
          <w:p>
            <w:r>
              <w:t>Fixed Assets</w:t>
            </w:r>
          </w:p>
        </w:tc>
        <w:tc>
          <w:tcPr>
            <w:tcW w:type="dxa" w:w="4320"/>
          </w:tcPr>
          <w:p>
            <w:r>
              <w:t>Asset categories, register, depreciation runs, revaluation, disposal, FA→GL reconciliation.</w:t>
            </w:r>
          </w:p>
        </w:tc>
      </w:tr>
      <w:tr>
        <w:tc>
          <w:tcPr>
            <w:tcW w:type="dxa" w:w="4320"/>
          </w:tcPr>
          <w:p>
            <w:r>
              <w:t>HR &amp; Payroll</w:t>
            </w:r>
          </w:p>
        </w:tc>
        <w:tc>
          <w:tcPr>
            <w:tcW w:type="dxa" w:w="4320"/>
          </w:tcPr>
          <w:p>
            <w:r>
              <w:t>Departments, employees, contracts, leave, loans, pay components, payroll runs (calculate → approve → post → disburse), statutory setup.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Leads, opportunities, pipeline analytics, stages, activities; conversion to Quotation/Sales Order.</w:t>
            </w:r>
          </w:p>
        </w:tc>
      </w:tr>
      <w:tr>
        <w:tc>
          <w:tcPr>
            <w:tcW w:type="dxa" w:w="4320"/>
          </w:tcPr>
          <w:p>
            <w:r>
              <w:t>Projects (Job Costing)</w:t>
            </w:r>
          </w:p>
        </w:tc>
        <w:tc>
          <w:tcPr>
            <w:tcW w:type="dxa" w:w="4320"/>
          </w:tcPr>
          <w:p>
            <w:r>
              <w:t>Projects, tasks, timesheets, issue-materials-to-project, per-project P&amp;L and cross-project WIP.</w:t>
            </w:r>
          </w:p>
        </w:tc>
      </w:tr>
      <w:tr>
        <w:tc>
          <w:tcPr>
            <w:tcW w:type="dxa" w:w="4320"/>
          </w:tcPr>
          <w:p>
            <w:r>
              <w:t>Budgeting</w:t>
            </w:r>
          </w:p>
        </w:tc>
        <w:tc>
          <w:tcPr>
            <w:tcW w:type="dxa" w:w="4320"/>
          </w:tcPr>
          <w:p>
            <w:r>
              <w:t>Budget headers + version lifecycle, line entry modes, budget-vs-actual variance reporting.</w:t>
            </w:r>
          </w:p>
        </w:tc>
      </w:tr>
      <w:tr>
        <w:tc>
          <w:tcPr>
            <w:tcW w:type="dxa" w:w="4320"/>
          </w:tcPr>
          <w:p>
            <w:r>
              <w:t>Reporting &amp; BI</w:t>
            </w:r>
          </w:p>
        </w:tc>
        <w:tc>
          <w:tcPr>
            <w:tcW w:type="dxa" w:w="4320"/>
          </w:tcPr>
          <w:p>
            <w:r>
              <w:t>P&amp;L, Balance Sheet, Cash Flow, trial balance, account-ledger drill-down, BI analytics dashboards, analytical reports.</w:t>
            </w:r>
          </w:p>
        </w:tc>
      </w:tr>
      <w:tr>
        <w:tc>
          <w:tcPr>
            <w:tcW w:type="dxa" w:w="4320"/>
          </w:tcPr>
          <w:p>
            <w:r>
              <w:t>Platform services</w:t>
            </w:r>
          </w:p>
        </w:tc>
        <w:tc>
          <w:tcPr>
            <w:tcW w:type="dxa" w:w="4320"/>
          </w:tcPr>
          <w:p>
            <w:r>
              <w:t>Documents (PDF render/templates/branding), notifications, approvals engine, cost-centre dimensions, audit trail.</w:t>
            </w:r>
          </w:p>
        </w:tc>
      </w:tr>
    </w:tbl>
    <w:p/>
    <w:p>
      <w:r>
        <w:t xml:space="preserve">All business modules sit on a shared </w:t>
      </w:r>
      <w:r>
        <w:rPr>
          <w:b/>
        </w:rPr>
        <w:t>platform spine</w:t>
      </w:r>
      <w:r>
        <w:t>: identity &amp; access (IAM), security/RBAC, multi-tenancy, the document-numbering service, the transactional outbox, money/currency, and audit.</w:t>
      </w:r>
    </w:p>
    <w:p>
      <w:pPr>
        <w:pStyle w:val="Heading2"/>
      </w:pPr>
      <w:r>
        <w:t>The modular-monolith philosophy</w:t>
      </w:r>
    </w:p>
    <w:p>
      <w:r>
        <w:t xml:space="preserve">ERPCLEAN2 is deliberately </w:t>
      </w:r>
      <w:r>
        <w:rPr>
          <w:b/>
        </w:rPr>
        <w:t>not</w:t>
      </w:r>
      <w:r>
        <w:t xml:space="preserve"> microservices. It is one process with hard internal boundaries:</w:t>
      </w:r>
    </w:p>
    <w:p>
      <w:pPr>
        <w:pStyle w:val="ListBullet"/>
      </w:pPr>
      <w:r>
        <w:rPr>
          <w:b/>
        </w:rPr>
        <w:t>One deployable, one database.</w:t>
      </w:r>
      <w:r>
        <w:t xml:space="preserve"> Simple to run, simple to reason about, simple to deploy. A single Spring Boot container against a single PostgreSQL instance. Splitting a module out later is straightforward; recombining microservices is not — so the system starts combined and keeps the option open.</w:t>
      </w:r>
    </w:p>
    <w:p>
      <w:pPr>
        <w:pStyle w:val="ListBullet"/>
      </w:pPr>
      <w:r>
        <w:rPr>
          <w:b/>
        </w:rPr>
        <w:t>Boundaries enforced, not merely documented.</w:t>
      </w:r>
      <w:r>
        <w:t xml:space="preserve"> Modules live under </w:t>
      </w:r>
      <w:r>
        <w:rPr>
          <w:rFonts w:ascii="Consolas" w:hAnsi="Consolas"/>
          <w:color w:val="B03060"/>
          <w:sz w:val="19"/>
        </w:rPr>
        <w:t>com.erp.modules.&lt;name&gt;</w:t>
      </w:r>
      <w:r>
        <w:t xml:space="preserve">; cross-cutting infrastructure under </w:t>
      </w:r>
      <w:r>
        <w:rPr>
          <w:rFonts w:ascii="Consolas" w:hAnsi="Consolas"/>
          <w:color w:val="B03060"/>
          <w:sz w:val="19"/>
        </w:rPr>
        <w:t>com.erp.platform.*</w:t>
      </w:r>
      <w:r>
        <w:t xml:space="preserve">; REST controllers flat under </w:t>
      </w:r>
      <w:r>
        <w:rPr>
          <w:rFonts w:ascii="Consolas" w:hAnsi="Consolas"/>
          <w:color w:val="B03060"/>
          <w:sz w:val="19"/>
        </w:rPr>
        <w:t>com.erp.api</w:t>
      </w:r>
      <w:r>
        <w:t>. An ArchUnit test (</w:t>
      </w:r>
      <w:r>
        <w:rPr>
          <w:rFonts w:ascii="Consolas" w:hAnsi="Consolas"/>
          <w:color w:val="B03060"/>
          <w:sz w:val="19"/>
        </w:rPr>
        <w:t>ModuleBoundaryTest</w:t>
      </w:r>
      <w:r>
        <w:t>) fails the build if a controller touches a repository directly, or if one module imports another module's entity or service.</w:t>
      </w:r>
    </w:p>
    <w:p>
      <w:pPr>
        <w:pStyle w:val="ListBullet"/>
      </w:pPr>
      <w:r>
        <w:rPr>
          <w:b/>
        </w:rPr>
        <w:t>Modules talk through contracts, never internals.</w:t>
      </w:r>
      <w:r>
        <w:t xml:space="preserve"> A module exposes only its </w:t>
      </w:r>
      <w:r>
        <w:rPr>
          <w:rFonts w:ascii="Consolas" w:hAnsi="Consolas"/>
          <w:color w:val="B03060"/>
          <w:sz w:val="19"/>
        </w:rPr>
        <w:t>domain.dto</w:t>
      </w:r>
      <w:r>
        <w:t xml:space="preserve"> / </w:t>
      </w:r>
      <w:r>
        <w:rPr>
          <w:rFonts w:ascii="Consolas" w:hAnsi="Consolas"/>
          <w:color w:val="B03060"/>
          <w:sz w:val="19"/>
        </w:rPr>
        <w:t>domain.enums</w:t>
      </w:r>
      <w:r>
        <w:t xml:space="preserve">. Cross-module *side effects* go through the </w:t>
      </w:r>
      <w:r>
        <w:rPr>
          <w:b/>
        </w:rPr>
        <w:t>transactional outbox</w:t>
      </w:r>
      <w:r>
        <w:t xml:space="preserve"> — a </w:t>
      </w:r>
      <w:r>
        <w:rPr>
          <w:rFonts w:ascii="Consolas" w:hAnsi="Consolas"/>
          <w:color w:val="B03060"/>
          <w:sz w:val="19"/>
        </w:rPr>
        <w:t>domain_events</w:t>
      </w:r>
      <w:r>
        <w:t xml:space="preserve"> row written in the same database transaction as the business change, dispatched by an in-process poller to in-process consumers. A sale finalising never calls into the stock module directly; it publishes 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, and stock consumes it. (See </w:t>
      </w:r>
      <w:r>
        <w:rPr>
          <w:rFonts w:ascii="Consolas" w:hAnsi="Consolas"/>
          <w:color w:val="B03060"/>
          <w:sz w:val="19"/>
        </w:rPr>
        <w:t>01-architecture.md</w:t>
      </w:r>
      <w:r>
        <w:t>.)</w:t>
      </w:r>
    </w:p>
    <w:p>
      <w:pPr>
        <w:pStyle w:val="ListBullet"/>
      </w:pPr>
      <w:r>
        <w:rPr>
          <w:b/>
        </w:rPr>
        <w:t>The boring option, applied consistently.</w:t>
      </w:r>
      <w:r>
        <w:t xml:space="preserve"> Spring's first-class primitives, JPA's normal patterns, Flyway for every schema change, standard PostgreSQL features used deliberately (</w:t>
      </w:r>
      <w:r>
        <w:rPr>
          <w:rFonts w:ascii="Consolas" w:hAnsi="Consolas"/>
          <w:color w:val="B03060"/>
          <w:sz w:val="19"/>
        </w:rPr>
        <w:t>JSONB</w:t>
      </w:r>
      <w:r>
        <w:t xml:space="preserve">, partial/expression indexes, </w:t>
      </w:r>
      <w:r>
        <w:rPr>
          <w:rFonts w:ascii="Consolas" w:hAnsi="Consolas"/>
          <w:color w:val="B03060"/>
          <w:sz w:val="19"/>
        </w:rPr>
        <w:t>NUMERIC</w:t>
      </w:r>
      <w:r>
        <w:t>, sequences). No clever pattern survives without a written ADR.</w:t>
      </w:r>
    </w:p>
    <w:p>
      <w:pPr>
        <w:pStyle w:val="Heading2"/>
      </w:pPr>
      <w:r>
        <w:t>System invariants (the non-negotiables)</w:t>
      </w:r>
    </w:p>
    <w:p>
      <w:r>
        <w:t>Every module obeys the same handful of rules. They are described fully in the companion documents; in brief:</w:t>
      </w:r>
    </w:p>
    <w:p>
      <w:pPr>
        <w:pStyle w:val="ListNumber"/>
      </w:pPr>
      <w:r>
        <w:rPr>
          <w:b/>
        </w:rPr>
        <w:t>API envelope.</w:t>
      </w:r>
      <w:r>
        <w:t xml:space="preserve"> Every REST response is wrapped in </w:t>
      </w:r>
      <w:r>
        <w:rPr>
          <w:rFonts w:ascii="Consolas" w:hAnsi="Consolas"/>
          <w:color w:val="B03060"/>
          <w:sz w:val="19"/>
        </w:rPr>
        <w:t>ApiResponse&lt;T&gt;</w:t>
      </w:r>
      <w:r>
        <w:t xml:space="preserve"> (</w:t>
      </w:r>
      <w:r>
        <w:rPr>
          <w:rFonts w:ascii="Consolas" w:hAnsi="Consolas"/>
          <w:color w:val="B03060"/>
          <w:sz w:val="19"/>
        </w:rPr>
        <w:t>data</w:t>
      </w:r>
      <w:r>
        <w:t xml:space="preserve">, </w:t>
      </w:r>
      <w:r>
        <w:rPr>
          <w:rFonts w:ascii="Consolas" w:hAnsi="Consolas"/>
          <w:color w:val="B03060"/>
          <w:sz w:val="19"/>
        </w:rPr>
        <w:t>errors[]</w:t>
      </w:r>
      <w:r>
        <w:t xml:space="preserve">, meta). Controllers return raw </w:t>
      </w:r>
      <w:r>
        <w:rPr>
          <w:rFonts w:ascii="Consolas" w:hAnsi="Consolas"/>
          <w:color w:val="B03060"/>
          <w:sz w:val="19"/>
        </w:rPr>
        <w:t>T</w:t>
      </w:r>
      <w:r>
        <w:t>; an interceptor wraps it. The web client unwraps it before services see it.</w:t>
      </w:r>
    </w:p>
    <w:p>
      <w:pPr>
        <w:pStyle w:val="ListNumber"/>
      </w:pPr>
      <w:r>
        <w:rPr>
          <w:b/>
        </w:rPr>
        <w:t>Identity duality.</w:t>
      </w:r>
      <w:r>
        <w:t xml:space="preserve"> Every externally exposed entity carries a numeric </w:t>
      </w:r>
      <w:r>
        <w:rPr>
          <w:rFonts w:ascii="Consolas" w:hAnsi="Consolas"/>
          <w:color w:val="B03060"/>
          <w:sz w:val="19"/>
        </w:rPr>
        <w:t>id</w:t>
      </w:r>
      <w:r>
        <w:t xml:space="preserve"> (internal, for joins) and a stable external </w:t>
      </w:r>
      <w:r>
        <w:rPr>
          <w:rFonts w:ascii="Consolas" w:hAnsi="Consolas"/>
          <w:color w:val="B03060"/>
          <w:sz w:val="19"/>
        </w:rPr>
        <w:t>uid</w:t>
      </w:r>
      <w:r>
        <w:t xml:space="preserve"> (a ULID). </w:t>
      </w:r>
      <w:r>
        <w:rPr>
          <w:b/>
        </w:rPr>
        <w:t>URLs address by `uid`</w:t>
      </w:r>
      <w:r>
        <w:t xml:space="preserve">; the numeric </w:t>
      </w:r>
      <w:r>
        <w:rPr>
          <w:rFonts w:ascii="Consolas" w:hAnsi="Consolas"/>
          <w:color w:val="B03060"/>
          <w:sz w:val="19"/>
        </w:rPr>
        <w:t>id</w:t>
      </w:r>
      <w:r>
        <w:t xml:space="preserve"> never appears in a URL and is never shown to users. Pickers resolve a human name to a </w:t>
      </w:r>
      <w:r>
        <w:rPr>
          <w:rFonts w:ascii="Consolas" w:hAnsi="Consolas"/>
          <w:color w:val="B03060"/>
          <w:sz w:val="19"/>
        </w:rPr>
        <w:t>uid</w:t>
      </w:r>
      <w:r>
        <w:t>.</w:t>
      </w:r>
    </w:p>
    <w:p>
      <w:pPr>
        <w:pStyle w:val="ListNumber"/>
      </w:pPr>
      <w:r>
        <w:rPr>
          <w:b/>
        </w:rPr>
        <w:t>Multi-tenancy.</w:t>
      </w:r>
      <w:r>
        <w:t xml:space="preserve"> Organisation → Company → Branch. Every transactional table carries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 (and </w:t>
      </w:r>
      <w:r>
        <w:rPr>
          <w:rFonts w:ascii="Consolas" w:hAnsi="Consolas"/>
          <w:color w:val="B03060"/>
          <w:sz w:val="19"/>
        </w:rPr>
        <w:t>branch_id</w:t>
      </w:r>
      <w:r>
        <w:t xml:space="preserve"> where a branch boundary applies). A </w:t>
      </w:r>
      <w:r>
        <w:rPr>
          <w:rFonts w:ascii="Consolas" w:hAnsi="Consolas"/>
          <w:color w:val="B03060"/>
          <w:sz w:val="19"/>
        </w:rPr>
        <w:t>RequestContext</w:t>
      </w:r>
      <w:r>
        <w:t xml:space="preserve"> sets the active company/branch from the JWT plus an optional branch-override header; repository base interfaces inject the tenant predicate automatically.</w:t>
      </w:r>
    </w:p>
    <w:p>
      <w:pPr>
        <w:pStyle w:val="ListNumber"/>
      </w:pPr>
      <w:r>
        <w:rPr>
          <w:b/>
        </w:rPr>
        <w:t>RBAC by permission, not role.</w:t>
      </w:r>
      <w:r>
        <w:t xml:space="preserve"> The atomic unit is a </w:t>
      </w:r>
      <w:r>
        <w:rPr>
          <w:b/>
        </w:rPr>
        <w:t>permission code</w:t>
      </w:r>
      <w:r>
        <w:t xml:space="preserve"> (dot-separated, e.g. </w:t>
      </w:r>
      <w:r>
        <w:rPr>
          <w:rFonts w:ascii="Consolas" w:hAnsi="Consolas"/>
          <w:color w:val="B03060"/>
          <w:sz w:val="19"/>
        </w:rPr>
        <w:t>SALES.INVOICE.POST</w:t>
      </w:r>
      <w:r>
        <w:t xml:space="preserve">). Roles are bundles of permissions.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checks reference permission codes, never role names. Permissions are seeded via Flyway.</w:t>
      </w:r>
    </w:p>
    <w:p>
      <w:pPr>
        <w:pStyle w:val="ListNumber"/>
      </w:pPr>
      <w:r>
        <w:rPr>
          <w:b/>
        </w:rPr>
        <w:t>Money is currency-aware.</w:t>
      </w:r>
      <w:r>
        <w:t xml:space="preserve"> Every amount is an </w:t>
      </w:r>
      <w:r>
        <w:rPr>
          <w:rFonts w:ascii="Consolas" w:hAnsi="Consolas"/>
          <w:color w:val="B03060"/>
          <w:sz w:val="19"/>
        </w:rPr>
        <w:t>(amount, currency)</w:t>
      </w:r>
      <w:r>
        <w:t xml:space="preserve"> pair — </w:t>
      </w:r>
      <w:r>
        <w:rPr>
          <w:rFonts w:ascii="Consolas" w:hAnsi="Consolas"/>
          <w:color w:val="B03060"/>
          <w:sz w:val="19"/>
        </w:rPr>
        <w:t>BigDecimal</w:t>
      </w:r>
      <w:r>
        <w:t xml:space="preserve"> in Java, </w:t>
      </w:r>
      <w:r>
        <w:rPr>
          <w:rFonts w:ascii="Consolas" w:hAnsi="Consolas"/>
          <w:color w:val="B03060"/>
          <w:sz w:val="19"/>
        </w:rPr>
        <w:t>NUMERIC</w:t>
      </w:r>
      <w:r>
        <w:t xml:space="preserve"> in PostgreSQL, a string on the wire (</w:t>
      </w:r>
      <w:r>
        <w:rPr>
          <w:rFonts w:ascii="Consolas" w:hAnsi="Consolas"/>
          <w:color w:val="B03060"/>
          <w:sz w:val="19"/>
        </w:rPr>
        <w:t>{ "amount": "1500.0000", "currency": "TZS" }</w:t>
      </w:r>
      <w:r>
        <w:t>). Base currency is TZS, configurable per company; foreign-currency documents carry the base-currency equivalent and the rate used.</w:t>
      </w:r>
    </w:p>
    <w:p>
      <w:pPr>
        <w:pStyle w:val="ListNumber"/>
      </w:pPr>
      <w:r>
        <w:rPr>
          <w:b/>
        </w:rPr>
        <w:t>Append-only posting.</w:t>
      </w:r>
      <w:r>
        <w:t xml:space="preserve"> Posting tables (the GL, stock movements, the audit log) are never updated or deleted — corrections are new, reversing entries.</w:t>
      </w:r>
    </w:p>
    <w:p>
      <w:pPr>
        <w:pStyle w:val="ListNumber"/>
      </w:pPr>
      <w:r>
        <w:rPr>
          <w:b/>
        </w:rPr>
        <w:t>Cross-module side effects = transactional outbox.</w:t>
      </w:r>
      <w:r>
        <w:t xml:space="preserve"> Never an in-memory event, never a direct call into another module.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 runtime</w:t>
            </w:r>
          </w:p>
        </w:tc>
        <w:tc>
          <w:tcPr>
            <w:tcW w:type="dxa" w:w="4320"/>
          </w:tcPr>
          <w:p>
            <w:r>
              <w:t>Spring Boot 3.3.5 · Java 21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Hibernate 6 (JPA) · Spring Data · PostgreSQL 15+</w:t>
            </w:r>
          </w:p>
        </w:tc>
      </w:tr>
      <w:tr>
        <w:tc>
          <w:tcPr>
            <w:tcW w:type="dxa" w:w="4320"/>
          </w:tcPr>
          <w:p>
            <w:r>
              <w:t>Schema management</w:t>
            </w:r>
          </w:p>
        </w:tc>
        <w:tc>
          <w:tcPr>
            <w:tcW w:type="dxa" w:w="4320"/>
          </w:tcPr>
          <w:p>
            <w:r>
              <w:t>Flyway (</w:t>
            </w:r>
            <w:r>
              <w:rPr>
                <w:rFonts w:ascii="Consolas" w:hAnsi="Consolas"/>
                <w:color w:val="B03060"/>
                <w:sz w:val="19"/>
              </w:rPr>
              <w:t>ddl-auto=validate</w:t>
            </w:r>
            <w:r>
              <w:t xml:space="preserve">; migrations </w:t>
            </w:r>
            <w:r>
              <w:rPr>
                <w:rFonts w:ascii="Consolas" w:hAnsi="Consolas"/>
                <w:color w:val="B03060"/>
                <w:sz w:val="19"/>
              </w:rPr>
              <w:t>V1</w:t>
            </w:r>
            <w:r>
              <w:t xml:space="preserve"> … </w:t>
            </w:r>
            <w:r>
              <w:rPr>
                <w:rFonts w:ascii="Consolas" w:hAnsi="Consolas"/>
                <w:color w:val="B03060"/>
                <w:sz w:val="19"/>
              </w:rPr>
              <w:t>V83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 xml:space="preserve">In-house JWT, </w:t>
            </w:r>
            <w:r>
              <w:rPr>
                <w:b/>
              </w:rPr>
              <w:t>RS256</w:t>
            </w:r>
            <w:r>
              <w:t xml:space="preserve"> signing, refresh-token rotation; Spring Security OAuth2 resource server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 xml:space="preserve">RBAC by permission code, enforced with </w:t>
            </w:r>
            <w:r>
              <w:rPr>
                <w:rFonts w:ascii="Consolas" w:hAnsi="Consolas"/>
                <w:color w:val="B03060"/>
                <w:sz w:val="19"/>
              </w:rPr>
              <w:t>@PreAuthorize</w:t>
            </w:r>
            <w:r>
              <w:t xml:space="preserve"> and a </w:t>
            </w:r>
            <w:r>
              <w:rPr>
                <w:rFonts w:ascii="Consolas" w:hAnsi="Consolas"/>
                <w:color w:val="B03060"/>
                <w:sz w:val="19"/>
              </w:rPr>
              <w:t>@perm</w:t>
            </w:r>
            <w:r>
              <w:t xml:space="preserve"> expression bean</w:t>
            </w:r>
          </w:p>
        </w:tc>
      </w:tr>
      <w:tr>
        <w:tc>
          <w:tcPr>
            <w:tcW w:type="dxa" w:w="4320"/>
          </w:tcPr>
          <w:p>
            <w:r>
              <w:t>Web client</w:t>
            </w:r>
          </w:p>
        </w:tc>
        <w:tc>
          <w:tcPr>
            <w:tcW w:type="dxa" w:w="4320"/>
          </w:tcPr>
          <w:p>
            <w:r>
              <w:t>Angular 21 · standalone components (no NgModules) · signals · TypeScript strict</w:t>
            </w:r>
          </w:p>
        </w:tc>
      </w:tr>
      <w:tr>
        <w:tc>
          <w:tcPr>
            <w:tcW w:type="dxa" w:w="4320"/>
          </w:tcPr>
          <w:p>
            <w:r>
              <w:t>Web build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ng</w:t>
            </w:r>
            <w:r>
              <w:t xml:space="preserve"> / npm</w:t>
            </w:r>
          </w:p>
        </w:tc>
      </w:tr>
      <w:tr>
        <w:tc>
          <w:tcPr>
            <w:tcW w:type="dxa" w:w="4320"/>
          </w:tcPr>
          <w:p>
            <w:r>
              <w:t>Backend build</w:t>
            </w:r>
          </w:p>
        </w:tc>
        <w:tc>
          <w:tcPr>
            <w:tcW w:type="dxa" w:w="4320"/>
          </w:tcPr>
          <w:p>
            <w:r>
              <w:t>Maven (</w:t>
            </w:r>
            <w:r>
              <w:rPr>
                <w:rFonts w:ascii="Consolas" w:hAnsi="Consolas"/>
                <w:color w:val="B03060"/>
                <w:sz w:val="19"/>
              </w:rPr>
              <w:t>mvn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Testing — backend</w:t>
            </w:r>
          </w:p>
        </w:tc>
        <w:tc>
          <w:tcPr>
            <w:tcW w:type="dxa" w:w="4320"/>
          </w:tcPr>
          <w:p>
            <w:r>
              <w:t xml:space="preserve">JUnit 5 · Spring Boot Test · </w:t>
            </w:r>
            <w:r>
              <w:rPr>
                <w:b/>
              </w:rPr>
              <w:t>Testcontainers</w:t>
            </w:r>
            <w:r>
              <w:t xml:space="preserve"> (integration tests against real PostgreSQL) · ArchUnit</w:t>
            </w:r>
          </w:p>
        </w:tc>
      </w:tr>
      <w:tr>
        <w:tc>
          <w:tcPr>
            <w:tcW w:type="dxa" w:w="4320"/>
          </w:tcPr>
          <w:p>
            <w:r>
              <w:t>Testing — web</w:t>
            </w:r>
          </w:p>
        </w:tc>
        <w:tc>
          <w:tcPr>
            <w:tcW w:type="dxa" w:w="4320"/>
          </w:tcPr>
          <w:p>
            <w:r>
              <w:t>Unit tests · Playwright e2e · axe-core (WCAG 2.1 AA gate)</w:t>
            </w:r>
          </w:p>
        </w:tc>
      </w:tr>
    </w:tbl>
    <w:p/>
    <w:p>
      <w:r>
        <w:t xml:space="preserve">Money is stored as </w:t>
      </w:r>
      <w:r>
        <w:rPr>
          <w:rFonts w:ascii="Consolas" w:hAnsi="Consolas"/>
          <w:color w:val="B03060"/>
          <w:sz w:val="19"/>
        </w:rPr>
        <w:t>NUMERIC(19,4)</w:t>
      </w:r>
      <w:r>
        <w:t xml:space="preserve"> (rates </w:t>
      </w:r>
      <w:r>
        <w:rPr>
          <w:rFonts w:ascii="Consolas" w:hAnsi="Consolas"/>
          <w:color w:val="B03060"/>
          <w:sz w:val="19"/>
        </w:rPr>
        <w:t>NUMERIC(19,8)</w:t>
      </w:r>
      <w:r>
        <w:t xml:space="preserve">), serialised as strings on the wire. 64-bit </w:t>
      </w:r>
      <w:r>
        <w:rPr>
          <w:rFonts w:ascii="Consolas" w:hAnsi="Consolas"/>
          <w:color w:val="B03060"/>
          <w:sz w:val="19"/>
        </w:rPr>
        <w:t>id</w:t>
      </w:r>
      <w:r>
        <w:t xml:space="preserve"> fields serialise as JSON strings globally so they survive JavaScript's number precision.</w:t>
      </w:r>
    </w:p>
    <w:p>
      <w:pPr>
        <w:pStyle w:val="Heading2"/>
      </w:pPr>
      <w:r>
        <w:t>High-level architecture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      ┌───────────────────────────────────────────┐</w:t>
        <w:br/>
        <w:t xml:space="preserve">                       │            Angular 21 web client            │</w:t>
        <w:br/>
        <w:t xml:space="preserve">                       │   standalone components · signals · strict  │</w:t>
        <w:br/>
        <w:t xml:space="preserve">                       │   HTTP interceptor unwraps ApiResponse&lt;T&gt;   │</w:t>
        <w:br/>
        <w:t xml:space="preserve">                       └─────────────────────┬───────────────────────┘</w:t>
        <w:br/>
        <w:t xml:space="preserve">                                             │  HTTPS</w:t>
        <w:br/>
        <w:t xml:space="preserve">                                             │  Authorization: Bearer &lt;JWT, RS256&gt;</w:t>
        <w:br/>
        <w:t xml:space="preserve">                                             │  X-Branch-Uid: &lt;branch override&gt;</w:t>
        <w:br/>
        <w:t xml:space="preserve">           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│                    Spring Boot 3.3.5 API  (single container)               │</w:t>
        <w:br/>
        <w:t xml:space="preserve">   │                                                                            │</w:t>
        <w:br/>
        <w:t xml:space="preserve">   │  com.erp.api.*Controller        REST, flat, one per resource               │</w:t>
        <w:br/>
        <w:t xml:space="preserve">   │        │  (returns raw T; ResponseBodyAdvice wraps → ApiResponse&lt;T&gt;)       │</w:t>
        <w:br/>
        <w:t xml:space="preserve">   │        ▼                                                                    │</w:t>
        <w:br/>
        <w:t xml:space="preserve">   │  com.erp.modules.&lt;name&gt;.service      @Transactional · owns invariants      │</w:t>
        <w:br/>
        <w:t xml:space="preserve">   │        │                                                                    │</w:t>
        <w:br/>
        <w:t xml:space="preserve">   │        ▼                                                                    │</w:t>
        <w:br/>
        <w:t xml:space="preserve">   │  com.erp.modules.&lt;name&gt;.repository   Spring Data · tenant predicate        │</w:t>
        <w:br/>
        <w:t xml:space="preserve">   │        │                                                                    │</w:t>
        <w:br/>
        <w:t xml:space="preserve">   │        ▼                                                                    │</w:t>
        <w:br/>
        <w:t xml:space="preserve">   │  com.erp.modules.&lt;name&gt;.domain       entity · dto · enums · event          │</w:t>
        <w:br/>
        <w:t xml:space="preserve">   │                                                                            │</w:t>
        <w:br/>
        <w:t xml:space="preserve">   │  ┌──────────────────────── platform spine ────────────────────────────┐   │</w:t>
        <w:br/>
        <w:t xml:space="preserve">   │  │ security (JWT, RequestContext, @perm/RBAC, ScopeGuard)              │   │</w:t>
        <w:br/>
        <w:t xml:space="preserve">   │  │ iam · company  ·  sequence (document numbering)                     │   │</w:t>
        <w:br/>
        <w:t xml:space="preserve">   │  │ events (transactional outbox: domain_events + @Scheduled poller)   │   │</w:t>
        <w:br/>
        <w:t xml:space="preserve">   │  │ audit (aspect → audit_log, append-only)  ·  common (ApiResponse,    │   │</w:t>
        <w:br/>
        <w:t xml:space="preserve">   │  │ Money, UidEntity, error model)                                      │   │</w:t>
        <w:br/>
        <w:t xml:space="preserve">   │  └────────────────────────────────────────────────────────────────────┘   │</w:t>
        <w:br/>
        <w:t xml:space="preserve">   │                                                                            │</w:t>
        <w:br/>
        <w:t xml:space="preserve">   │  Cross-module link:  module A  ──writes domain_events (same TX)──►          │</w:t>
        <w:br/>
        <w:t xml:space="preserve">   │                      poller  ──invokes──►  module B's DomainEventHandler    │</w:t>
        <w:br/>
        <w:t xml:space="preserve">   └─────────────────────────────────────┬──────────────────────────────────────┘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        │  JDBC</w:t>
        <w:br/>
        <w:t xml:space="preserve">                                          ▼</w:t>
        <w:br/>
        <w:t xml:space="preserve">                       ┌───────────────────────────────────────────┐</w:t>
        <w:br/>
        <w:t xml:space="preserve">                       │              PostgreSQL 15+                  │</w:t>
        <w:br/>
        <w:t xml:space="preserve">                       │  Flyway migrations validated on start       │</w:t>
        <w:br/>
        <w:t xml:space="preserve">                       │  business tables: company_id (+ branch_id)  │</w:t>
        <w:br/>
        <w:t xml:space="preserve">                       │  outbox: domain_events / processed_events   │</w:t>
        <w:br/>
        <w:t xml:space="preserve">                       │  ledger: journal_*, stock_movements (append)│</w:t>
        <w:br/>
        <w:t xml:space="preserve">                       └───────────────────────────────────────────┘</w:t>
      </w:r>
    </w:p>
    <w:p>
      <w:r>
        <w:t xml:space="preserve">The request path is strictly </w:t>
      </w:r>
      <w:r>
        <w:rPr>
          <w:b/>
        </w:rPr>
        <w:t>controller → service → repository → entity</w:t>
      </w:r>
      <w:r>
        <w:t>. Controllers never touch repositories. Modules never import each other's entities or services — they exchange DTOs/enums and communicate side effects only through the outbox. The platform spine is the only thing every module is allowed to depend on.</w:t>
      </w:r>
    </w:p>
    <w:p>
      <w:r>
        <w:br/>
      </w:r>
    </w:p>
    <w:p>
      <w:pPr>
        <w:pStyle w:val="Heading1"/>
      </w:pPr>
      <w:r>
        <w:t>Architecture</w:t>
      </w:r>
    </w:p>
    <w:p>
      <w:r>
        <w:t xml:space="preserve">This document is the technical architecture of ERPCLEAN2: how the code is structured, how a request flows, how modules integrate without coupling, and how the two posting engines — the transactional outbox and the General Ledger — work. It is grounded in the shipped code, </w:t>
      </w:r>
      <w:r>
        <w:rPr>
          <w:rFonts w:ascii="Consolas" w:hAnsi="Consolas"/>
          <w:color w:val="B03060"/>
          <w:sz w:val="19"/>
        </w:rPr>
        <w:t>ARCHITECTURE.md</w:t>
      </w:r>
      <w:r>
        <w:t xml:space="preserve">, </w:t>
      </w:r>
      <w:r>
        <w:rPr>
          <w:rFonts w:ascii="Consolas" w:hAnsi="Consolas"/>
          <w:color w:val="B03060"/>
          <w:sz w:val="19"/>
        </w:rPr>
        <w:t>PROJECT-CONVENTIONS.md</w:t>
      </w:r>
      <w:r>
        <w:t xml:space="preserve">, and the ADRs in </w:t>
      </w:r>
      <w:r>
        <w:rPr>
          <w:rFonts w:ascii="Consolas" w:hAnsi="Consolas"/>
          <w:color w:val="B03060"/>
          <w:sz w:val="19"/>
        </w:rPr>
        <w:t>docs/decisions/</w:t>
      </w:r>
      <w:r>
        <w:t>. Where a rule originates in an ADR it is cited.</w:t>
      </w:r>
    </w:p>
    <w:p>
      <w:pPr>
        <w:pStyle w:val="Heading2"/>
      </w:pPr>
      <w:r>
        <w:t>1. Layered / modular structure</w:t>
      </w:r>
    </w:p>
    <w:p>
      <w:r>
        <w:t xml:space="preserve">ERPCLEAN2 is a </w:t>
      </w:r>
      <w:r>
        <w:rPr>
          <w:b/>
        </w:rPr>
        <w:t>modular monolith</w:t>
      </w:r>
      <w:r>
        <w:t xml:space="preserve"> (</w:t>
      </w:r>
      <w:r>
        <w:rPr>
          <w:rFonts w:ascii="Consolas" w:hAnsi="Consolas"/>
          <w:color w:val="B03060"/>
          <w:sz w:val="19"/>
        </w:rPr>
        <w:t>ARCHITECTURE.md</w:t>
      </w:r>
      <w:r>
        <w:t xml:space="preserve"> §1, </w:t>
      </w:r>
      <w:r>
        <w:rPr>
          <w:rFonts w:ascii="Consolas" w:hAnsi="Consolas"/>
          <w:color w:val="B03060"/>
          <w:sz w:val="19"/>
        </w:rPr>
        <w:t>PROJECT-CONVENTIONS.md</w:t>
      </w:r>
      <w:r>
        <w:t xml:space="preserve"> §2). One Spring Boot process, one Angular client, one PostgreSQL database, with hard internal boundaries enforced by package layout and an ArchUnit test (</w:t>
      </w:r>
      <w:r>
        <w:rPr>
          <w:rFonts w:ascii="Consolas" w:hAnsi="Consolas"/>
          <w:color w:val="B03060"/>
          <w:sz w:val="19"/>
        </w:rPr>
        <w:t>ModuleBoundaryTest</w:t>
      </w:r>
      <w:r>
        <w:t>).</w:t>
      </w:r>
    </w:p>
    <w:p>
      <w:pPr>
        <w:pStyle w:val="Heading3"/>
      </w:pPr>
      <w:r>
        <w:t>Package layout</w:t>
      </w:r>
    </w:p>
    <w:p>
      <w:pPr>
        <w:shd w:fill="F2F2F2"/>
      </w:pPr>
      <w:r>
        <w:rPr>
          <w:rFonts w:ascii="Consolas" w:hAnsi="Consolas"/>
          <w:sz w:val="18"/>
        </w:rPr>
        <w:t>com.erp</w:t>
        <w:br/>
        <w:t>├── api/                      REST controllers — flat, one per resource</w:t>
        <w:br/>
        <w:t>│                             (e.g. SalesInvoiceController, JournalController)</w:t>
        <w:br/>
        <w:t>├── platform/                 cross-cutting infrastructure (every module may depend on it)</w:t>
        <w:br/>
        <w:t>│   ├── common/               ApiResponse&lt;T&gt;, ResponseBodyAdvice wrapper, UidEntity,</w:t>
        <w:br/>
        <w:t>│   │                         ULID generator, Money embeddable, error model, validation</w:t>
        <w:br/>
        <w:t>│   ├── security/             JWT issue/verify, RequestContext filter, @perm (PermissionResolver),</w:t>
        <w:br/>
        <w:t>│   │                         ScopeGuard (uid → scope resolution), branch-override validation</w:t>
        <w:br/>
        <w:t>│   ├── iam/ · company/       AppUser/Role/Permission · Organisation/Company/Branch</w:t>
        <w:br/>
        <w:t>│   ├── sequence/             document numbering (code_sequence, row-locked allocation)</w:t>
        <w:br/>
        <w:t>│   ├── events/               transactional outbox: domain_events + @Scheduled dispatcher</w:t>
        <w:br/>
        <w:t>│   ├── audit/                audit aspect → audit_log (append-only)</w:t>
        <w:br/>
        <w:t>│   └── ...</w:t>
        <w:br/>
        <w:t>└── modules/</w:t>
        <w:br/>
        <w:t xml:space="preserve">    └── &lt;name&gt;/               one package per business area</w:t>
        <w:br/>
        <w:t xml:space="preserve">        ├── domain/</w:t>
        <w:br/>
        <w:t xml:space="preserve">        │   ├── entity/       JPA entities (extend the UidEntity shape)</w:t>
        <w:br/>
        <w:t xml:space="preserve">        │   ├── dto/          *Dto records — the only cross-module surface</w:t>
        <w:br/>
        <w:t xml:space="preserve">        │   ├── enums/        domain enums</w:t>
        <w:br/>
        <w:t xml:space="preserve">        │   └── event/        outbox event payloads</w:t>
        <w:br/>
        <w:t xml:space="preserve">        ├── service/          interface Xxx + class XxxImpl; @Transactional at public methods</w:t>
        <w:br/>
        <w:t xml:space="preserve">        └── repository/       Spring Data; one aggregate per repository; findByUid + scoped finders</w:t>
      </w:r>
    </w:p>
    <w:p>
      <w:pPr>
        <w:pStyle w:val="Heading3"/>
      </w:pPr>
      <w:r>
        <w:t>Layering (ArchUnit-enforced)</w:t>
      </w:r>
    </w:p>
    <w:p>
      <w:r>
        <w:t>The layering inside any module is strict, top to bottom (</w:t>
      </w:r>
      <w:r>
        <w:rPr>
          <w:rFonts w:ascii="Consolas" w:hAnsi="Consolas"/>
          <w:color w:val="B03060"/>
          <w:sz w:val="19"/>
        </w:rPr>
        <w:t>PROJECT-CONVENTIONS.md</w:t>
      </w:r>
      <w:r>
        <w:t xml:space="preserve"> §2):</w:t>
      </w:r>
    </w:p>
    <w:p>
      <w:pPr>
        <w:pStyle w:val="ListNumber"/>
      </w:pPr>
      <w:r>
        <w:rPr>
          <w:b/>
        </w:rPr>
        <w:t>Controller</w:t>
      </w:r>
      <w:r>
        <w:t xml:space="preserve"> (</w:t>
      </w:r>
      <w:r>
        <w:rPr>
          <w:rFonts w:ascii="Consolas" w:hAnsi="Consolas"/>
          <w:color w:val="B03060"/>
          <w:sz w:val="19"/>
        </w:rPr>
        <w:t>com.erp.api</w:t>
      </w:r>
      <w:r>
        <w:t>) — HTTP only: validate request DTOs (</w:t>
      </w:r>
      <w:r>
        <w:rPr>
          <w:rFonts w:ascii="Consolas" w:hAnsi="Consolas"/>
          <w:color w:val="B03060"/>
          <w:sz w:val="19"/>
        </w:rPr>
        <w:t>@Valid</w:t>
      </w:r>
      <w:r>
        <w:t xml:space="preserve">), gate with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, call a service, return the raw </w:t>
      </w:r>
      <w:r>
        <w:rPr>
          <w:rFonts w:ascii="Consolas" w:hAnsi="Consolas"/>
          <w:color w:val="B03060"/>
          <w:sz w:val="19"/>
        </w:rPr>
        <w:t>T</w:t>
      </w:r>
      <w:r>
        <w:t xml:space="preserve">. No business logic, </w:t>
      </w:r>
      <w:r>
        <w:rPr>
          <w:b/>
        </w:rPr>
        <w:t>no repository access</w:t>
      </w:r>
      <w:r>
        <w:t>.</w:t>
      </w:r>
    </w:p>
    <w:p>
      <w:pPr>
        <w:pStyle w:val="ListNumber"/>
      </w:pPr>
      <w:r>
        <w:rPr>
          <w:b/>
        </w:rPr>
        <w:t>Service</w:t>
      </w:r>
      <w:r>
        <w:t xml:space="preserve"> (</w:t>
      </w:r>
      <w:r>
        <w:rPr>
          <w:rFonts w:ascii="Consolas" w:hAnsi="Consolas"/>
          <w:color w:val="B03060"/>
          <w:sz w:val="19"/>
        </w:rPr>
        <w:t>&lt;module&gt;.service</w:t>
      </w:r>
      <w:r>
        <w:t xml:space="preserve">) — </w:t>
      </w:r>
      <w:r>
        <w:rPr>
          <w:rFonts w:ascii="Consolas" w:hAnsi="Consolas"/>
          <w:color w:val="B03060"/>
          <w:sz w:val="19"/>
        </w:rPr>
        <w:t>interface Xxx</w:t>
      </w:r>
      <w:r>
        <w:t xml:space="preserve"> + </w:t>
      </w:r>
      <w:r>
        <w:rPr>
          <w:rFonts w:ascii="Consolas" w:hAnsi="Consolas"/>
          <w:color w:val="B03060"/>
          <w:sz w:val="19"/>
        </w:rPr>
        <w:t>class XxxImpl</w:t>
      </w:r>
      <w:r>
        <w:t xml:space="preserve">, </w:t>
      </w:r>
      <w:r>
        <w:rPr>
          <w:rFonts w:ascii="Consolas" w:hAnsi="Consolas"/>
          <w:color w:val="B03060"/>
          <w:sz w:val="19"/>
        </w:rPr>
        <w:t>@Transactional</w:t>
      </w:r>
      <w:r>
        <w:t xml:space="preserve"> at public methods. Owns the invariants and the state transitions.</w:t>
      </w:r>
    </w:p>
    <w:p>
      <w:pPr>
        <w:pStyle w:val="ListNumber"/>
      </w:pPr>
      <w:r>
        <w:rPr>
          <w:b/>
        </w:rPr>
        <w:t>Repository</w:t>
      </w:r>
      <w:r>
        <w:t xml:space="preserve"> (</w:t>
      </w:r>
      <w:r>
        <w:rPr>
          <w:rFonts w:ascii="Consolas" w:hAnsi="Consolas"/>
          <w:color w:val="B03060"/>
          <w:sz w:val="19"/>
        </w:rPr>
        <w:t>&lt;module&gt;.repository</w:t>
      </w:r>
      <w:r>
        <w:t xml:space="preserve">) — Spring Data, one aggregate per repository. </w:t>
      </w:r>
      <w:r>
        <w:rPr>
          <w:rFonts w:ascii="Consolas" w:hAnsi="Consolas"/>
          <w:color w:val="B03060"/>
          <w:sz w:val="19"/>
        </w:rPr>
        <w:t>Optional&lt;X&gt; findByUid(String)</w:t>
      </w:r>
      <w:r>
        <w:t xml:space="preserve"> plus scoped finders. The repository base interface injects the tenant predicate.</w:t>
      </w:r>
    </w:p>
    <w:p>
      <w:pPr>
        <w:pStyle w:val="ListNumber"/>
      </w:pPr>
      <w:r>
        <w:rPr>
          <w:b/>
        </w:rPr>
        <w:t>Domain</w:t>
      </w:r>
      <w:r>
        <w:t xml:space="preserve"> (</w:t>
      </w:r>
      <w:r>
        <w:rPr>
          <w:rFonts w:ascii="Consolas" w:hAnsi="Consolas"/>
          <w:color w:val="B03060"/>
          <w:sz w:val="19"/>
        </w:rPr>
        <w:t>&lt;module&gt;.domain</w:t>
      </w:r>
      <w:r>
        <w:t>) — entities, DTOs, enums, event payloads.</w:t>
      </w:r>
    </w:p>
    <w:p>
      <w:r>
        <w:rPr>
          <w:rFonts w:ascii="Consolas" w:hAnsi="Consolas"/>
          <w:color w:val="B03060"/>
          <w:sz w:val="19"/>
        </w:rPr>
        <w:t>ModuleBoundaryTest</w:t>
      </w:r>
      <w:r>
        <w:t xml:space="preserve"> fails the build on two violations: a controller touching a repository, and a module importing another module's entity or service. The only cross-module surfaces are </w:t>
      </w:r>
      <w:r>
        <w:rPr>
          <w:rFonts w:ascii="Consolas" w:hAnsi="Consolas"/>
          <w:color w:val="B03060"/>
          <w:sz w:val="19"/>
        </w:rPr>
        <w:t>..domain.dto..</w:t>
      </w:r>
      <w:r>
        <w:t xml:space="preserve"> / </w:t>
      </w:r>
      <w:r>
        <w:rPr>
          <w:rFonts w:ascii="Consolas" w:hAnsi="Consolas"/>
          <w:color w:val="B03060"/>
          <w:sz w:val="19"/>
        </w:rPr>
        <w:t>..domain.enums..</w:t>
      </w:r>
      <w:r>
        <w:t xml:space="preserve"> and the outbox. The platform packages (</w:t>
      </w:r>
      <w:r>
        <w:rPr>
          <w:rFonts w:ascii="Consolas" w:hAnsi="Consolas"/>
          <w:color w:val="B03060"/>
          <w:sz w:val="19"/>
        </w:rPr>
        <w:t>security</w:t>
      </w:r>
      <w:r>
        <w:t xml:space="preserve">, </w:t>
      </w:r>
      <w:r>
        <w:rPr>
          <w:rFonts w:ascii="Consolas" w:hAnsi="Consolas"/>
          <w:color w:val="B03060"/>
          <w:sz w:val="19"/>
        </w:rPr>
        <w:t>events</w:t>
      </w:r>
      <w:r>
        <w:t xml:space="preserve">, </w:t>
      </w:r>
      <w:r>
        <w:rPr>
          <w:rFonts w:ascii="Consolas" w:hAnsi="Consolas"/>
          <w:color w:val="B03060"/>
          <w:sz w:val="19"/>
        </w:rPr>
        <w:t>audit</w:t>
      </w:r>
      <w:r>
        <w:t xml:space="preserve">, </w:t>
      </w:r>
      <w:r>
        <w:rPr>
          <w:rFonts w:ascii="Consolas" w:hAnsi="Consolas"/>
          <w:color w:val="B03060"/>
          <w:sz w:val="19"/>
        </w:rPr>
        <w:t>common</w:t>
      </w:r>
      <w:r>
        <w:t>, …) are on the allow-list — modules depend on them, never the reverse (ADR-0009 D-1).</w:t>
      </w:r>
    </w:p>
    <w:p>
      <w:pPr>
        <w:pStyle w:val="Heading2"/>
      </w:pPr>
      <w:r>
        <w:t>2. The request lifecycle</w:t>
      </w:r>
    </w:p>
    <w:p>
      <w:r>
        <w:t>A typical authenticated write request flows like this:</w:t>
      </w:r>
    </w:p>
    <w:p>
      <w:pPr>
        <w:pStyle w:val="ListNumber"/>
      </w:pPr>
      <w:r>
        <w:rPr>
          <w:b/>
        </w:rPr>
        <w:t>Web client</w:t>
      </w:r>
      <w:r>
        <w:t xml:space="preserve"> sends the request over HTTPS with </w:t>
      </w:r>
      <w:r>
        <w:rPr>
          <w:rFonts w:ascii="Consolas" w:hAnsi="Consolas"/>
          <w:color w:val="B03060"/>
          <w:sz w:val="19"/>
        </w:rPr>
        <w:t>Authorization: Bearer &lt;JWT&gt;</w:t>
      </w:r>
      <w:r>
        <w:t xml:space="preserve"> and, when the user has switched branch, an </w:t>
      </w:r>
      <w:r>
        <w:rPr>
          <w:rFonts w:ascii="Consolas" w:hAnsi="Consolas"/>
          <w:color w:val="B03060"/>
          <w:sz w:val="19"/>
        </w:rPr>
        <w:t>X-Branch-Uid</w:t>
      </w:r>
      <w:r>
        <w:t xml:space="preserve"> header. An Angular HTTP interceptor will later unwrap the </w:t>
      </w:r>
      <w:r>
        <w:rPr>
          <w:rFonts w:ascii="Consolas" w:hAnsi="Consolas"/>
          <w:color w:val="B03060"/>
          <w:sz w:val="19"/>
        </w:rPr>
        <w:t>ApiResponse&lt;T&gt;</w:t>
      </w:r>
      <w:r>
        <w:t xml:space="preserve"> envelope before the calling service sees it.</w:t>
      </w:r>
    </w:p>
    <w:p>
      <w:pPr>
        <w:pStyle w:val="ListNumber"/>
      </w:pPr>
      <w:r>
        <w:rPr>
          <w:b/>
        </w:rPr>
        <w:t>Security filter chain</w:t>
      </w:r>
      <w:r>
        <w:t xml:space="preserve"> validates the RS256 JWT (Spring Security OAuth2 resource server). A request-scoped </w:t>
      </w:r>
      <w:r>
        <w:rPr>
          <w:b/>
        </w:rPr>
        <w:t>`RequestContext`</w:t>
      </w:r>
      <w:r>
        <w:t xml:space="preserve"> is built from the JWT (user, active company, default branch, </w:t>
      </w:r>
      <w:r>
        <w:rPr>
          <w:rFonts w:ascii="Consolas" w:hAnsi="Consolas"/>
          <w:color w:val="B03060"/>
          <w:sz w:val="19"/>
        </w:rPr>
        <w:t>isRoot</w:t>
      </w:r>
      <w:r>
        <w:t xml:space="preserve">) plus the optional </w:t>
      </w:r>
      <w:r>
        <w:rPr>
          <w:rFonts w:ascii="Consolas" w:hAnsi="Consolas"/>
          <w:color w:val="B03060"/>
          <w:sz w:val="19"/>
        </w:rPr>
        <w:t>X-Branch-Uid</w:t>
      </w:r>
      <w:r>
        <w:t xml:space="preserve">. If the header is present, the filter verifies the branch is in the caller's active </w:t>
      </w:r>
      <w:r>
        <w:rPr>
          <w:rFonts w:ascii="Consolas" w:hAnsi="Consolas"/>
          <w:color w:val="B03060"/>
          <w:sz w:val="19"/>
        </w:rPr>
        <w:t>user_branch</w:t>
      </w:r>
      <w:r>
        <w:t xml:space="preserve"> assignments (else 403); the active company becomes that branch's company. Branch switching is context-only — no DB write, no re-login (ADR-0003).</w:t>
      </w:r>
    </w:p>
    <w:p>
      <w:pPr>
        <w:pStyle w:val="ListNumber"/>
      </w:pPr>
      <w:r>
        <w:rPr>
          <w:b/>
        </w:rPr>
        <w:t>Controller</w:t>
      </w:r>
      <w:r>
        <w:t xml:space="preserve"> (</w:t>
      </w:r>
      <w:r>
        <w:rPr>
          <w:rFonts w:ascii="Consolas" w:hAnsi="Consolas"/>
          <w:color w:val="B03060"/>
          <w:sz w:val="19"/>
        </w:rPr>
        <w:t>com.erp.api</w:t>
      </w:r>
      <w:r>
        <w:t xml:space="preserve">) receives the request. </w:t>
      </w:r>
      <w:r>
        <w:rPr>
          <w:rFonts w:ascii="Consolas" w:hAnsi="Consolas"/>
          <w:color w:val="B03060"/>
          <w:sz w:val="19"/>
        </w:rPr>
        <w:t>@Valid</w:t>
      </w:r>
      <w:r>
        <w:t xml:space="preserve"> validates the request DTO.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evaluates a permission expression — </w:t>
      </w:r>
      <w:r>
        <w:rPr>
          <w:rFonts w:ascii="Consolas" w:hAnsi="Consolas"/>
          <w:color w:val="B03060"/>
          <w:sz w:val="19"/>
        </w:rPr>
        <w:t>@perm.has('SALES.INVOICE.VIEW')</w:t>
      </w:r>
      <w:r>
        <w:t xml:space="preserve"> for a flat permission, or </w:t>
      </w:r>
      <w:r>
        <w:rPr>
          <w:rFonts w:ascii="Consolas" w:hAnsi="Consolas"/>
          <w:color w:val="B03060"/>
          <w:sz w:val="19"/>
        </w:rPr>
        <w:t>@perm.scoped(#uid, 'invoice', 'SALES.INVOICE.CREATE')</w:t>
      </w:r>
      <w:r>
        <w:t xml:space="preserve"> when the permission must be checked against the scope (company/branch) that the target </w:t>
      </w:r>
      <w:r>
        <w:rPr>
          <w:rFonts w:ascii="Consolas" w:hAnsi="Consolas"/>
          <w:color w:val="B03060"/>
          <w:sz w:val="19"/>
        </w:rPr>
        <w:t>uid</w:t>
      </w:r>
      <w:r>
        <w:t xml:space="preserve"> resolves to. </w:t>
      </w:r>
      <w:r>
        <w:rPr>
          <w:rFonts w:ascii="Consolas" w:hAnsi="Consolas"/>
          <w:color w:val="B03060"/>
          <w:sz w:val="19"/>
        </w:rPr>
        <w:t>ScopeGuard</w:t>
      </w:r>
      <w:r>
        <w:t xml:space="preserve"> maps the </w:t>
      </w:r>
      <w:r>
        <w:rPr>
          <w:rFonts w:ascii="Consolas" w:hAnsi="Consolas"/>
          <w:color w:val="B03060"/>
          <w:sz w:val="19"/>
        </w:rPr>
        <w:t>uid</w:t>
      </w:r>
      <w:r>
        <w:t xml:space="preserve"> and its kind (</w:t>
      </w:r>
      <w:r>
        <w:rPr>
          <w:rFonts w:ascii="Consolas" w:hAnsi="Consolas"/>
          <w:color w:val="B03060"/>
          <w:sz w:val="19"/>
        </w:rPr>
        <w:t>invoice</w:t>
      </w:r>
      <w:r>
        <w:t xml:space="preserve">, </w:t>
      </w:r>
      <w:r>
        <w:rPr>
          <w:rFonts w:ascii="Consolas" w:hAnsi="Consolas"/>
          <w:color w:val="B03060"/>
          <w:sz w:val="19"/>
        </w:rPr>
        <w:t>account</w:t>
      </w:r>
      <w:r>
        <w:t xml:space="preserve">, </w:t>
      </w:r>
      <w:r>
        <w:rPr>
          <w:rFonts w:ascii="Consolas" w:hAnsi="Consolas"/>
          <w:color w:val="B03060"/>
          <w:sz w:val="19"/>
        </w:rPr>
        <w:t>company</w:t>
      </w:r>
      <w:r>
        <w:t xml:space="preserve">, …) to a company/branch and asserts the caller may act there. </w:t>
      </w:r>
      <w:r>
        <w:rPr>
          <w:rFonts w:ascii="Consolas" w:hAnsi="Consolas"/>
          <w:color w:val="B03060"/>
          <w:sz w:val="19"/>
        </w:rPr>
        <w:t>isRoot</w:t>
      </w:r>
      <w:r>
        <w:t xml:space="preserve"> short-circuits to allowed, always audited.</w:t>
      </w:r>
    </w:p>
    <w:p>
      <w:pPr>
        <w:pStyle w:val="ListNumber"/>
      </w:pPr>
      <w:r>
        <w:rPr>
          <w:b/>
        </w:rPr>
        <w:t>Service</w:t>
      </w:r>
      <w:r>
        <w:t xml:space="preserve"> runs inside a </w:t>
      </w:r>
      <w:r>
        <w:rPr>
          <w:rFonts w:ascii="Consolas" w:hAnsi="Consolas"/>
          <w:color w:val="B03060"/>
          <w:sz w:val="19"/>
        </w:rPr>
        <w:t>@Transactional</w:t>
      </w:r>
      <w:r>
        <w:t xml:space="preserve"> boundary. It loads aggregates through repositories, enforces invariants, mutates state, and — for cross-module side effects — calls </w:t>
      </w:r>
      <w:r>
        <w:rPr>
          <w:rFonts w:ascii="Consolas" w:hAnsi="Consolas"/>
          <w:color w:val="B03060"/>
          <w:sz w:val="19"/>
        </w:rPr>
        <w:t>OutboxPublisher.publish(...)</w:t>
      </w:r>
      <w:r>
        <w:t xml:space="preserve"> </w:t>
      </w:r>
      <w:r>
        <w:rPr>
          <w:b/>
        </w:rPr>
        <w:t>inside the same transaction</w:t>
      </w:r>
      <w:r>
        <w:t>.</w:t>
      </w:r>
    </w:p>
    <w:p>
      <w:pPr>
        <w:pStyle w:val="ListNumber"/>
      </w:pPr>
      <w:r>
        <w:rPr>
          <w:b/>
        </w:rPr>
        <w:t>Repository</w:t>
      </w:r>
      <w:r>
        <w:t xml:space="preserve"> issues the query. The base interface injects the </w:t>
      </w:r>
      <w:r>
        <w:rPr>
          <w:rFonts w:ascii="Consolas" w:hAnsi="Consolas"/>
          <w:color w:val="B03060"/>
          <w:sz w:val="19"/>
        </w:rPr>
        <w:t>company_id</w:t>
      </w:r>
      <w:r>
        <w:t>/</w:t>
      </w:r>
      <w:r>
        <w:rPr>
          <w:rFonts w:ascii="Consolas" w:hAnsi="Consolas"/>
          <w:color w:val="B03060"/>
          <w:sz w:val="19"/>
        </w:rPr>
        <w:t>branch_id</w:t>
      </w:r>
      <w:r>
        <w:t xml:space="preserve"> predicate from </w:t>
      </w:r>
      <w:r>
        <w:rPr>
          <w:rFonts w:ascii="Consolas" w:hAnsi="Consolas"/>
          <w:color w:val="B03060"/>
          <w:sz w:val="19"/>
        </w:rPr>
        <w:t>RequestContext</w:t>
      </w:r>
      <w:r>
        <w:t>, so a finder cannot accidentally read another tenant's rows.</w:t>
      </w:r>
    </w:p>
    <w:p>
      <w:pPr>
        <w:pStyle w:val="ListNumber"/>
      </w:pPr>
      <w:r>
        <w:rPr>
          <w:b/>
        </w:rPr>
        <w:t>Response</w:t>
      </w:r>
      <w:r>
        <w:t xml:space="preserve"> — the controller returns the raw </w:t>
      </w:r>
      <w:r>
        <w:rPr>
          <w:rFonts w:ascii="Consolas" w:hAnsi="Consolas"/>
          <w:color w:val="B03060"/>
          <w:sz w:val="19"/>
        </w:rPr>
        <w:t>T</w:t>
      </w:r>
      <w:r>
        <w:t xml:space="preserve">; a </w:t>
      </w:r>
      <w:r>
        <w:rPr>
          <w:rFonts w:ascii="Consolas" w:hAnsi="Consolas"/>
          <w:color w:val="B03060"/>
          <w:sz w:val="19"/>
        </w:rPr>
        <w:t>ResponseBodyAdvice</w:t>
      </w:r>
      <w:r>
        <w:t xml:space="preserve"> wraps it in </w:t>
      </w:r>
      <w:r>
        <w:rPr>
          <w:rFonts w:ascii="Consolas" w:hAnsi="Consolas"/>
          <w:color w:val="B03060"/>
          <w:sz w:val="19"/>
        </w:rPr>
        <w:t>ApiResponse&lt;T&gt;</w:t>
      </w:r>
      <w:r>
        <w:t xml:space="preserve"> (</w:t>
      </w:r>
      <w:r>
        <w:rPr>
          <w:rFonts w:ascii="Consolas" w:hAnsi="Consolas"/>
          <w:color w:val="B03060"/>
          <w:sz w:val="19"/>
        </w:rPr>
        <w:t>data</w:t>
      </w:r>
      <w:r>
        <w:t xml:space="preserve">, </w:t>
      </w:r>
      <w:r>
        <w:rPr>
          <w:rFonts w:ascii="Consolas" w:hAnsi="Consolas"/>
          <w:color w:val="B03060"/>
          <w:sz w:val="19"/>
        </w:rPr>
        <w:t>errors[]</w:t>
      </w:r>
      <w:r>
        <w:t>, meta). Errors are user-safe strings; internal exception text is never leaked.</w:t>
      </w:r>
    </w:p>
    <w:p>
      <w:r>
        <w:t xml:space="preserve">Identity discipline runs through the whole path: URLs address by </w:t>
      </w:r>
      <w:r>
        <w:rPr>
          <w:rFonts w:ascii="Consolas" w:hAnsi="Consolas"/>
          <w:color w:val="B03060"/>
          <w:sz w:val="19"/>
        </w:rPr>
        <w:t>uid</w:t>
      </w:r>
      <w:r>
        <w:t xml:space="preserve">, request/response DTOs carry both </w:t>
      </w:r>
      <w:r>
        <w:rPr>
          <w:rFonts w:ascii="Consolas" w:hAnsi="Consolas"/>
          <w:color w:val="B03060"/>
          <w:sz w:val="19"/>
        </w:rPr>
        <w:t>id</w:t>
      </w:r>
      <w:r>
        <w:t xml:space="preserve"> and </w:t>
      </w:r>
      <w:r>
        <w:rPr>
          <w:rFonts w:ascii="Consolas" w:hAnsi="Consolas"/>
          <w:color w:val="B03060"/>
          <w:sz w:val="19"/>
        </w:rPr>
        <w:t>uid</w:t>
      </w:r>
      <w:r>
        <w:t xml:space="preserve">, and all </w:t>
      </w:r>
      <w:r>
        <w:rPr>
          <w:rFonts w:ascii="Consolas" w:hAnsi="Consolas"/>
          <w:color w:val="B03060"/>
          <w:sz w:val="19"/>
        </w:rPr>
        <w:t>Long</w:t>
      </w:r>
      <w:r>
        <w:t xml:space="preserve"> ids serialise as JSON strings so 64-bit values survive JavaScript (</w:t>
      </w:r>
      <w:r>
        <w:rPr>
          <w:rFonts w:ascii="Consolas" w:hAnsi="Consolas"/>
          <w:color w:val="B03060"/>
          <w:sz w:val="19"/>
        </w:rPr>
        <w:t>PROJECT-CONVENTIONS.md</w:t>
      </w:r>
      <w:r>
        <w:t xml:space="preserve"> §3.3).</w:t>
      </w:r>
    </w:p>
    <w:p>
      <w:pPr>
        <w:pStyle w:val="Heading2"/>
      </w:pPr>
      <w:r>
        <w:t>3. Authentication &amp; authorization</w:t>
      </w:r>
    </w:p>
    <w:p>
      <w:pPr>
        <w:pStyle w:val="ListBullet"/>
      </w:pPr>
      <w:r>
        <w:rPr>
          <w:b/>
        </w:rPr>
        <w:t>Login</w:t>
      </w:r>
      <w:r>
        <w:t xml:space="preserve"> (</w:t>
      </w:r>
      <w:r>
        <w:rPr>
          <w:rFonts w:ascii="Consolas" w:hAnsi="Consolas"/>
          <w:color w:val="B03060"/>
          <w:sz w:val="19"/>
        </w:rPr>
        <w:t>POST /api/v1/auth/login</w:t>
      </w:r>
      <w:r>
        <w:t xml:space="preserve">) verifies username + bcrypt password (cost ≥ 12) and issues an </w:t>
      </w:r>
      <w:r>
        <w:rPr>
          <w:b/>
        </w:rPr>
        <w:t>access JWT (RS256, short-lived)</w:t>
      </w:r>
      <w:r>
        <w:t xml:space="preserve"> carrying the user id, username, active company/branch (the user's default), and </w:t>
      </w:r>
      <w:r>
        <w:rPr>
          <w:rFonts w:ascii="Consolas" w:hAnsi="Consolas"/>
          <w:color w:val="B03060"/>
          <w:sz w:val="19"/>
        </w:rPr>
        <w:t>isRoot</w:t>
      </w:r>
      <w:r>
        <w:t xml:space="preserve">, plus a </w:t>
      </w:r>
      <w:r>
        <w:rPr>
          <w:b/>
        </w:rPr>
        <w:t>refresh token</w:t>
      </w:r>
      <w:r>
        <w:t xml:space="preserve"> stored as a SHA-256 hash, single-use and rotated (ADR-0001, ARCHITECTURE.md §4). Failed logins increment a counter; at the threshold the account is locked for a window.</w:t>
      </w:r>
    </w:p>
    <w:p>
      <w:pPr>
        <w:pStyle w:val="ListBullet"/>
      </w:pPr>
      <w:r>
        <w:rPr>
          <w:b/>
        </w:rPr>
        <w:t>Default context</w:t>
      </w:r>
      <w:r>
        <w:t xml:space="preserve"> at login is the user's default branch (</w:t>
      </w:r>
      <w:r>
        <w:rPr>
          <w:rFonts w:ascii="Consolas" w:hAnsi="Consolas"/>
          <w:color w:val="B03060"/>
          <w:sz w:val="19"/>
        </w:rPr>
        <w:t>user_branch.is_default</w:t>
      </w:r>
      <w:r>
        <w:t>) and its company.</w:t>
      </w:r>
    </w:p>
    <w:p>
      <w:pPr>
        <w:pStyle w:val="ListBullet"/>
      </w:pPr>
      <w:r>
        <w:rPr>
          <w:b/>
        </w:rPr>
        <w:t>Refresh</w:t>
      </w:r>
      <w:r>
        <w:t xml:space="preserve"> (</w:t>
      </w:r>
      <w:r>
        <w:rPr>
          <w:rFonts w:ascii="Consolas" w:hAnsi="Consolas"/>
          <w:color w:val="B03060"/>
          <w:sz w:val="19"/>
        </w:rPr>
        <w:t>POST /api/v1/auth/refresh</w:t>
      </w:r>
      <w:r>
        <w:t>) looks the token up by hash; a presented token already rotated/revoked is treated as reuse and the whole chain is revoked.</w:t>
      </w:r>
    </w:p>
    <w:p>
      <w:pPr>
        <w:pStyle w:val="ListBullet"/>
      </w:pPr>
      <w:r>
        <w:rPr>
          <w:b/>
        </w:rPr>
        <w:t>Authorization</w:t>
      </w:r>
      <w:r>
        <w:t xml:space="preserve"> is by </w:t>
      </w:r>
      <w:r>
        <w:rPr>
          <w:b/>
        </w:rPr>
        <w:t>permission code</w:t>
      </w:r>
      <w:r>
        <w:t xml:space="preserve">, never role name. The </w:t>
      </w:r>
      <w:r>
        <w:rPr>
          <w:rFonts w:ascii="Consolas" w:hAnsi="Consolas"/>
          <w:color w:val="B03060"/>
          <w:sz w:val="19"/>
        </w:rPr>
        <w:t>@perm</w:t>
      </w:r>
      <w:r>
        <w:t xml:space="preserve"> bean computes the effective permissions for the active (user, company, branch) from </w:t>
      </w:r>
      <w:r>
        <w:rPr>
          <w:rFonts w:ascii="Consolas" w:hAnsi="Consolas"/>
          <w:color w:val="B03060"/>
          <w:sz w:val="19"/>
        </w:rPr>
        <w:t>user_role</w:t>
      </w:r>
      <w:r>
        <w:t xml:space="preserve"> + </w:t>
      </w:r>
      <w:r>
        <w:rPr>
          <w:rFonts w:ascii="Consolas" w:hAnsi="Consolas"/>
          <w:color w:val="B03060"/>
          <w:sz w:val="19"/>
        </w:rPr>
        <w:t>role_permission</w:t>
      </w:r>
      <w:r>
        <w:t xml:space="preserve">, cached briefly per scope. </w:t>
      </w:r>
      <w:r>
        <w:rPr>
          <w:rFonts w:ascii="Consolas" w:hAnsi="Consolas"/>
          <w:color w:val="B03060"/>
          <w:sz w:val="19"/>
        </w:rPr>
        <w:t>isRoot</w:t>
      </w:r>
      <w:r>
        <w:t xml:space="preserve"> bypasses scoping but is always audited (ADR-0002).</w:t>
      </w:r>
    </w:p>
    <w:p>
      <w:pPr>
        <w:pStyle w:val="Heading2"/>
      </w:pPr>
      <w:r>
        <w:t>4. Multi-company / multi-branch</w:t>
      </w:r>
    </w:p>
    <w:p>
      <w:r>
        <w:t xml:space="preserve">The tenant tree is </w:t>
      </w:r>
      <w:r>
        <w:rPr>
          <w:b/>
        </w:rPr>
        <w:t>Organisation → Company → Branch</w:t>
      </w:r>
      <w:r>
        <w:t xml:space="preserve"> (</w:t>
      </w:r>
      <w:r>
        <w:rPr>
          <w:rFonts w:ascii="Consolas" w:hAnsi="Consolas"/>
          <w:color w:val="B03060"/>
          <w:sz w:val="19"/>
        </w:rPr>
        <w:t>DATA-MODEL.md</w:t>
      </w:r>
      <w:r>
        <w:t xml:space="preserve">, ADR-0001). Books are kept at </w:t>
      </w:r>
      <w:r>
        <w:rPr>
          <w:b/>
        </w:rPr>
        <w:t>company</w:t>
      </w:r>
      <w:r>
        <w:t xml:space="preserve"> level; branch is the operating unit for stock and a business day, and an analysis tag on financial postings.</w:t>
      </w:r>
    </w:p>
    <w:p>
      <w:pPr>
        <w:pStyle w:val="ListBullet"/>
      </w:pPr>
      <w:r>
        <w:t xml:space="preserve">Every transactional table carries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; tables that cross a branch boundary also carry </w:t>
      </w:r>
      <w:r>
        <w:rPr>
          <w:rFonts w:ascii="Consolas" w:hAnsi="Consolas"/>
          <w:color w:val="B03060"/>
          <w:sz w:val="19"/>
        </w:rPr>
        <w:t>branch_id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RequestContext</w:t>
      </w:r>
      <w:r>
        <w:t xml:space="preserve"> (request-scoped) holds the active company/branch. The branch-override header (</w:t>
      </w:r>
      <w:r>
        <w:rPr>
          <w:rFonts w:ascii="Consolas" w:hAnsi="Consolas"/>
          <w:color w:val="B03060"/>
          <w:sz w:val="19"/>
        </w:rPr>
        <w:t>X-Branch-Uid</w:t>
      </w:r>
      <w:r>
        <w:t>) switches branch within the caller's assignments without a re-login (ADR-0003).</w:t>
      </w:r>
    </w:p>
    <w:p>
      <w:pPr>
        <w:pStyle w:val="ListBullet"/>
      </w:pPr>
      <w:r>
        <w:t>Repository base interfaces inject the tenant predicate. A finder that bypasses the base interface is a tenant-isolation bug. IAM admin tables are exempt from the blanket predicate (administration is cross-branch); isolation there is by permission + explicit scope checks (ADR-0001 D-A).</w:t>
      </w:r>
    </w:p>
    <w:p>
      <w:pPr>
        <w:pStyle w:val="ListBullet"/>
      </w:pPr>
      <w:r>
        <w:t xml:space="preserve">The scope-company for any guarded operation is derived from the </w:t>
      </w:r>
      <w:r>
        <w:rPr>
          <w:b/>
        </w:rPr>
        <w:t>loaded entity</w:t>
      </w:r>
      <w:r>
        <w:t xml:space="preserve">, never from a caller-supplied parameter, and the same guard applies to reads and writes — this closes the confused-deputy and missing-write-scope leak classes found in the 2026-06-26 audit (see Security §3.4). An ArchUnit </w:t>
      </w:r>
      <w:r>
        <w:rPr>
          <w:rFonts w:ascii="Consolas" w:hAnsi="Consolas"/>
          <w:color w:val="B03060"/>
          <w:sz w:val="19"/>
        </w:rPr>
        <w:t>FreezingArchRule</w:t>
      </w:r>
      <w:r>
        <w:t xml:space="preserve"> (</w:t>
      </w:r>
      <w:r>
        <w:rPr>
          <w:rFonts w:ascii="Consolas" w:hAnsi="Consolas"/>
          <w:color w:val="B03060"/>
          <w:sz w:val="19"/>
        </w:rPr>
        <w:t>TenantScopingRulesTest</w:t>
      </w:r>
      <w:r>
        <w:t xml:space="preserve">) bars new bare </w:t>
      </w:r>
      <w:r>
        <w:rPr>
          <w:rFonts w:ascii="Consolas" w:hAnsi="Consolas"/>
          <w:color w:val="B03060"/>
          <w:sz w:val="19"/>
        </w:rPr>
        <w:t>findById</w:t>
      </w:r>
      <w:r>
        <w:t>/</w:t>
      </w:r>
      <w:r>
        <w:rPr>
          <w:rFonts w:ascii="Consolas" w:hAnsi="Consolas"/>
          <w:color w:val="B03060"/>
          <w:sz w:val="19"/>
        </w:rPr>
        <w:t>getReferenceById</w:t>
      </w:r>
      <w:r>
        <w:t xml:space="preserve"> calls from service classes.</w:t>
      </w:r>
    </w:p>
    <w:p>
      <w:pPr>
        <w:pStyle w:val="Heading2"/>
      </w:pPr>
      <w:r>
        <w:t>5. The transactional outbox + domain-events pattern (ADR-0009)</w:t>
      </w:r>
    </w:p>
    <w:p>
      <w:r>
        <w:t xml:space="preserve">The outbox is the </w:t>
      </w:r>
      <w:r>
        <w:rPr>
          <w:b/>
        </w:rPr>
        <w:t>only</w:t>
      </w:r>
      <w:r>
        <w:t xml:space="preserve"> sanctioned channel for a cross-module side effect. It exists so that a business change in module A reliably causes an effect in module B </w:t>
      </w:r>
      <w:r>
        <w:rPr>
          <w:b/>
        </w:rPr>
        <w:t>without A calling into B</w:t>
      </w:r>
      <w:r>
        <w:t xml:space="preserve"> (which would break </w:t>
      </w:r>
      <w:r>
        <w:rPr>
          <w:rFonts w:ascii="Consolas" w:hAnsi="Consolas"/>
          <w:color w:val="B03060"/>
          <w:sz w:val="19"/>
        </w:rPr>
        <w:t>ModuleBoundaryTest</w:t>
      </w:r>
      <w:r>
        <w:t xml:space="preserve"> and couple their transactions), and </w:t>
      </w:r>
      <w:r>
        <w:rPr>
          <w:b/>
        </w:rPr>
        <w:t>without losing the event on a crash</w:t>
      </w:r>
      <w:r>
        <w:t xml:space="preserve"> (which an in-memory </w:t>
      </w:r>
      <w:r>
        <w:rPr>
          <w:rFonts w:ascii="Consolas" w:hAnsi="Consolas"/>
          <w:color w:val="B03060"/>
          <w:sz w:val="19"/>
        </w:rPr>
        <w:t>ApplicationEventPublisher</w:t>
      </w:r>
      <w:r>
        <w:t xml:space="preserve"> would).</w:t>
      </w:r>
    </w:p>
    <w:p>
      <w:pPr>
        <w:pStyle w:val="Heading3"/>
      </w:pPr>
      <w:r>
        <w:t>Mechanics</w:t>
      </w:r>
    </w:p>
    <w:p>
      <w:pPr>
        <w:pStyle w:val="ListBullet"/>
      </w:pPr>
      <w:r>
        <w:rPr>
          <w:b/>
        </w:rPr>
        <w:t>Producer.</w:t>
      </w:r>
      <w:r>
        <w:t xml:space="preserve"> Inside its own </w:t>
      </w:r>
      <w:r>
        <w:rPr>
          <w:rFonts w:ascii="Consolas" w:hAnsi="Consolas"/>
          <w:color w:val="B03060"/>
          <w:sz w:val="19"/>
        </w:rPr>
        <w:t>@Transactional</w:t>
      </w:r>
      <w:r>
        <w:t xml:space="preserve"> method, a producer calls </w:t>
      </w:r>
      <w:r>
        <w:rPr>
          <w:rFonts w:ascii="Consolas" w:hAnsi="Consolas"/>
          <w:color w:val="B03060"/>
          <w:sz w:val="19"/>
        </w:rPr>
        <w:t>OutboxPublisher.publish(eventType, aggregateType, aggregateId, aggregateUid, companyId, branchId, payload)</w:t>
      </w:r>
      <w:r>
        <w:t xml:space="preserve">. The implementation does a plain </w:t>
      </w:r>
      <w:r>
        <w:rPr>
          <w:rFonts w:ascii="Consolas" w:hAnsi="Consolas"/>
          <w:color w:val="B03060"/>
          <w:sz w:val="19"/>
        </w:rPr>
        <w:t>save</w:t>
      </w:r>
      <w:r>
        <w:t xml:space="preserve"> of a </w:t>
      </w:r>
      <w:r>
        <w:rPr>
          <w:rFonts w:ascii="Consolas" w:hAnsi="Consolas"/>
          <w:color w:val="B03060"/>
          <w:sz w:val="19"/>
        </w:rPr>
        <w:t>domain_events</w:t>
      </w:r>
      <w:r>
        <w:t xml:space="preserve"> row — </w:t>
      </w:r>
      <w:r>
        <w:rPr>
          <w:b/>
        </w:rPr>
        <w:t>no new transaction</w:t>
      </w:r>
      <w:r>
        <w:t xml:space="preserve"> — so the event row commits if and only if the business change commits. This same-TX guarantee is the heart of the pattern: </w:t>
      </w:r>
      <w:r>
        <w:rPr>
          <w:rFonts w:ascii="Consolas" w:hAnsi="Consolas"/>
          <w:color w:val="B03060"/>
          <w:sz w:val="19"/>
        </w:rPr>
        <w:t>publish</w:t>
      </w:r>
      <w:r>
        <w:t xml:space="preserve"> must never run in </w:t>
      </w:r>
      <w:r>
        <w:rPr>
          <w:rFonts w:ascii="Consolas" w:hAnsi="Consolas"/>
          <w:color w:val="B03060"/>
          <w:sz w:val="19"/>
        </w:rPr>
        <w:t>REQUIRES_NEW</w:t>
      </w:r>
      <w:r>
        <w:t xml:space="preserve"> (ADR-0009 D-3).</w:t>
      </w:r>
    </w:p>
    <w:p>
      <w:pPr>
        <w:pStyle w:val="ListBullet"/>
      </w:pPr>
      <w:r>
        <w:rPr>
          <w:b/>
        </w:rPr>
        <w:t>Table.</w:t>
      </w:r>
      <w:r>
        <w:t xml:space="preserve"> </w:t>
      </w:r>
      <w:r>
        <w:rPr>
          <w:rFonts w:ascii="Consolas" w:hAnsi="Consolas"/>
          <w:color w:val="B03060"/>
          <w:sz w:val="19"/>
        </w:rPr>
        <w:t>domain_events</w:t>
      </w:r>
      <w:r>
        <w:t xml:space="preserve"> is append-only: </w:t>
      </w:r>
      <w:r>
        <w:rPr>
          <w:rFonts w:ascii="Consolas" w:hAnsi="Consolas"/>
          <w:color w:val="B03060"/>
          <w:sz w:val="19"/>
        </w:rPr>
        <w:t>id</w:t>
      </w:r>
      <w:r>
        <w:t xml:space="preserve">, ULID </w:t>
      </w:r>
      <w:r>
        <w:rPr>
          <w:rFonts w:ascii="Consolas" w:hAnsi="Consolas"/>
          <w:color w:val="B03060"/>
          <w:sz w:val="19"/>
        </w:rPr>
        <w:t>uid</w:t>
      </w:r>
      <w:r>
        <w:t xml:space="preserve">, </w:t>
      </w:r>
      <w:r>
        <w:rPr>
          <w:rFonts w:ascii="Consolas" w:hAnsi="Consolas"/>
          <w:color w:val="B03060"/>
          <w:sz w:val="19"/>
        </w:rPr>
        <w:t>event_type</w:t>
      </w:r>
      <w:r>
        <w:t xml:space="preserve"> (</w:t>
      </w:r>
      <w:r>
        <w:rPr>
          <w:rFonts w:ascii="Consolas" w:hAnsi="Consolas"/>
          <w:color w:val="B03060"/>
          <w:sz w:val="19"/>
        </w:rPr>
        <w:t>MODULE.EVENT</w:t>
      </w:r>
      <w:r>
        <w:t xml:space="preserve">, e.g. 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), </w:t>
      </w:r>
      <w:r>
        <w:rPr>
          <w:rFonts w:ascii="Consolas" w:hAnsi="Consolas"/>
          <w:color w:val="B03060"/>
          <w:sz w:val="19"/>
        </w:rPr>
        <w:t>aggregate_type</w:t>
      </w:r>
      <w:r>
        <w:t>/</w:t>
      </w:r>
      <w:r>
        <w:rPr>
          <w:rFonts w:ascii="Consolas" w:hAnsi="Consolas"/>
          <w:color w:val="B03060"/>
          <w:sz w:val="19"/>
        </w:rPr>
        <w:t>aggregate_id</w:t>
      </w:r>
      <w:r>
        <w:t>/</w:t>
      </w:r>
      <w:r>
        <w:rPr>
          <w:rFonts w:ascii="Consolas" w:hAnsi="Consolas"/>
          <w:color w:val="B03060"/>
          <w:sz w:val="19"/>
        </w:rPr>
        <w:t>aggregate_uid</w:t>
      </w:r>
      <w:r>
        <w:t xml:space="preserve">,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 + nullable </w:t>
      </w:r>
      <w:r>
        <w:rPr>
          <w:rFonts w:ascii="Consolas" w:hAnsi="Consolas"/>
          <w:color w:val="B03060"/>
          <w:sz w:val="19"/>
        </w:rPr>
        <w:t>branch_id</w:t>
      </w:r>
      <w:r>
        <w:t xml:space="preserve"> (the originating tenant scope), a </w:t>
      </w:r>
      <w:r>
        <w:rPr>
          <w:rFonts w:ascii="Consolas" w:hAnsi="Consolas"/>
          <w:color w:val="B03060"/>
          <w:sz w:val="19"/>
        </w:rPr>
        <w:t>JSONB payload</w:t>
      </w:r>
      <w:r>
        <w:t xml:space="preserve">, </w:t>
      </w:r>
      <w:r>
        <w:rPr>
          <w:rFonts w:ascii="Consolas" w:hAnsi="Consolas"/>
          <w:color w:val="B03060"/>
          <w:sz w:val="19"/>
        </w:rPr>
        <w:t>status</w:t>
      </w:r>
      <w:r>
        <w:t xml:space="preserve"> (</w:t>
      </w:r>
      <w:r>
        <w:rPr>
          <w:rFonts w:ascii="Consolas" w:hAnsi="Consolas"/>
          <w:color w:val="B03060"/>
          <w:sz w:val="19"/>
        </w:rPr>
        <w:t>PENDING</w:t>
      </w:r>
      <w:r>
        <w:t xml:space="preserve"> | </w:t>
      </w:r>
      <w:r>
        <w:rPr>
          <w:rFonts w:ascii="Consolas" w:hAnsi="Consolas"/>
          <w:color w:val="B03060"/>
          <w:sz w:val="19"/>
        </w:rPr>
        <w:t>DISPATCHED</w:t>
      </w:r>
      <w:r>
        <w:t xml:space="preserve"> | </w:t>
      </w:r>
      <w:r>
        <w:rPr>
          <w:rFonts w:ascii="Consolas" w:hAnsi="Consolas"/>
          <w:color w:val="B03060"/>
          <w:sz w:val="19"/>
        </w:rPr>
        <w:t>FAILED</w:t>
      </w:r>
      <w:r>
        <w:t xml:space="preserve">), </w:t>
      </w:r>
      <w:r>
        <w:rPr>
          <w:rFonts w:ascii="Consolas" w:hAnsi="Consolas"/>
          <w:color w:val="B03060"/>
          <w:sz w:val="19"/>
        </w:rPr>
        <w:t>occurred_at</w:t>
      </w:r>
      <w:r>
        <w:t>/</w:t>
      </w:r>
      <w:r>
        <w:rPr>
          <w:rFonts w:ascii="Consolas" w:hAnsi="Consolas"/>
          <w:color w:val="B03060"/>
          <w:sz w:val="19"/>
        </w:rPr>
        <w:t>dispatched_at</w:t>
      </w:r>
      <w:r>
        <w:t xml:space="preserve">, </w:t>
      </w:r>
      <w:r>
        <w:rPr>
          <w:rFonts w:ascii="Consolas" w:hAnsi="Consolas"/>
          <w:color w:val="B03060"/>
          <w:sz w:val="19"/>
        </w:rPr>
        <w:t>attempt_count</w:t>
      </w:r>
      <w:r>
        <w:t>/</w:t>
      </w:r>
      <w:r>
        <w:rPr>
          <w:rFonts w:ascii="Consolas" w:hAnsi="Consolas"/>
          <w:color w:val="B03060"/>
          <w:sz w:val="19"/>
        </w:rPr>
        <w:t>last_error</w:t>
      </w:r>
      <w:r>
        <w:t>/</w:t>
      </w:r>
      <w:r>
        <w:rPr>
          <w:rFonts w:ascii="Consolas" w:hAnsi="Consolas"/>
          <w:color w:val="B03060"/>
          <w:sz w:val="19"/>
        </w:rPr>
        <w:t>version</w:t>
      </w:r>
      <w:r>
        <w:t xml:space="preserve">. A </w:t>
      </w:r>
      <w:r>
        <w:rPr>
          <w:b/>
        </w:rPr>
        <w:t>partial index on `status = 'PENDING'`</w:t>
      </w:r>
      <w:r>
        <w:t xml:space="preserve"> keeps the poller's claim query fast no matter how many </w:t>
      </w:r>
      <w:r>
        <w:rPr>
          <w:rFonts w:ascii="Consolas" w:hAnsi="Consolas"/>
          <w:color w:val="B03060"/>
          <w:sz w:val="19"/>
        </w:rPr>
        <w:t>DISPATCHED</w:t>
      </w:r>
      <w:r>
        <w:t xml:space="preserve"> rows accumulate (ADR-0009 D-2).</w:t>
      </w:r>
    </w:p>
    <w:p>
      <w:pPr>
        <w:pStyle w:val="ListBullet"/>
      </w:pPr>
      <w:r>
        <w:rPr>
          <w:b/>
        </w:rPr>
        <w:t>Dispatcher.</w:t>
      </w:r>
      <w:r>
        <w:t xml:space="preserve"> A single </w:t>
      </w:r>
      <w:r>
        <w:rPr>
          <w:rFonts w:ascii="Consolas" w:hAnsi="Consolas"/>
          <w:color w:val="B03060"/>
          <w:sz w:val="19"/>
        </w:rPr>
        <w:t>@Scheduled</w:t>
      </w:r>
      <w:r>
        <w:t xml:space="preserve"> in-process poller reads a bounded batch of </w:t>
      </w:r>
      <w:r>
        <w:rPr>
          <w:rFonts w:ascii="Consolas" w:hAnsi="Consolas"/>
          <w:color w:val="B03060"/>
          <w:sz w:val="19"/>
        </w:rPr>
        <w:t>PENDING</w:t>
      </w:r>
      <w:r>
        <w:t xml:space="preserve"> rows oldest-first by </w:t>
      </w:r>
      <w:r>
        <w:rPr>
          <w:rFonts w:ascii="Consolas" w:hAnsi="Consolas"/>
          <w:color w:val="B03060"/>
          <w:sz w:val="19"/>
        </w:rPr>
        <w:t>occurred_at</w:t>
      </w:r>
      <w:r>
        <w:t xml:space="preserve">. For each event, in its own per-event transaction, it invokes every registered </w:t>
      </w:r>
      <w:r>
        <w:rPr>
          <w:rFonts w:ascii="Consolas" w:hAnsi="Consolas"/>
          <w:color w:val="B03060"/>
          <w:sz w:val="19"/>
        </w:rPr>
        <w:t>DomainEventHandler</w:t>
      </w:r>
      <w:r>
        <w:t xml:space="preserve"> whose </w:t>
      </w:r>
      <w:r>
        <w:rPr>
          <w:rFonts w:ascii="Consolas" w:hAnsi="Consolas"/>
          <w:color w:val="B03060"/>
          <w:sz w:val="19"/>
        </w:rPr>
        <w:t>eventType()</w:t>
      </w:r>
      <w:r>
        <w:t xml:space="preserve"> matches. All handlers succeed → </w:t>
      </w:r>
      <w:r>
        <w:rPr>
          <w:rFonts w:ascii="Consolas" w:hAnsi="Consolas"/>
          <w:color w:val="B03060"/>
          <w:sz w:val="19"/>
        </w:rPr>
        <w:t>DISPATCHED</w:t>
      </w:r>
      <w:r>
        <w:t xml:space="preserve">. A handler throws → </w:t>
      </w:r>
      <w:r>
        <w:rPr>
          <w:rFonts w:ascii="Consolas" w:hAnsi="Consolas"/>
          <w:color w:val="B03060"/>
          <w:sz w:val="19"/>
        </w:rPr>
        <w:t>attempt_count++</w:t>
      </w:r>
      <w:r>
        <w:t xml:space="preserve">, record </w:t>
      </w:r>
      <w:r>
        <w:rPr>
          <w:rFonts w:ascii="Consolas" w:hAnsi="Consolas"/>
          <w:color w:val="B03060"/>
          <w:sz w:val="19"/>
        </w:rPr>
        <w:t>last_error</w:t>
      </w:r>
      <w:r>
        <w:t xml:space="preserve">, leave </w:t>
      </w:r>
      <w:r>
        <w:rPr>
          <w:rFonts w:ascii="Consolas" w:hAnsi="Consolas"/>
          <w:color w:val="B03060"/>
          <w:sz w:val="19"/>
        </w:rPr>
        <w:t>PENDING</w:t>
      </w:r>
      <w:r>
        <w:t xml:space="preserve"> to retry; at the cap, park </w:t>
      </w:r>
      <w:r>
        <w:rPr>
          <w:rFonts w:ascii="Consolas" w:hAnsi="Consolas"/>
          <w:color w:val="B03060"/>
          <w:sz w:val="19"/>
        </w:rPr>
        <w:t>FAILED</w:t>
      </w:r>
      <w:r>
        <w:t xml:space="preserve"> and skip. </w:t>
      </w:r>
      <w:r>
        <w:rPr>
          <w:b/>
        </w:rPr>
        <w:t>A poison event never blocks the queue</w:t>
      </w:r>
      <w:r>
        <w:t xml:space="preserve"> — </w:t>
      </w:r>
      <w:r>
        <w:rPr>
          <w:rFonts w:ascii="Consolas" w:hAnsi="Consolas"/>
          <w:color w:val="B03060"/>
          <w:sz w:val="19"/>
        </w:rPr>
        <w:t>FAILED</w:t>
      </w:r>
      <w:r>
        <w:t xml:space="preserve"> and attempt-exhausted rows are filtered out of the claim (ADR-0009 D-4/D-7).</w:t>
      </w:r>
    </w:p>
    <w:p>
      <w:pPr>
        <w:pStyle w:val="ListBullet"/>
      </w:pPr>
      <w:r>
        <w:rPr>
          <w:b/>
        </w:rPr>
        <w:t>Consumer.</w:t>
      </w:r>
      <w:r>
        <w:t xml:space="preserve"> A consumer is a module bean implementing </w:t>
      </w:r>
      <w:r>
        <w:rPr>
          <w:rFonts w:ascii="Consolas" w:hAnsi="Consolas"/>
          <w:color w:val="B03060"/>
          <w:sz w:val="19"/>
        </w:rPr>
        <w:t>platform.events.DomainEventHandler</w:t>
      </w:r>
      <w:r>
        <w:t xml:space="preserve">. It runs as the *system* (no JWT), so it sets the working company/branch </w:t>
      </w:r>
      <w:r>
        <w:rPr>
          <w:b/>
        </w:rPr>
        <w:t>from the event</w:t>
      </w:r>
      <w:r>
        <w:t xml:space="preserve"> before applying its effect.</w:t>
      </w:r>
    </w:p>
    <w:p>
      <w:pPr>
        <w:pStyle w:val="Heading3"/>
      </w:pPr>
      <w:r>
        <w:t>At-least-once delivery and idempotency</w:t>
      </w:r>
    </w:p>
    <w:p>
      <w:r>
        <w:t xml:space="preserve">A polled outbox cannot give cheap exactly-once delivery: a crash between "consumer succeeded" and "row marked DISPATCHED" redelivers the event. The system is therefore </w:t>
      </w:r>
      <w:r>
        <w:rPr>
          <w:b/>
        </w:rPr>
        <w:t>at-least-once + consumer-side idempotency</w:t>
      </w:r>
      <w:r>
        <w:t xml:space="preserve"> (ADR-0009 D-6):</w:t>
      </w:r>
    </w:p>
    <w:p>
      <w:pPr>
        <w:pStyle w:val="ListBullet"/>
      </w:pPr>
      <w:r>
        <w:t xml:space="preserve">A generic </w:t>
      </w:r>
      <w:r>
        <w:rPr>
          <w:b/>
        </w:rPr>
        <w:t>`processed_events`</w:t>
      </w:r>
      <w:r>
        <w:t xml:space="preserve"> marker table, keyed </w:t>
      </w:r>
      <w:r>
        <w:rPr>
          <w:rFonts w:ascii="Consolas" w:hAnsi="Consolas"/>
          <w:color w:val="B03060"/>
          <w:sz w:val="19"/>
        </w:rPr>
        <w:t>UNIQUE (consumer, event_uid)</w:t>
      </w:r>
      <w:r>
        <w:t xml:space="preserve">, is written by the consumer </w:t>
      </w:r>
      <w:r>
        <w:rPr>
          <w:b/>
        </w:rPr>
        <w:t>in the same transaction as its effect</w:t>
      </w:r>
      <w:r>
        <w:t>. On a redelivery the marker insert collides → the handler no-ops. Because the marker and the effect commit together, the effect is applied exactly once.</w:t>
      </w:r>
    </w:p>
    <w:p>
      <w:pPr>
        <w:pStyle w:val="ListBullet"/>
      </w:pPr>
      <w:r>
        <w:t xml:space="preserve">Strong consumers also stamp the source event uid on their own ledger (e.g. stock movements carry </w:t>
      </w:r>
      <w:r>
        <w:rPr>
          <w:rFonts w:ascii="Consolas" w:hAnsi="Consolas"/>
          <w:color w:val="B03060"/>
          <w:sz w:val="19"/>
        </w:rPr>
        <w:t>source_event_uid</w:t>
      </w:r>
      <w:r>
        <w:t>) as a DB-level backstop and for traceability.</w:t>
      </w:r>
    </w:p>
    <w:p>
      <w:pPr>
        <w:pStyle w:val="Heading3"/>
      </w:pPr>
      <w:r>
        <w:t>Ordering and compensation</w:t>
      </w:r>
    </w:p>
    <w:p>
      <w:r>
        <w:t xml:space="preserve">Ordering is </w:t>
      </w:r>
      <w:r>
        <w:rPr>
          <w:b/>
        </w:rPr>
        <w:t>best-effort by `occurred_at`</w:t>
      </w:r>
      <w:r>
        <w:t xml:space="preserve"> — enough to give per-aggregate causal order (a 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 precedes its </w:t>
      </w:r>
      <w:r>
        <w:rPr>
          <w:rFonts w:ascii="Consolas" w:hAnsi="Consolas"/>
          <w:color w:val="B03060"/>
          <w:sz w:val="19"/>
        </w:rPr>
        <w:t>SALE.VOIDED</w:t>
      </w:r>
      <w:r>
        <w:t xml:space="preserve">), which is all that matters because consumers are idempotent. It is not a strict global FIFO (one stuck row would wedge the queue). Compensation is the </w:t>
      </w:r>
      <w:r>
        <w:rPr>
          <w:b/>
        </w:rPr>
        <w:t>consumer's</w:t>
      </w:r>
      <w:r>
        <w:t xml:space="preserve"> job: a </w:t>
      </w:r>
      <w:r>
        <w:rPr>
          <w:rFonts w:ascii="Consolas" w:hAnsi="Consolas"/>
          <w:color w:val="B03060"/>
          <w:sz w:val="19"/>
        </w:rPr>
        <w:t>SALE.VOIDED</w:t>
      </w:r>
      <w:r>
        <w:t xml:space="preserve"> event triggers the consumer's reversal logic (the stock module posts a reversing movement; GL posts a reversing journal). The outbox is a delivery channel, not a saga orchestrator.</w:t>
      </w:r>
    </w:p>
    <w:p>
      <w:pPr>
        <w:pStyle w:val="Heading3"/>
      </w:pPr>
      <w:r>
        <w:t>The events in flight</w:t>
      </w:r>
    </w:p>
    <w:p>
      <w:r>
        <w:t>The system's principal cross-module events are sales finalisation/void (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 / </w:t>
      </w:r>
      <w:r>
        <w:rPr>
          <w:rFonts w:ascii="Consolas" w:hAnsi="Consolas"/>
          <w:color w:val="B03060"/>
          <w:sz w:val="19"/>
        </w:rPr>
        <w:t>SALE.VOIDED</w:t>
      </w:r>
      <w:r>
        <w:t>) and goods receipt (</w:t>
      </w:r>
      <w:r>
        <w:rPr>
          <w:rFonts w:ascii="Consolas" w:hAnsi="Consolas"/>
          <w:color w:val="B03060"/>
          <w:sz w:val="19"/>
        </w:rPr>
        <w:t>STOCK.RECEIVED</w:t>
      </w:r>
      <w:r>
        <w:t xml:space="preserve">), plus the approvals engine's </w:t>
      </w:r>
      <w:r>
        <w:rPr>
          <w:rFonts w:ascii="Consolas" w:hAnsi="Consolas"/>
          <w:color w:val="B03060"/>
          <w:sz w:val="19"/>
        </w:rPr>
        <w:t>APPROVAL.RESOLVED</w:t>
      </w:r>
      <w:r>
        <w:t>. The stock module consumes the sales/receipt events to move inventory; the GL module consumes the sales events to post revenue/VAT/AR (or cash) journals — both off the same single fired event, each idempotently.</w:t>
      </w:r>
    </w:p>
    <w:p>
      <w:pPr>
        <w:pStyle w:val="Heading3"/>
      </w:pPr>
      <w:r>
        <w:t>Scaling</w:t>
      </w:r>
    </w:p>
    <w:p>
      <w:r>
        <w:t xml:space="preserve">Built lean for a single container — one poller cannot double-dispatch. The multi-instance upgrade is a one-method swap of the claim query to </w:t>
      </w:r>
      <w:r>
        <w:rPr>
          <w:rFonts w:ascii="Consolas" w:hAnsi="Consolas"/>
          <w:color w:val="B03060"/>
          <w:sz w:val="19"/>
        </w:rPr>
        <w:t>SELECT … FOR UPDATE SKIP LOCKED</w:t>
      </w:r>
      <w:r>
        <w:t xml:space="preserve"> (the same row-lock discipline </w:t>
      </w:r>
      <w:r>
        <w:rPr>
          <w:rFonts w:ascii="Consolas" w:hAnsi="Consolas"/>
          <w:color w:val="B03060"/>
          <w:sz w:val="19"/>
        </w:rPr>
        <w:t>code_sequence</w:t>
      </w:r>
      <w:r>
        <w:t xml:space="preserve"> already uses), additive, no schema or consumer change. It must be applied </w:t>
      </w:r>
      <w:r>
        <w:rPr>
          <w:b/>
        </w:rPr>
        <w:t>before</w:t>
      </w:r>
      <w:r>
        <w:t xml:space="preserve"> running more than one API container (ADR-0009 D-4, flagged).</w:t>
      </w:r>
    </w:p>
    <w:p>
      <w:pPr>
        <w:pStyle w:val="Heading2"/>
      </w:pPr>
      <w:r>
        <w:t>6. The GL posting engine + double-entry invariants (ADR-0013)</w:t>
      </w:r>
    </w:p>
    <w:p>
      <w:r>
        <w:t xml:space="preserve">The General Ledger is the system's first and central </w:t>
      </w:r>
      <w:r>
        <w:rPr>
          <w:b/>
        </w:rPr>
        <w:t>posting engine</w:t>
      </w:r>
      <w:r>
        <w:t xml:space="preserve"> and the critical-path gate for the entire financial roadmap — AR/AP, Cash/Bank, COGS, the VAT return, and all of Reporting post into or read from it.</w:t>
      </w:r>
    </w:p>
    <w:p>
      <w:pPr>
        <w:pStyle w:val="Heading3"/>
      </w:pPr>
      <w:r>
        <w:t>Structure</w:t>
      </w:r>
    </w:p>
    <w:p>
      <w:r>
        <w:t>The posting structure is three levels (ADR-0013 D-2/D-3):</w:t>
      </w:r>
    </w:p>
    <w:p>
      <w:pPr>
        <w:pStyle w:val="ListBullet"/>
      </w:pPr>
      <w:r>
        <w:rPr>
          <w:b/>
        </w:rPr>
        <w:t>`journal_batches`</w:t>
      </w:r>
      <w:r>
        <w:t xml:space="preserve"> — the numbered container (</w:t>
      </w:r>
      <w:r>
        <w:rPr>
          <w:rFonts w:ascii="Consolas" w:hAnsi="Consolas"/>
          <w:color w:val="B03060"/>
          <w:sz w:val="19"/>
        </w:rPr>
        <w:t>JB-####</w:t>
      </w:r>
      <w:r>
        <w:t xml:space="preserve"> from </w:t>
      </w:r>
      <w:r>
        <w:rPr>
          <w:rFonts w:ascii="Consolas" w:hAnsi="Consolas"/>
          <w:color w:val="B03060"/>
          <w:sz w:val="19"/>
        </w:rPr>
        <w:t>code_sequence</w:t>
      </w:r>
      <w:r>
        <w:t xml:space="preserve">) a posting run groups its entries under. Source type: </w:t>
      </w:r>
      <w:r>
        <w:rPr>
          <w:rFonts w:ascii="Consolas" w:hAnsi="Consolas"/>
          <w:color w:val="B03060"/>
          <w:sz w:val="19"/>
        </w:rPr>
        <w:t>MANUAL</w:t>
      </w:r>
      <w:r>
        <w:t xml:space="preserve"> | </w:t>
      </w:r>
      <w:r>
        <w:rPr>
          <w:rFonts w:ascii="Consolas" w:hAnsi="Consolas"/>
          <w:color w:val="B03060"/>
          <w:sz w:val="19"/>
        </w:rPr>
        <w:t>SALES</w:t>
      </w:r>
      <w:r>
        <w:t xml:space="preserve"> | </w:t>
      </w:r>
      <w:r>
        <w:rPr>
          <w:rFonts w:ascii="Consolas" w:hAnsi="Consolas"/>
          <w:color w:val="B03060"/>
          <w:sz w:val="19"/>
        </w:rPr>
        <w:t>SALES_REVERSAL</w:t>
      </w:r>
      <w:r>
        <w:t xml:space="preserve"> | </w:t>
      </w:r>
      <w:r>
        <w:rPr>
          <w:rFonts w:ascii="Consolas" w:hAnsi="Consolas"/>
          <w:color w:val="B03060"/>
          <w:sz w:val="19"/>
        </w:rPr>
        <w:t>OPENING_BALANCE</w:t>
      </w:r>
      <w:r>
        <w:t xml:space="preserve"> (the IN-list widens additively as new posters land).</w:t>
      </w:r>
    </w:p>
    <w:p>
      <w:pPr>
        <w:pStyle w:val="ListBullet"/>
      </w:pPr>
      <w:r>
        <w:rPr>
          <w:b/>
        </w:rPr>
        <w:t>`journal_entries`</w:t>
      </w:r>
      <w:r>
        <w:t xml:space="preserve"> — one balanced transaction: </w:t>
      </w:r>
      <w:r>
        <w:rPr>
          <w:rFonts w:ascii="Consolas" w:hAnsi="Consolas"/>
          <w:color w:val="B03060"/>
          <w:sz w:val="19"/>
        </w:rPr>
        <w:t>posting_date</w:t>
      </w:r>
      <w:r>
        <w:t xml:space="preserve"> (drives the fiscal period), </w:t>
      </w:r>
      <w:r>
        <w:rPr>
          <w:rFonts w:ascii="Consolas" w:hAnsi="Consolas"/>
          <w:color w:val="B03060"/>
          <w:sz w:val="19"/>
        </w:rPr>
        <w:t>description</w:t>
      </w:r>
      <w:r>
        <w:t xml:space="preserve">, </w:t>
      </w:r>
      <w:r>
        <w:rPr>
          <w:rFonts w:ascii="Consolas" w:hAnsi="Consolas"/>
          <w:color w:val="B03060"/>
          <w:sz w:val="19"/>
        </w:rPr>
        <w:t>source_type</w:t>
      </w:r>
      <w:r>
        <w:t>/</w:t>
      </w:r>
      <w:r>
        <w:rPr>
          <w:rFonts w:ascii="Consolas" w:hAnsi="Consolas"/>
          <w:color w:val="B03060"/>
          <w:sz w:val="19"/>
        </w:rPr>
        <w:t>source_ref</w:t>
      </w:r>
      <w:r>
        <w:t xml:space="preserve">, the resolved </w:t>
      </w:r>
      <w:r>
        <w:rPr>
          <w:rFonts w:ascii="Consolas" w:hAnsi="Consolas"/>
          <w:color w:val="B03060"/>
          <w:sz w:val="19"/>
        </w:rPr>
        <w:t>fiscal_period_id</w:t>
      </w:r>
      <w:r>
        <w:t xml:space="preserve">, and </w:t>
      </w:r>
      <w:r>
        <w:rPr>
          <w:rFonts w:ascii="Consolas" w:hAnsi="Consolas"/>
          <w:color w:val="B03060"/>
          <w:sz w:val="19"/>
        </w:rPr>
        <w:t>reversal_of_id</w:t>
      </w:r>
      <w:r>
        <w:t xml:space="preserve"> (self-FK, set on a reversing entry).</w:t>
      </w:r>
    </w:p>
    <w:p>
      <w:pPr>
        <w:pStyle w:val="ListBullet"/>
      </w:pPr>
      <w:r>
        <w:rPr>
          <w:b/>
        </w:rPr>
        <w:t>`journal_lines`</w:t>
      </w:r>
      <w:r>
        <w:t xml:space="preserve"> — one leg: exactly one </w:t>
      </w:r>
      <w:r>
        <w:rPr>
          <w:rFonts w:ascii="Consolas" w:hAnsi="Consolas"/>
          <w:color w:val="B03060"/>
          <w:sz w:val="19"/>
        </w:rPr>
        <w:t>account_id</w:t>
      </w:r>
      <w:r>
        <w:t xml:space="preserve">, and </w:t>
      </w:r>
      <w:r>
        <w:rPr>
          <w:b/>
        </w:rPr>
        <w:t>two amount columns `debit_amount` / `credit_amount` with exactly one non-zero</w:t>
      </w:r>
      <w:r>
        <w:t xml:space="preserve"> (not a single signed amount — it matches accounting vocabulary and makes the trial balance the natural </w:t>
      </w:r>
      <w:r>
        <w:rPr>
          <w:rFonts w:ascii="Consolas" w:hAnsi="Consolas"/>
          <w:color w:val="B03060"/>
          <w:sz w:val="19"/>
        </w:rPr>
        <w:t>SUM(debit) − SUM(credit)</w:t>
      </w:r>
      <w:r>
        <w:t>).</w:t>
      </w:r>
    </w:p>
    <w:p>
      <w:r>
        <w:t xml:space="preserve">Accounts live in </w:t>
      </w:r>
      <w:r>
        <w:rPr>
          <w:b/>
        </w:rPr>
        <w:t>`chart_of_accounts`</w:t>
      </w:r>
      <w:r>
        <w:t xml:space="preserve"> (flat, numeric-range, per company), each with an </w:t>
      </w:r>
      <w:r>
        <w:rPr>
          <w:rFonts w:ascii="Consolas" w:hAnsi="Consolas"/>
          <w:color w:val="B03060"/>
          <w:sz w:val="19"/>
        </w:rPr>
        <w:t>account_type</w:t>
      </w:r>
      <w:r>
        <w:t xml:space="preserve"> (ASSET/LIABILITY/EQUITY/INCOME/EXPENSE) and a stored </w:t>
      </w:r>
      <w:r>
        <w:rPr>
          <w:rFonts w:ascii="Consolas" w:hAnsi="Consolas"/>
          <w:color w:val="B03060"/>
          <w:sz w:val="19"/>
        </w:rPr>
        <w:t>normal_balance</w:t>
      </w:r>
      <w:r>
        <w:t xml:space="preserve">. Posting is gated by an OPEN </w:t>
      </w:r>
      <w:r>
        <w:rPr>
          <w:b/>
        </w:rPr>
        <w:t>`fiscal_periods`</w:t>
      </w:r>
      <w:r>
        <w:t xml:space="preserve"> row (12 monthly periods per </w:t>
      </w:r>
      <w:r>
        <w:rPr>
          <w:rFonts w:ascii="Consolas" w:hAnsi="Consolas"/>
          <w:color w:val="B03060"/>
          <w:sz w:val="19"/>
        </w:rPr>
        <w:t>fiscal_years</w:t>
      </w:r>
      <w:r>
        <w:t>, configurable start month).</w:t>
      </w:r>
    </w:p>
    <w:p>
      <w:pPr>
        <w:pStyle w:val="Heading3"/>
      </w:pPr>
      <w:r>
        <w:t>The double-entry invariants</w:t>
      </w:r>
    </w:p>
    <w:p>
      <w:r>
        <w:t>Some invariants the database can enforce per row; the cross-row ones the service must (ADR-0013 D-3):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enforced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t>A line is one account, one side, both non-negative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DB CHECK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chk_journal_line_one_side</w:t>
            </w:r>
          </w:p>
        </w:tc>
      </w:tr>
      <w:tr>
        <w:tc>
          <w:tcPr>
            <w:tcW w:type="dxa" w:w="2880"/>
          </w:tcPr>
          <w:p>
            <w:r>
              <w:t>An entry has ≥ 2 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GLPostingService</w:t>
            </w:r>
            <w:r>
              <w:t xml:space="preserve"> rejects &lt; 2 lines</w:t>
            </w:r>
          </w:p>
        </w:tc>
      </w:tr>
      <w:tr>
        <w:tc>
          <w:tcPr>
            <w:tcW w:type="dxa" w:w="2880"/>
          </w:tcPr>
          <w:p>
            <w:r>
              <w:t>Σ debits == Σ credits (balanced or rejected)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BigDecimal</w:t>
            </w:r>
            <w:r>
              <w:t xml:space="preserve"> value compare; nothing partial is written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posting_date</w:t>
            </w:r>
            <w:r>
              <w:t xml:space="preserve"> falls in an OPEN 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FiscalPeriodResolver</w:t>
            </w:r>
            <w:r>
              <w:t>; reject if none/CLOSED</w:t>
            </w:r>
          </w:p>
        </w:tc>
      </w:tr>
      <w:tr>
        <w:tc>
          <w:tcPr>
            <w:tcW w:type="dxa" w:w="2880"/>
          </w:tcPr>
          <w:p>
            <w:r>
              <w:t>Every posted-to account is active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t>checked at post; a since-deactivated account on a *historical* line stands</w:t>
            </w:r>
          </w:p>
        </w:tc>
      </w:tr>
      <w:tr>
        <w:tc>
          <w:tcPr>
            <w:tcW w:type="dxa" w:w="2880"/>
          </w:tcPr>
          <w:p>
            <w:r>
              <w:t>One company's books are isolated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DB + 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company_id</w:t>
            </w:r>
            <w:r>
              <w:t xml:space="preserve"> NOT NULL + FK; tenant predicate</w:t>
            </w:r>
          </w:p>
        </w:tc>
      </w:tr>
      <w:tr>
        <w:tc>
          <w:tcPr>
            <w:tcW w:type="dxa" w:w="2880"/>
          </w:tcPr>
          <w:p>
            <w:r>
              <w:t>Append-only / immutable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structural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color w:val="B03060"/>
                <w:sz w:val="19"/>
              </w:rPr>
              <w:t>updated_*</w:t>
            </w:r>
            <w:r>
              <w:t xml:space="preserve"> columns on batch/entry/line; no update/delete path</w:t>
            </w:r>
          </w:p>
        </w:tc>
      </w:tr>
      <w:tr>
        <w:tc>
          <w:tcPr>
            <w:tcW w:type="dxa" w:w="2880"/>
          </w:tcPr>
          <w:p>
            <w:r>
              <w:t>Idempotent auto-posting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 + DB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processed_events</w:t>
            </w:r>
            <w:r>
              <w:t xml:space="preserve"> marker + partial-unique </w:t>
            </w:r>
            <w:r>
              <w:rPr>
                <w:rFonts w:ascii="Consolas" w:hAnsi="Consolas"/>
                <w:color w:val="B03060"/>
                <w:sz w:val="19"/>
              </w:rPr>
              <w:t>(company_id, source_type, source_ref)</w:t>
            </w:r>
            <w:r>
              <w:t xml:space="preserve"> for SALES entries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GLPostingService.post(...)</w:t>
      </w:r>
      <w:r>
        <w:t xml:space="preserve"> is the </w:t>
      </w:r>
      <w:r>
        <w:rPr>
          <w:b/>
        </w:rPr>
        <w:t>single engine</w:t>
      </w:r>
      <w:r>
        <w:t xml:space="preserve"> both manual and automatic posting go through: resolve the open period → validate lines (≥ 2, one-sided, active accounts, base currency) → assert balanced → allocate the batch number → insert batch + entry + lines in one transaction → emit the audit row. There is </w:t>
      </w:r>
      <w:r>
        <w:rPr>
          <w:b/>
        </w:rPr>
        <w:t>no draft state</w:t>
      </w:r>
      <w:r>
        <w:t xml:space="preserve">: a journal either posts (balanced, open period, active accounts) or is rejected. The only correction is a </w:t>
      </w:r>
      <w:r>
        <w:rPr>
          <w:b/>
        </w:rPr>
        <w:t>reversing entry</w:t>
      </w:r>
      <w:r>
        <w:t xml:space="preserve"> — a new entry that swaps the original's debits and credits, balanced by construction, linked by </w:t>
      </w:r>
      <w:r>
        <w:rPr>
          <w:rFonts w:ascii="Consolas" w:hAnsi="Consolas"/>
          <w:color w:val="B03060"/>
          <w:sz w:val="19"/>
        </w:rPr>
        <w:t>reversal_of_id</w:t>
      </w:r>
      <w:r>
        <w:t>. The original stays on the books beside its reversal (ADR-0013 D-3).</w:t>
      </w:r>
    </w:p>
    <w:p>
      <w:pPr>
        <w:pStyle w:val="Heading3"/>
      </w:pPr>
      <w:r>
        <w:t>Sales auto-posting (the integration centrepiece)</w:t>
      </w:r>
    </w:p>
    <w:p>
      <w:r>
        <w:t xml:space="preserve">GL is a pure outbox </w:t>
      </w:r>
      <w:r>
        <w:rPr>
          <w:b/>
        </w:rPr>
        <w:t>consumer</w:t>
      </w:r>
      <w:r>
        <w:t xml:space="preserve">. </w:t>
      </w:r>
      <w:r>
        <w:rPr>
          <w:rFonts w:ascii="Consolas" w:hAnsi="Consolas"/>
          <w:color w:val="B03060"/>
          <w:sz w:val="19"/>
        </w:rPr>
        <w:t>SalesPostingHandler</w:t>
      </w:r>
      <w:r>
        <w:t xml:space="preserve"> consumes 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; </w:t>
      </w:r>
      <w:r>
        <w:rPr>
          <w:rFonts w:ascii="Consolas" w:hAnsi="Consolas"/>
          <w:color w:val="B03060"/>
          <w:sz w:val="19"/>
        </w:rPr>
        <w:t>SaleVoidingHandler</w:t>
      </w:r>
      <w:r>
        <w:t xml:space="preserve"> consumes </w:t>
      </w:r>
      <w:r>
        <w:rPr>
          <w:rFonts w:ascii="Consolas" w:hAnsi="Consolas"/>
          <w:color w:val="B03060"/>
          <w:sz w:val="19"/>
        </w:rPr>
        <w:t>SALE.VOIDED</w:t>
      </w:r>
      <w:r>
        <w:t xml:space="preserve">. The event payload carries no amounts, so the handler </w:t>
      </w:r>
      <w:r>
        <w:rPr>
          <w:b/>
        </w:rPr>
        <w:t>re-reads the invoice totals</w:t>
      </w:r>
      <w:r>
        <w:t xml:space="preserve"> (via a Sales service-layer DTO, never importing a Sales entity) and posts a balanced entry resolving accounts from </w:t>
      </w:r>
      <w:r>
        <w:rPr>
          <w:b/>
        </w:rPr>
        <w:t>`gl_configs`</w:t>
      </w:r>
      <w:r>
        <w:t xml:space="preserve"> (the per-company role→account map: </w:t>
      </w:r>
      <w:r>
        <w:rPr>
          <w:rFonts w:ascii="Consolas" w:hAnsi="Consolas"/>
          <w:color w:val="B03060"/>
          <w:sz w:val="19"/>
        </w:rPr>
        <w:t>SALES_REVENUE</w:t>
      </w:r>
      <w:r>
        <w:t xml:space="preserve">, </w:t>
      </w:r>
      <w:r>
        <w:rPr>
          <w:rFonts w:ascii="Consolas" w:hAnsi="Consolas"/>
          <w:color w:val="B03060"/>
          <w:sz w:val="19"/>
        </w:rPr>
        <w:t>VAT_PAYABLE</w:t>
      </w:r>
      <w:r>
        <w:t xml:space="preserve">, </w:t>
      </w:r>
      <w:r>
        <w:rPr>
          <w:rFonts w:ascii="Consolas" w:hAnsi="Consolas"/>
          <w:color w:val="B03060"/>
          <w:sz w:val="19"/>
        </w:rPr>
        <w:t>ACCOUNTS_RECEIVABLE</w:t>
      </w:r>
      <w:r>
        <w:t xml:space="preserve">, </w:t>
      </w:r>
      <w:r>
        <w:rPr>
          <w:rFonts w:ascii="Consolas" w:hAnsi="Consolas"/>
          <w:color w:val="B03060"/>
          <w:sz w:val="19"/>
        </w:rPr>
        <w:t>CASH</w:t>
      </w:r>
      <w:r>
        <w:t>, …). A missing or inactive required mapping makes the handler throw, so the outbox retries/parks the event rather than mis-posting (ADR-0013 D-5/D-6) — finance fixes the mapping and the parked event replays.</w:t>
      </w:r>
    </w:p>
    <w:p>
      <w:pPr>
        <w:pStyle w:val="Heading2"/>
      </w:pPr>
      <w:r>
        <w:t>7. Multi-currency posting (base ledger) (ADR-0005, ADR-0036)</w:t>
      </w:r>
    </w:p>
    <w:p>
      <w:r>
        <w:t>Money is currency-aware from the first column (ADR-0005). The principle and the storage:</w:t>
      </w:r>
    </w:p>
    <w:p>
      <w:pPr>
        <w:pStyle w:val="ListBullet"/>
      </w:pPr>
      <w:r>
        <w:t xml:space="preserve">A monetary value is an inseparable </w:t>
      </w:r>
      <w:r>
        <w:rPr>
          <w:rFonts w:ascii="Consolas" w:hAnsi="Consolas"/>
          <w:color w:val="B03060"/>
          <w:sz w:val="19"/>
        </w:rPr>
        <w:t>(amount, currency)</w:t>
      </w:r>
      <w:r>
        <w:t xml:space="preserve"> pair — a </w:t>
      </w:r>
      <w:r>
        <w:rPr>
          <w:rFonts w:ascii="Consolas" w:hAnsi="Consolas"/>
          <w:color w:val="B03060"/>
          <w:sz w:val="19"/>
        </w:rPr>
        <w:t>Money</w:t>
      </w:r>
      <w:r>
        <w:t xml:space="preserve"> </w:t>
      </w:r>
      <w:r>
        <w:rPr>
          <w:rFonts w:ascii="Consolas" w:hAnsi="Consolas"/>
          <w:color w:val="B03060"/>
          <w:sz w:val="19"/>
        </w:rPr>
        <w:t>@Embeddable</w:t>
      </w:r>
      <w:r>
        <w:t xml:space="preserve"> in </w:t>
      </w:r>
      <w:r>
        <w:rPr>
          <w:rFonts w:ascii="Consolas" w:hAnsi="Consolas"/>
          <w:color w:val="B03060"/>
          <w:sz w:val="19"/>
        </w:rPr>
        <w:t>platform.common</w:t>
      </w:r>
      <w:r>
        <w:t xml:space="preserve"> materialising a </w:t>
      </w:r>
      <w:r>
        <w:rPr>
          <w:rFonts w:ascii="Consolas" w:hAnsi="Consolas"/>
          <w:color w:val="B03060"/>
          <w:sz w:val="19"/>
        </w:rPr>
        <w:t>&lt;field&gt;_amount</w:t>
      </w:r>
      <w:r>
        <w:t xml:space="preserve"> </w:t>
      </w:r>
      <w:r>
        <w:rPr>
          <w:rFonts w:ascii="Consolas" w:hAnsi="Consolas"/>
          <w:color w:val="B03060"/>
          <w:sz w:val="19"/>
        </w:rPr>
        <w:t>NUMERIC(19,4)</w:t>
      </w:r>
      <w:r>
        <w:t xml:space="preserve"> + </w:t>
      </w:r>
      <w:r>
        <w:rPr>
          <w:rFonts w:ascii="Consolas" w:hAnsi="Consolas"/>
          <w:color w:val="B03060"/>
          <w:sz w:val="19"/>
        </w:rPr>
        <w:t>&lt;field&gt;_currency</w:t>
      </w:r>
      <w:r>
        <w:t xml:space="preserve"> </w:t>
      </w:r>
      <w:r>
        <w:rPr>
          <w:rFonts w:ascii="Consolas" w:hAnsi="Consolas"/>
          <w:color w:val="B03060"/>
          <w:sz w:val="19"/>
        </w:rPr>
        <w:t>CHAR(3)</w:t>
      </w:r>
      <w:r>
        <w:t xml:space="preserve"> column pair. There is no bare-number money column anywhere.</w:t>
      </w:r>
    </w:p>
    <w:p>
      <w:pPr>
        <w:pStyle w:val="ListBullet"/>
      </w:pPr>
      <w:r>
        <w:rPr>
          <w:b/>
        </w:rPr>
        <w:t>Amounts</w:t>
      </w:r>
      <w:r>
        <w:t xml:space="preserve"> are </w:t>
      </w:r>
      <w:r>
        <w:rPr>
          <w:rFonts w:ascii="Consolas" w:hAnsi="Consolas"/>
          <w:color w:val="B03060"/>
          <w:sz w:val="19"/>
        </w:rPr>
        <w:t>BigDecimal</w:t>
      </w:r>
      <w:r>
        <w:t>/</w:t>
      </w:r>
      <w:r>
        <w:rPr>
          <w:rFonts w:ascii="Consolas" w:hAnsi="Consolas"/>
          <w:color w:val="B03060"/>
          <w:sz w:val="19"/>
        </w:rPr>
        <w:t>NUMERIC(19,4)</w:t>
      </w:r>
      <w:r>
        <w:t xml:space="preserve">; </w:t>
      </w:r>
      <w:r>
        <w:rPr>
          <w:b/>
        </w:rPr>
        <w:t>rates</w:t>
      </w:r>
      <w:r>
        <w:t xml:space="preserve"> </w:t>
      </w:r>
      <w:r>
        <w:rPr>
          <w:rFonts w:ascii="Consolas" w:hAnsi="Consolas"/>
          <w:color w:val="B03060"/>
          <w:sz w:val="19"/>
        </w:rPr>
        <w:t>NUMERIC(19,8)</w:t>
      </w:r>
      <w:r>
        <w:t xml:space="preserve">; never </w:t>
      </w:r>
      <w:r>
        <w:rPr>
          <w:rFonts w:ascii="Consolas" w:hAnsi="Consolas"/>
          <w:color w:val="B03060"/>
          <w:sz w:val="19"/>
        </w:rPr>
        <w:t>float</w:t>
      </w:r>
      <w:r>
        <w:t>/</w:t>
      </w:r>
      <w:r>
        <w:rPr>
          <w:rFonts w:ascii="Consolas" w:hAnsi="Consolas"/>
          <w:color w:val="B03060"/>
          <w:sz w:val="19"/>
        </w:rPr>
        <w:t>double</w:t>
      </w:r>
      <w:r>
        <w:t>. Rounding is HALF_UP to the currency's minor unit, at the boundary only.</w:t>
      </w:r>
    </w:p>
    <w:p>
      <w:pPr>
        <w:pStyle w:val="ListBullet"/>
      </w:pPr>
      <w:r>
        <w:t xml:space="preserve">Each </w:t>
      </w:r>
      <w:r>
        <w:rPr>
          <w:b/>
        </w:rPr>
        <w:t>company</w:t>
      </w:r>
      <w:r>
        <w:t xml:space="preserve"> has a configurable </w:t>
      </w:r>
      <w:r>
        <w:rPr>
          <w:b/>
        </w:rPr>
        <w:t>base (functional) currency</w:t>
      </w:r>
      <w:r>
        <w:t xml:space="preserve"> (default TZS), read from config — never a hard-coded literal.</w:t>
      </w:r>
    </w:p>
    <w:p>
      <w:pPr>
        <w:pStyle w:val="ListBullet"/>
      </w:pPr>
      <w:r>
        <w:rPr>
          <w:b/>
        </w:rPr>
        <w:t>The GL posts in base currency only.</w:t>
      </w:r>
      <w:r>
        <w:t xml:space="preserve"> When a document is in a foreign currency, it stores the document-currency amount, the </w:t>
      </w:r>
      <w:r>
        <w:rPr>
          <w:b/>
        </w:rPr>
        <w:t>base-currency equivalent</w:t>
      </w:r>
      <w:r>
        <w:t xml:space="preserve">, and the </w:t>
      </w:r>
      <w:r>
        <w:rPr>
          <w:b/>
        </w:rPr>
        <w:t>exchange rate used</w:t>
      </w:r>
      <w:r>
        <w:t>, captured at transaction time and immutable thereafter (a posted historical amount is never recomputed when rates move). The GL receives the base-currency figures; the trial balance and statements are base-currency (ADR-0013 D-9, ADR-0005 D-5).</w:t>
      </w:r>
    </w:p>
    <w:p>
      <w:pPr>
        <w:pStyle w:val="ListBullet"/>
      </w:pPr>
      <w:r>
        <w:t xml:space="preserve">Mixed-currency arithmetic is illegal at the type level: </w:t>
      </w:r>
      <w:r>
        <w:rPr>
          <w:rFonts w:ascii="Consolas" w:hAnsi="Consolas"/>
          <w:color w:val="B03060"/>
          <w:sz w:val="19"/>
        </w:rPr>
        <w:t>Money.plus</w:t>
      </w:r>
      <w:r>
        <w:t>/</w:t>
      </w:r>
      <w:r>
        <w:rPr>
          <w:rFonts w:ascii="Consolas" w:hAnsi="Consolas"/>
          <w:color w:val="B03060"/>
          <w:sz w:val="19"/>
        </w:rPr>
        <w:t>minus</w:t>
      </w:r>
      <w:r>
        <w:t>/</w:t>
      </w:r>
      <w:r>
        <w:rPr>
          <w:rFonts w:ascii="Consolas" w:hAnsi="Consolas"/>
          <w:color w:val="B03060"/>
          <w:sz w:val="19"/>
        </w:rPr>
        <w:t>compareTo</w:t>
      </w:r>
      <w:r>
        <w:t xml:space="preserve"> throw on a currency mismatch. A "total balance" across currencies is not a scalar </w:t>
      </w:r>
      <w:r>
        <w:rPr>
          <w:rFonts w:ascii="Consolas" w:hAnsi="Consolas"/>
          <w:color w:val="B03060"/>
          <w:sz w:val="19"/>
        </w:rPr>
        <w:t>SUM</w:t>
      </w:r>
      <w:r>
        <w:t xml:space="preserve"> — it is per-currency balances plus an explicit, rate-stamped conversion.</w:t>
      </w:r>
    </w:p>
    <w:p>
      <w:pPr>
        <w:pStyle w:val="ListBullet"/>
      </w:pPr>
      <w:r>
        <w:t xml:space="preserve">The full FX engine (effective-dated rate master, conversion, realized FX on settlement, period-end </w:t>
      </w:r>
      <w:r>
        <w:rPr>
          <w:b/>
        </w:rPr>
        <w:t>unrealized</w:t>
      </w:r>
      <w:r>
        <w:t xml:space="preserve"> revaluation runs) is built (ADR-0036, V77–V80); the recording shape ADR-0005 reserved meant adding it was additive, not a migration of live posting tables.</w:t>
      </w:r>
    </w:p>
    <w:p>
      <w:r>
        <w:t xml:space="preserve">On the wire, money is an object — </w:t>
      </w:r>
      <w:r>
        <w:rPr>
          <w:rFonts w:ascii="Consolas" w:hAnsi="Consolas"/>
          <w:color w:val="B03060"/>
          <w:sz w:val="19"/>
        </w:rPr>
        <w:t>{ "amount": "1500.0000", "currency": "TZS", "display": "TZS 1,500.00" }</w:t>
      </w:r>
      <w:r>
        <w:t xml:space="preserve"> — with </w:t>
      </w:r>
      <w:r>
        <w:rPr>
          <w:rFonts w:ascii="Consolas" w:hAnsi="Consolas"/>
          <w:color w:val="B03060"/>
          <w:sz w:val="19"/>
        </w:rPr>
        <w:t>amount</w:t>
      </w:r>
      <w:r>
        <w:t xml:space="preserve"> as a </w:t>
      </w:r>
      <w:r>
        <w:rPr>
          <w:b/>
        </w:rPr>
        <w:t>string</w:t>
      </w:r>
      <w:r>
        <w:t xml:space="preserve"> (exact end-to-end; JSON numbers would lose precision in JavaScript). The Angular type is </w:t>
      </w:r>
      <w:r>
        <w:rPr>
          <w:rFonts w:ascii="Consolas" w:hAnsi="Consolas"/>
          <w:color w:val="B03060"/>
          <w:sz w:val="19"/>
        </w:rPr>
        <w:t>interface Money { amount: string; currency: string; display?: string; }</w:t>
      </w:r>
      <w:r>
        <w:t>.</w:t>
      </w:r>
    </w:p>
    <w:p>
      <w:pPr>
        <w:pStyle w:val="Heading2"/>
      </w:pPr>
      <w:r>
        <w:t>8. How modules integrate (events, not direct calls)</w:t>
      </w:r>
    </w:p>
    <w:p>
      <w:r>
        <w:t xml:space="preserve">The integration rule is absolute: </w:t>
      </w:r>
      <w:r>
        <w:rPr>
          <w:b/>
        </w:rPr>
        <w:t>modules never call each other's services for a side effect, and never import each other's entities.</w:t>
      </w:r>
      <w:r>
        <w:t xml:space="preserve"> The two legitimate cross-module surfaces are:</w:t>
      </w:r>
    </w:p>
    <w:p>
      <w:pPr>
        <w:pStyle w:val="ListNumber"/>
      </w:pPr>
      <w:r>
        <w:rPr>
          <w:b/>
        </w:rPr>
        <w:t>DTOs / enums</w:t>
      </w:r>
      <w:r>
        <w:t xml:space="preserve"> — a module may read another module's data through a published </w:t>
      </w:r>
      <w:r>
        <w:rPr>
          <w:rFonts w:ascii="Consolas" w:hAnsi="Consolas"/>
          <w:color w:val="B03060"/>
          <w:sz w:val="19"/>
        </w:rPr>
        <w:t>domain.dto</w:t>
      </w:r>
      <w:r>
        <w:t xml:space="preserve"> service method or a scalar-id projection (e.g. GL re-reading invoice totals through a Sales DTO). It never imports the other module's entity.</w:t>
      </w:r>
    </w:p>
    <w:p>
      <w:pPr>
        <w:pStyle w:val="ListNumber"/>
      </w:pPr>
      <w:r>
        <w:rPr>
          <w:b/>
        </w:rPr>
        <w:t>The transactional outbox</w:t>
      </w:r>
      <w:r>
        <w:t xml:space="preserve"> — for an *effect*. The canonical chains:</w:t>
      </w:r>
    </w:p>
    <w:p>
      <w:pPr>
        <w:pStyle w:val="ListBullet"/>
        <w:ind w:left="720"/>
      </w:pPr>
      <w:r>
        <w:rPr>
          <w:b/>
        </w:rPr>
        <w:t>Sales → Stock / GL.</w:t>
      </w:r>
      <w:r>
        <w:t xml:space="preserve"> A finalised invoice publishes 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; the stock module deducts inventory (exploding recipes for composed products) and the GL module posts the revenue/VAT/AR-or-cash journal — each off the one event, each idempotent. A void publishes </w:t>
      </w:r>
      <w:r>
        <w:rPr>
          <w:rFonts w:ascii="Consolas" w:hAnsi="Consolas"/>
          <w:color w:val="B03060"/>
          <w:sz w:val="19"/>
        </w:rPr>
        <w:t>SALE.VOIDED</w:t>
      </w:r>
      <w:r>
        <w:t>; both modules post their reversals.</w:t>
      </w:r>
    </w:p>
    <w:p>
      <w:pPr>
        <w:pStyle w:val="ListBullet"/>
        <w:ind w:left="720"/>
      </w:pPr>
      <w:r>
        <w:rPr>
          <w:b/>
        </w:rPr>
        <w:t>Procurement → Stock.</w:t>
      </w:r>
      <w:r>
        <w:t xml:space="preserve"> A goods receipt publishes </w:t>
      </w:r>
      <w:r>
        <w:rPr>
          <w:rFonts w:ascii="Consolas" w:hAnsi="Consolas"/>
          <w:color w:val="B03060"/>
          <w:sz w:val="19"/>
        </w:rPr>
        <w:t>STOCK.RECEIVED</w:t>
      </w:r>
      <w:r>
        <w:t>; the stock module records the receipt movement.</w:t>
      </w:r>
    </w:p>
    <w:p>
      <w:pPr>
        <w:pStyle w:val="ListBullet"/>
        <w:ind w:left="720"/>
      </w:pPr>
      <w:r>
        <w:rPr>
          <w:b/>
        </w:rPr>
        <w:t>Approvals → consumers.</w:t>
      </w:r>
      <w:r>
        <w:t xml:space="preserve"> The approvals engine publishes </w:t>
      </w:r>
      <w:r>
        <w:rPr>
          <w:rFonts w:ascii="Consolas" w:hAnsi="Consolas"/>
          <w:color w:val="B03060"/>
          <w:sz w:val="19"/>
        </w:rPr>
        <w:t>APPROVAL.RESOLVED</w:t>
      </w:r>
      <w:r>
        <w:t xml:space="preserve"> for asynchronous consumers, and exposes a synchronous </w:t>
      </w:r>
      <w:r>
        <w:rPr>
          <w:rFonts w:ascii="Consolas" w:hAnsi="Consolas"/>
          <w:color w:val="B03060"/>
          <w:sz w:val="19"/>
        </w:rPr>
        <w:t>getApprovalState</w:t>
      </w:r>
      <w:r>
        <w:t xml:space="preserve"> gate for modules that must block on approval (ADR-0022).</w:t>
      </w:r>
    </w:p>
    <w:p>
      <w:r>
        <w:t xml:space="preserve">This keeps </w:t>
      </w:r>
      <w:r>
        <w:rPr>
          <w:rFonts w:ascii="Consolas" w:hAnsi="Consolas"/>
          <w:color w:val="B03060"/>
          <w:sz w:val="19"/>
        </w:rPr>
        <w:t>ModuleBoundaryTest</w:t>
      </w:r>
      <w:r>
        <w:t xml:space="preserve"> green (no module→module edge), keeps each module's transaction its own, and makes every cross-module effect crash-safe and idempotent.</w:t>
      </w:r>
    </w:p>
    <w:p>
      <w:pPr>
        <w:pStyle w:val="Heading2"/>
      </w:pPr>
      <w:r>
        <w:t>9. Persistence &amp; migrations</w:t>
      </w:r>
    </w:p>
    <w:p>
      <w:pPr>
        <w:pStyle w:val="ListBullet"/>
      </w:pPr>
      <w:r>
        <w:rPr>
          <w:b/>
        </w:rPr>
        <w:t>Flyway</w:t>
      </w:r>
      <w:r>
        <w:t xml:space="preserve"> owns every schema change; </w:t>
      </w:r>
      <w:r>
        <w:rPr>
          <w:rFonts w:ascii="Consolas" w:hAnsi="Consolas"/>
          <w:color w:val="B03060"/>
          <w:sz w:val="19"/>
        </w:rPr>
        <w:t>ddl-auto=validate</w:t>
      </w:r>
      <w:r>
        <w:t xml:space="preserve"> (never </w:t>
      </w:r>
      <w:r>
        <w:rPr>
          <w:rFonts w:ascii="Consolas" w:hAnsi="Consolas"/>
          <w:color w:val="B03060"/>
          <w:sz w:val="19"/>
        </w:rPr>
        <w:t>update</w:t>
      </w:r>
      <w:r>
        <w:t xml:space="preserve">). Migrations are sequential and additive once shipped — </w:t>
      </w:r>
      <w:r>
        <w:rPr>
          <w:rFonts w:ascii="Consolas" w:hAnsi="Consolas"/>
          <w:color w:val="B03060"/>
          <w:sz w:val="19"/>
        </w:rPr>
        <w:t>V1</w:t>
      </w:r>
      <w:r>
        <w:t xml:space="preserve"> (IAM baseline) through </w:t>
      </w:r>
      <w:r>
        <w:rPr>
          <w:rFonts w:ascii="Consolas" w:hAnsi="Consolas"/>
          <w:color w:val="B03060"/>
          <w:sz w:val="19"/>
        </w:rPr>
        <w:t>V83</w:t>
      </w:r>
      <w:r>
        <w:t xml:space="preserve">. A new module lands as a new </w:t>
      </w:r>
      <w:r>
        <w:rPr>
          <w:rFonts w:ascii="Consolas" w:hAnsi="Consolas"/>
          <w:color w:val="B03060"/>
          <w:sz w:val="19"/>
        </w:rPr>
        <w:t>V&lt;n&gt;</w:t>
      </w:r>
      <w:r>
        <w:t xml:space="preserve"> file and never edits a shipped one.</w:t>
      </w:r>
    </w:p>
    <w:p>
      <w:pPr>
        <w:pStyle w:val="ListBullet"/>
      </w:pPr>
      <w:r>
        <w:rPr>
          <w:b/>
        </w:rPr>
        <w:t>Optimistic locking</w:t>
      </w:r>
      <w:r>
        <w:t xml:space="preserve"> (</w:t>
      </w:r>
      <w:r>
        <w:rPr>
          <w:rFonts w:ascii="Consolas" w:hAnsi="Consolas"/>
          <w:color w:val="B03060"/>
          <w:sz w:val="19"/>
        </w:rPr>
        <w:t>@Version</w:t>
      </w:r>
      <w:r>
        <w:t>) on mutable aggregates.</w:t>
      </w:r>
    </w:p>
    <w:p>
      <w:pPr>
        <w:pStyle w:val="ListBullet"/>
      </w:pPr>
      <w:r>
        <w:rPr>
          <w:b/>
        </w:rPr>
        <w:t>Append-only</w:t>
      </w:r>
      <w:r>
        <w:t xml:space="preserve"> posting tables (the GL, </w:t>
      </w:r>
      <w:r>
        <w:rPr>
          <w:rFonts w:ascii="Consolas" w:hAnsi="Consolas"/>
          <w:color w:val="B03060"/>
          <w:sz w:val="19"/>
        </w:rPr>
        <w:t>stock_movements</w:t>
      </w:r>
      <w:r>
        <w:t xml:space="preserve">, </w:t>
      </w:r>
      <w:r>
        <w:rPr>
          <w:rFonts w:ascii="Consolas" w:hAnsi="Consolas"/>
          <w:color w:val="B03060"/>
          <w:sz w:val="19"/>
        </w:rPr>
        <w:t>audit_log</w:t>
      </w:r>
      <w:r>
        <w:t>) — corrections are new rows.</w:t>
      </w:r>
    </w:p>
    <w:p>
      <w:pPr>
        <w:pStyle w:val="ListBullet"/>
      </w:pPr>
      <w:r>
        <w:rPr>
          <w:b/>
        </w:rPr>
        <w:t>PostgreSQL-native where it pays</w:t>
      </w:r>
      <w:r>
        <w:t xml:space="preserve">: </w:t>
      </w:r>
      <w:r>
        <w:rPr>
          <w:rFonts w:ascii="Consolas" w:hAnsi="Consolas"/>
          <w:color w:val="B03060"/>
          <w:sz w:val="19"/>
        </w:rPr>
        <w:t>JSONB</w:t>
      </w:r>
      <w:r>
        <w:t xml:space="preserve"> for audit detail / tax summary / event payload; partial and expression indexes (the outbox </w:t>
      </w:r>
      <w:r>
        <w:rPr>
          <w:rFonts w:ascii="Consolas" w:hAnsi="Consolas"/>
          <w:color w:val="B03060"/>
          <w:sz w:val="19"/>
        </w:rPr>
        <w:t>PENDING</w:t>
      </w:r>
      <w:r>
        <w:t xml:space="preserve"> index, the default-branch uniques </w:t>
      </w:r>
      <w:r>
        <w:rPr>
          <w:rFonts w:ascii="Consolas" w:hAnsi="Consolas"/>
          <w:color w:val="B03060"/>
          <w:sz w:val="19"/>
        </w:rPr>
        <w:t>WHERE is_default</w:t>
      </w:r>
      <w:r>
        <w:t xml:space="preserve">); </w:t>
      </w:r>
      <w:r>
        <w:rPr>
          <w:rFonts w:ascii="Consolas" w:hAnsi="Consolas"/>
          <w:color w:val="B03060"/>
          <w:sz w:val="19"/>
        </w:rPr>
        <w:t>NUMERIC</w:t>
      </w:r>
      <w:r>
        <w:t xml:space="preserve"> for money; row-locked </w:t>
      </w:r>
      <w:r>
        <w:rPr>
          <w:rFonts w:ascii="Consolas" w:hAnsi="Consolas"/>
          <w:color w:val="B03060"/>
          <w:sz w:val="19"/>
        </w:rPr>
        <w:t>code_sequence</w:t>
      </w:r>
      <w:r>
        <w:t xml:space="preserve"> for concurrency-safe document numbering.</w:t>
      </w:r>
    </w:p>
    <w:p>
      <w:pPr>
        <w:pStyle w:val="Heading2"/>
      </w:pPr>
      <w:r>
        <w:t>10. Audit</w:t>
      </w:r>
    </w:p>
    <w:p>
      <w:r>
        <w:t xml:space="preserve">An </w:t>
      </w:r>
      <w:r>
        <w:rPr>
          <w:b/>
        </w:rPr>
        <w:t>audit aspect</w:t>
      </w:r>
      <w:r>
        <w:t xml:space="preserve"> writes </w:t>
      </w:r>
      <w:r>
        <w:rPr>
          <w:rFonts w:ascii="Consolas" w:hAnsi="Consolas"/>
          <w:color w:val="B03060"/>
          <w:sz w:val="19"/>
        </w:rPr>
        <w:t>audit_log</w:t>
      </w:r>
      <w:r>
        <w:t xml:space="preserve"> rows for significant actions (user/role/branch changes, password reset, lockout, login success/failure, posting events) — written by the aspect, not the calling code, so it cannot be forgotten (ADR-0004). The log is </w:t>
      </w:r>
      <w:r>
        <w:rPr>
          <w:b/>
        </w:rPr>
        <w:t>append-only</w:t>
      </w:r>
      <w:r>
        <w:t xml:space="preserve">: no </w:t>
      </w:r>
      <w:r>
        <w:rPr>
          <w:rFonts w:ascii="Consolas" w:hAnsi="Consolas"/>
          <w:color w:val="B03060"/>
          <w:sz w:val="19"/>
        </w:rPr>
        <w:t>UPDATE</w:t>
      </w:r>
      <w:r>
        <w:t>/</w:t>
      </w:r>
      <w:r>
        <w:rPr>
          <w:rFonts w:ascii="Consolas" w:hAnsi="Consolas"/>
          <w:color w:val="B03060"/>
          <w:sz w:val="19"/>
        </w:rPr>
        <w:t>DELETE</w:t>
      </w:r>
      <w:r>
        <w:t xml:space="preserve"> through the application, and the deploy grants the app DB role no update/delete on the table. </w:t>
      </w:r>
      <w:r>
        <w:rPr>
          <w:rFonts w:ascii="Consolas" w:hAnsi="Consolas"/>
          <w:color w:val="B03060"/>
          <w:sz w:val="19"/>
        </w:rPr>
        <w:t>detail</w:t>
      </w:r>
      <w:r>
        <w:t xml:space="preserve"> is </w:t>
      </w:r>
      <w:r>
        <w:rPr>
          <w:rFonts w:ascii="Consolas" w:hAnsi="Consolas"/>
          <w:color w:val="B03060"/>
          <w:sz w:val="19"/>
        </w:rPr>
        <w:t>JSONB</w:t>
      </w:r>
      <w:r>
        <w:t xml:space="preserve"> (before/after or context). The outbox itself does not write audit — the business action audits, the </w:t>
      </w:r>
      <w:r>
        <w:rPr>
          <w:rFonts w:ascii="Consolas" w:hAnsi="Consolas"/>
          <w:color w:val="B03060"/>
          <w:sz w:val="19"/>
        </w:rPr>
        <w:t>domain_events</w:t>
      </w:r>
      <w:r>
        <w:t xml:space="preserve"> row records delivery, and the ledger records the effect; three append-only trails, no redundancy (ADR-0009 D-9).</w:t>
      </w:r>
    </w:p>
    <w:p>
      <w:pPr>
        <w:pStyle w:val="Heading2"/>
      </w:pPr>
      <w:r>
        <w:t>11. Deployment topology</w:t>
      </w:r>
    </w:p>
    <w:p>
      <w:r>
        <w:t xml:space="preserve">A single Spring Boot container against a single PostgreSQL. Flyway validates the schema on start. The dispatcher is a single </w:t>
      </w:r>
      <w:r>
        <w:rPr>
          <w:rFonts w:ascii="Consolas" w:hAnsi="Consolas"/>
          <w:color w:val="B03060"/>
          <w:sz w:val="19"/>
        </w:rPr>
        <w:t>@Scheduled</w:t>
      </w:r>
      <w:r>
        <w:t xml:space="preserve"> bean — correct under one container. Local development runs PostgreSQL in Docker (port 5434), the backend on 8081 (a dev profile bootstraps the root admin), and </w:t>
      </w:r>
      <w:r>
        <w:rPr>
          <w:rFonts w:ascii="Consolas" w:hAnsi="Consolas"/>
          <w:color w:val="B03060"/>
          <w:sz w:val="19"/>
        </w:rPr>
        <w:t>ng serve</w:t>
      </w:r>
      <w:r>
        <w:t xml:space="preserve"> on 4200; production loads a stable RS256 key from a secret store (a gating item before any prod deploy). Running more than one API container requires the outbox </w:t>
      </w:r>
      <w:r>
        <w:rPr>
          <w:rFonts w:ascii="Consolas" w:hAnsi="Consolas"/>
          <w:color w:val="B03060"/>
          <w:sz w:val="19"/>
        </w:rPr>
        <w:t>SKIP LOCKED</w:t>
      </w:r>
      <w:r>
        <w:t xml:space="preserve"> upgrade first (§5).</w:t>
      </w:r>
    </w:p>
    <w:p>
      <w:r>
        <w:br/>
      </w:r>
    </w:p>
    <w:p>
      <w:pPr>
        <w:pStyle w:val="Heading1"/>
      </w:pPr>
      <w:r>
        <w:t>Module Catalog</w:t>
      </w:r>
    </w:p>
    <w:p>
      <w:r>
        <w:t xml:space="preserve">A reference to every module in ERPCLEAN2: its purpose, key entities, the controllers and base paths it exposes, its permission family, and the governing ADR. The system has ~116 REST controllers grouped into the modules below. All paths are under </w:t>
      </w:r>
      <w:r>
        <w:rPr>
          <w:rFonts w:ascii="Consolas" w:hAnsi="Consolas"/>
          <w:color w:val="B03060"/>
          <w:sz w:val="19"/>
        </w:rPr>
        <w:t>/api/v1</w:t>
      </w:r>
      <w:r>
        <w:t xml:space="preserve">. All controllers are flat in </w:t>
      </w:r>
      <w:r>
        <w:rPr>
          <w:rFonts w:ascii="Consolas" w:hAnsi="Consolas"/>
          <w:color w:val="B03060"/>
          <w:sz w:val="19"/>
        </w:rPr>
        <w:t>com.erp.api</w:t>
      </w:r>
      <w:r>
        <w:t xml:space="preserve">; domain logic lives in </w:t>
      </w:r>
      <w:r>
        <w:rPr>
          <w:rFonts w:ascii="Consolas" w:hAnsi="Consolas"/>
          <w:color w:val="B03060"/>
          <w:sz w:val="19"/>
        </w:rPr>
        <w:t>com.erp.modules.&lt;name&gt;</w:t>
      </w:r>
      <w:r>
        <w:t xml:space="preserve"> (business modules) or </w:t>
      </w:r>
      <w:r>
        <w:rPr>
          <w:rFonts w:ascii="Consolas" w:hAnsi="Consolas"/>
          <w:color w:val="B03060"/>
          <w:sz w:val="19"/>
        </w:rPr>
        <w:t>com.erp.platform.*</w:t>
      </w:r>
      <w:r>
        <w:t xml:space="preserve"> (the spine). Permission codes are dot-separated and gate endpoints via </w:t>
      </w:r>
      <w:r>
        <w:rPr>
          <w:rFonts w:ascii="Consolas" w:hAnsi="Consolas"/>
          <w:color w:val="B03060"/>
          <w:sz w:val="19"/>
        </w:rPr>
        <w:t>@PreAuthorize</w:t>
      </w:r>
      <w:r>
        <w:t>.</w:t>
      </w:r>
    </w:p>
    <w:p>
      <w:r>
        <w:t>The catalog is organised by area. Within each area, the controller list is the verified set from the shipped code.</w:t>
      </w:r>
    </w:p>
    <w:p>
      <w:pPr>
        <w:pStyle w:val="Heading2"/>
      </w:pPr>
      <w:r>
        <w:t>Platform spine</w:t>
      </w:r>
    </w:p>
    <w:p>
      <w:r>
        <w:t>These are not business modules — they are the shared infrastructure every module rests 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Security / RBAC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platform.security</w:t>
            </w:r>
          </w:p>
        </w:tc>
        <w:tc>
          <w:tcPr>
            <w:tcW w:type="dxa" w:w="2880"/>
          </w:tcPr>
          <w:p>
            <w:r>
              <w:t xml:space="preserve">JWT (RS256) issue/verify, </w:t>
            </w:r>
            <w:r>
              <w:rPr>
                <w:rFonts w:ascii="Consolas" w:hAnsi="Consolas"/>
                <w:color w:val="B03060"/>
                <w:sz w:val="19"/>
              </w:rPr>
              <w:t>RequestContext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@perm</w:t>
            </w:r>
            <w:r>
              <w:t xml:space="preserve"> permission resolver, </w:t>
            </w:r>
            <w:r>
              <w:rPr>
                <w:rFonts w:ascii="Consolas" w:hAnsi="Consolas"/>
                <w:color w:val="B03060"/>
                <w:sz w:val="19"/>
              </w:rPr>
              <w:t>ScopeGuard</w:t>
            </w:r>
            <w:r>
              <w:t xml:space="preserve"> (uid → scope)</w:t>
            </w:r>
          </w:p>
        </w:tc>
      </w:tr>
      <w:tr>
        <w:tc>
          <w:tcPr>
            <w:tcW w:type="dxa" w:w="2880"/>
          </w:tcPr>
          <w:p>
            <w:r>
              <w:t>IAM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platform.iam</w:t>
            </w:r>
          </w:p>
        </w:tc>
        <w:tc>
          <w:tcPr>
            <w:tcW w:type="dxa" w:w="2880"/>
          </w:tcPr>
          <w:p>
            <w:r>
              <w:t>App users, roles, permissions, assignments</w:t>
            </w:r>
          </w:p>
        </w:tc>
      </w:tr>
      <w:tr>
        <w:tc>
          <w:tcPr>
            <w:tcW w:type="dxa" w:w="2880"/>
          </w:tcPr>
          <w:p>
            <w:r>
              <w:t>Company / tenancy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platform.company</w:t>
            </w:r>
          </w:p>
        </w:tc>
        <w:tc>
          <w:tcPr>
            <w:tcW w:type="dxa" w:w="2880"/>
          </w:tcPr>
          <w:p>
            <w:r>
              <w:t>Organisation → Company → Branch</w:t>
            </w:r>
          </w:p>
        </w:tc>
      </w:tr>
      <w:tr>
        <w:tc>
          <w:tcPr>
            <w:tcW w:type="dxa" w:w="2880"/>
          </w:tcPr>
          <w:p>
            <w:r>
              <w:t>Document numbering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platform.sequence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code_sequence</w:t>
            </w:r>
            <w:r>
              <w:t xml:space="preserve"> row-locked allocation (</w:t>
            </w:r>
            <w:r>
              <w:rPr>
                <w:rFonts w:ascii="Consolas" w:hAnsi="Consolas"/>
                <w:color w:val="B03060"/>
                <w:sz w:val="19"/>
              </w:rPr>
              <w:t>JB-####</w:t>
            </w:r>
            <w:r>
              <w:t>, invoice numbers, …)</w:t>
            </w:r>
          </w:p>
        </w:tc>
      </w:tr>
      <w:tr>
        <w:tc>
          <w:tcPr>
            <w:tcW w:type="dxa" w:w="2880"/>
          </w:tcPr>
          <w:p>
            <w:r>
              <w:t>Outbox / events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platform.events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domain_events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processed_events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@Scheduled</w:t>
            </w:r>
            <w:r>
              <w:t xml:space="preserve"> dispatcher (ADR-0009)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platform.audit</w:t>
            </w:r>
          </w:p>
        </w:tc>
        <w:tc>
          <w:tcPr>
            <w:tcW w:type="dxa" w:w="2880"/>
          </w:tcPr>
          <w:p>
            <w:r>
              <w:t xml:space="preserve">Audit aspect → append-only </w:t>
            </w:r>
            <w:r>
              <w:rPr>
                <w:rFonts w:ascii="Consolas" w:hAnsi="Consolas"/>
                <w:color w:val="B03060"/>
                <w:sz w:val="19"/>
              </w:rPr>
              <w:t>audit_log</w:t>
            </w:r>
            <w:r>
              <w:t xml:space="preserve"> (ADR-0004)</w:t>
            </w:r>
          </w:p>
        </w:tc>
      </w:tr>
      <w:tr>
        <w:tc>
          <w:tcPr>
            <w:tcW w:type="dxa" w:w="2880"/>
          </w:tcPr>
          <w:p>
            <w:r>
              <w:t>Common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platform.common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ApiResponse&lt;T&gt;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Money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UidEntity</w:t>
            </w:r>
            <w:r>
              <w:t>, error model, validation</w:t>
            </w:r>
          </w:p>
        </w:tc>
      </w:tr>
    </w:tbl>
    <w:p/>
    <w:p>
      <w:r>
        <w:t>The outbox has no controller, no REST surface, and no permission — it is internal plumbing.</w:t>
      </w:r>
    </w:p>
    <w:p>
      <w:pPr>
        <w:pStyle w:val="Heading2"/>
      </w:pPr>
      <w:r>
        <w:t>IAM — Identity &amp; Access (ADR-0001, ADR-0002, ADR-0003, ADR-0004)</w:t>
      </w:r>
    </w:p>
    <w:p>
      <w:pPr>
        <w:pStyle w:val="ListBullet"/>
      </w:pPr>
      <w:r>
        <w:rPr>
          <w:b/>
        </w:rPr>
        <w:t>Purpose.</w:t>
      </w:r>
      <w:r>
        <w:t xml:space="preserve"> The security spine: authentication, the org/company/branch tenant tree, users, roles, permissions, branch assignment, and the audit trail. Built first; everything hangs off it.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organisation</w:t>
      </w:r>
      <w:r>
        <w:t xml:space="preserve">, </w:t>
      </w:r>
      <w:r>
        <w:rPr>
          <w:rFonts w:ascii="Consolas" w:hAnsi="Consolas"/>
          <w:color w:val="B03060"/>
          <w:sz w:val="19"/>
        </w:rPr>
        <w:t>company</w:t>
      </w:r>
      <w:r>
        <w:t xml:space="preserve">, </w:t>
      </w:r>
      <w:r>
        <w:rPr>
          <w:rFonts w:ascii="Consolas" w:hAnsi="Consolas"/>
          <w:color w:val="B03060"/>
          <w:sz w:val="19"/>
        </w:rPr>
        <w:t>branch</w:t>
      </w:r>
      <w:r>
        <w:t xml:space="preserve">, </w:t>
      </w:r>
      <w:r>
        <w:rPr>
          <w:rFonts w:ascii="Consolas" w:hAnsi="Consolas"/>
          <w:color w:val="B03060"/>
          <w:sz w:val="19"/>
        </w:rPr>
        <w:t>app_user</w:t>
      </w:r>
      <w:r>
        <w:t xml:space="preserve">, </w:t>
      </w:r>
      <w:r>
        <w:rPr>
          <w:rFonts w:ascii="Consolas" w:hAnsi="Consolas"/>
          <w:color w:val="B03060"/>
          <w:sz w:val="19"/>
        </w:rPr>
        <w:t>permission</w:t>
      </w:r>
      <w:r>
        <w:t xml:space="preserve">, </w:t>
      </w:r>
      <w:r>
        <w:rPr>
          <w:rFonts w:ascii="Consolas" w:hAnsi="Consolas"/>
          <w:color w:val="B03060"/>
          <w:sz w:val="19"/>
        </w:rPr>
        <w:t>role</w:t>
      </w:r>
      <w:r>
        <w:t xml:space="preserve">, </w:t>
      </w:r>
      <w:r>
        <w:rPr>
          <w:rFonts w:ascii="Consolas" w:hAnsi="Consolas"/>
          <w:color w:val="B03060"/>
          <w:sz w:val="19"/>
        </w:rPr>
        <w:t>role_permission</w:t>
      </w:r>
      <w:r>
        <w:t xml:space="preserve">, </w:t>
      </w:r>
      <w:r>
        <w:rPr>
          <w:rFonts w:ascii="Consolas" w:hAnsi="Consolas"/>
          <w:color w:val="B03060"/>
          <w:sz w:val="19"/>
        </w:rPr>
        <w:t>user_role</w:t>
      </w:r>
      <w:r>
        <w:t xml:space="preserve">, </w:t>
      </w:r>
      <w:r>
        <w:rPr>
          <w:rFonts w:ascii="Consolas" w:hAnsi="Consolas"/>
          <w:color w:val="B03060"/>
          <w:sz w:val="19"/>
        </w:rPr>
        <w:t>user_branch</w:t>
      </w:r>
      <w:r>
        <w:t xml:space="preserve">, </w:t>
      </w:r>
      <w:r>
        <w:rPr>
          <w:rFonts w:ascii="Consolas" w:hAnsi="Consolas"/>
          <w:color w:val="B03060"/>
          <w:sz w:val="19"/>
        </w:rPr>
        <w:t>user_company</w:t>
      </w:r>
      <w:r>
        <w:t xml:space="preserve">, </w:t>
      </w:r>
      <w:r>
        <w:rPr>
          <w:rFonts w:ascii="Consolas" w:hAnsi="Consolas"/>
          <w:color w:val="B03060"/>
          <w:sz w:val="19"/>
        </w:rPr>
        <w:t>refresh_token</w:t>
      </w:r>
      <w:r>
        <w:t xml:space="preserve">, </w:t>
      </w:r>
      <w:r>
        <w:rPr>
          <w:rFonts w:ascii="Consolas" w:hAnsi="Consolas"/>
          <w:color w:val="B03060"/>
          <w:sz w:val="19"/>
        </w:rPr>
        <w:t>audit_log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USER.*</w:t>
      </w:r>
      <w:r>
        <w:t xml:space="preserve"> (incl. </w:t>
      </w:r>
      <w:r>
        <w:rPr>
          <w:rFonts w:ascii="Consolas" w:hAnsi="Consolas"/>
          <w:color w:val="B03060"/>
          <w:sz w:val="19"/>
        </w:rPr>
        <w:t>USER.COMPANY.MANAGE</w:t>
      </w:r>
      <w:r>
        <w:t xml:space="preserve">), </w:t>
      </w:r>
      <w:r>
        <w:rPr>
          <w:rFonts w:ascii="Consolas" w:hAnsi="Consolas"/>
          <w:color w:val="B03060"/>
          <w:sz w:val="19"/>
        </w:rPr>
        <w:t>ROLE.*</w:t>
      </w:r>
      <w:r>
        <w:t xml:space="preserve">, </w:t>
      </w:r>
      <w:r>
        <w:rPr>
          <w:rFonts w:ascii="Consolas" w:hAnsi="Consolas"/>
          <w:color w:val="B03060"/>
          <w:sz w:val="19"/>
        </w:rPr>
        <w:t>PERMISSION.*</w:t>
      </w:r>
      <w:r>
        <w:t xml:space="preserve">, </w:t>
      </w:r>
      <w:r>
        <w:rPr>
          <w:rFonts w:ascii="Consolas" w:hAnsi="Consolas"/>
          <w:color w:val="B03060"/>
          <w:sz w:val="19"/>
        </w:rPr>
        <w:t>COMPANY.*</w:t>
      </w:r>
      <w:r>
        <w:t xml:space="preserve">, </w:t>
      </w:r>
      <w:r>
        <w:rPr>
          <w:rFonts w:ascii="Consolas" w:hAnsi="Consolas"/>
          <w:color w:val="B03060"/>
          <w:sz w:val="19"/>
        </w:rPr>
        <w:t>BRANCH.*</w:t>
      </w:r>
      <w:r>
        <w:t xml:space="preserve">, </w:t>
      </w:r>
      <w:r>
        <w:rPr>
          <w:rFonts w:ascii="Consolas" w:hAnsi="Consolas"/>
          <w:color w:val="B03060"/>
          <w:sz w:val="19"/>
        </w:rPr>
        <w:t>AUDIT.*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AuthController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/api/v1/auth</w:t>
            </w:r>
          </w:p>
        </w:tc>
        <w:tc>
          <w:tcPr>
            <w:tcW w:type="dxa" w:w="2880"/>
          </w:tcPr>
          <w:p>
            <w:r>
              <w:t>login / refresh / logout (no permission — public/auth)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OrganisationController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/api/v1/organisations</w:t>
            </w:r>
          </w:p>
        </w:tc>
        <w:tc>
          <w:tcPr>
            <w:tcW w:type="dxa" w:w="2880"/>
          </w:tcPr>
          <w:p>
            <w:r>
              <w:t>org tree root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CompanyController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/api/v1/companies</w:t>
            </w:r>
          </w:p>
        </w:tc>
        <w:tc>
          <w:tcPr>
            <w:tcW w:type="dxa" w:w="2880"/>
          </w:tcPr>
          <w:p>
            <w:r>
              <w:t xml:space="preserve">legal entities; base currency; list scoped to the caller's companies (root sees all), same as </w:t>
            </w:r>
            <w:r>
              <w:rPr>
                <w:rFonts w:ascii="Consolas" w:hAnsi="Consolas"/>
                <w:color w:val="B03060"/>
                <w:sz w:val="19"/>
              </w:rPr>
              <w:t>/companies/accessible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BranchController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/api/v1/branches</w:t>
            </w:r>
          </w:p>
        </w:tc>
        <w:tc>
          <w:tcPr>
            <w:tcW w:type="dxa" w:w="2880"/>
          </w:tcPr>
          <w:p>
            <w:r>
              <w:t>locations; set-default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UserController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/api/v1/users</w:t>
            </w:r>
          </w:p>
        </w:tc>
        <w:tc>
          <w:tcPr>
            <w:tcW w:type="dxa" w:w="2880"/>
          </w:tcPr>
          <w:p>
            <w:r>
              <w:t>user CRUD, set-password, unlock; user ⇄ company membership assign/remove (</w:t>
            </w:r>
            <w:r>
              <w:rPr>
                <w:rFonts w:ascii="Consolas" w:hAnsi="Consolas"/>
                <w:color w:val="B03060"/>
                <w:sz w:val="19"/>
              </w:rPr>
              <w:t>USER.COMPANY.MANAGE</w:t>
            </w:r>
            <w:r>
              <w:t>); mutators scope-checked against the loaded user's company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UserBranchController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/api/v1/user-branches</w:t>
            </w:r>
          </w:p>
        </w:tc>
        <w:tc>
          <w:tcPr>
            <w:tcW w:type="dxa" w:w="2880"/>
          </w:tcPr>
          <w:p>
            <w:r>
              <w:t>assign branches, set default; requires an active company membership for the branch's company (ADR-0046)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UserRoleController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/api/v1/user-roles</w:t>
            </w:r>
          </w:p>
        </w:tc>
        <w:tc>
          <w:tcPr>
            <w:tcW w:type="dxa" w:w="2880"/>
          </w:tcPr>
          <w:p>
            <w:r>
              <w:t>grant/revoke roles, scoped to company/branch; grant requires an active company membership for that company (ADR-0046)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RoleController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/api/v1/roles</w:t>
            </w:r>
          </w:p>
        </w:tc>
        <w:tc>
          <w:tcPr>
            <w:tcW w:type="dxa" w:w="2880"/>
          </w:tcPr>
          <w:p>
            <w:r>
              <w:t>role + permission-bundle management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AuditController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/api/v1/audit</w:t>
            </w:r>
          </w:p>
        </w:tc>
        <w:tc>
          <w:tcPr>
            <w:tcW w:type="dxa" w:w="2880"/>
          </w:tcPr>
          <w:p>
            <w:r>
              <w:t>read-only audit trail</w:t>
            </w:r>
          </w:p>
        </w:tc>
      </w:tr>
    </w:tbl>
    <w:p/>
    <w:p>
      <w:pPr>
        <w:pStyle w:val="Heading2"/>
      </w:pPr>
      <w:r>
        <w:t>Masters — Parties (ADR-0006)</w:t>
      </w:r>
    </w:p>
    <w:p>
      <w:pPr>
        <w:pStyle w:val="ListBullet"/>
      </w:pPr>
      <w:r>
        <w:rPr>
          <w:b/>
        </w:rPr>
        <w:t>Purpose.</w:t>
      </w:r>
      <w:r>
        <w:t xml:space="preserve"> The trading-partner master data: who the company sells to, buys from, and deals with.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customers</w:t>
      </w:r>
      <w:r>
        <w:t xml:space="preserve">, </w:t>
      </w:r>
      <w:r>
        <w:rPr>
          <w:rFonts w:ascii="Consolas" w:hAnsi="Consolas"/>
          <w:color w:val="B03060"/>
          <w:sz w:val="19"/>
        </w:rPr>
        <w:t>suppliers</w:t>
      </w:r>
      <w:r>
        <w:t xml:space="preserve">, </w:t>
      </w:r>
      <w:r>
        <w:rPr>
          <w:rFonts w:ascii="Consolas" w:hAnsi="Consolas"/>
          <w:color w:val="B03060"/>
          <w:sz w:val="19"/>
        </w:rPr>
        <w:t>agents</w:t>
      </w:r>
      <w:r>
        <w:t xml:space="preserve"> (sales agents), </w:t>
      </w:r>
      <w:r>
        <w:rPr>
          <w:rFonts w:ascii="Consolas" w:hAnsi="Consolas"/>
          <w:color w:val="B03060"/>
          <w:sz w:val="19"/>
        </w:rPr>
        <w:t>other_parties</w:t>
      </w:r>
      <w:r>
        <w:t>, party code sequences, branch associations.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CUSTOMER.*</w:t>
      </w:r>
      <w:r>
        <w:t xml:space="preserve">, </w:t>
      </w:r>
      <w:r>
        <w:rPr>
          <w:rFonts w:ascii="Consolas" w:hAnsi="Consolas"/>
          <w:color w:val="B03060"/>
          <w:sz w:val="19"/>
        </w:rPr>
        <w:t>SUPPLIER.*</w:t>
      </w:r>
      <w:r>
        <w:t xml:space="preserve">, </w:t>
      </w:r>
      <w:r>
        <w:rPr>
          <w:rFonts w:ascii="Consolas" w:hAnsi="Consolas"/>
          <w:color w:val="B03060"/>
          <w:sz w:val="19"/>
        </w:rPr>
        <w:t>AGENT.*</w:t>
      </w:r>
      <w:r>
        <w:t xml:space="preserve">, </w:t>
      </w:r>
      <w:r>
        <w:rPr>
          <w:rFonts w:ascii="Consolas" w:hAnsi="Consolas"/>
          <w:color w:val="B03060"/>
          <w:sz w:val="19"/>
        </w:rPr>
        <w:t>OTHERPARTY.*</w:t>
      </w:r>
      <w:r>
        <w:t xml:space="preserve">, </w:t>
      </w:r>
      <w:r>
        <w:rPr>
          <w:rFonts w:ascii="Consolas" w:hAnsi="Consolas"/>
          <w:color w:val="B03060"/>
          <w:sz w:val="19"/>
        </w:rPr>
        <w:t>PARTY.*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CustomerController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/api/v1/customers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SupplierController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/api/v1/suppliers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AgentController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/api/v1/agents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OtherPartyController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/api/v1/other-parties</w:t>
            </w:r>
          </w:p>
        </w:tc>
      </w:tr>
    </w:tbl>
    <w:p/>
    <w:p>
      <w:pPr>
        <w:pStyle w:val="Heading2"/>
      </w:pPr>
      <w:r>
        <w:t>Masters — Catalog / Products (ADR-0007, ADR-0026)</w:t>
      </w:r>
    </w:p>
    <w:p>
      <w:pPr>
        <w:pStyle w:val="ListBullet"/>
      </w:pPr>
      <w:r>
        <w:rPr>
          <w:b/>
        </w:rPr>
        <w:t>Purpose.</w:t>
      </w:r>
      <w:r>
        <w:t xml:space="preserve"> The product/service catalogue and its supporting reference data: products (GOODS=stockable / SERVICE=non-stockable), barcodes, bulk packs, prices, recipe components; units of measure with conversions; price lists; tax rates; distribution routes.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products</w:t>
      </w:r>
      <w:r>
        <w:t xml:space="preserve"> (+ branches/barcodes/bulk-packs/prices/components sub-resources), </w:t>
      </w:r>
      <w:r>
        <w:rPr>
          <w:rFonts w:ascii="Consolas" w:hAnsi="Consolas"/>
          <w:color w:val="B03060"/>
          <w:sz w:val="19"/>
        </w:rPr>
        <w:t>units_of_measure</w:t>
      </w:r>
      <w:r>
        <w:t xml:space="preserve">, </w:t>
      </w:r>
      <w:r>
        <w:rPr>
          <w:rFonts w:ascii="Consolas" w:hAnsi="Consolas"/>
          <w:color w:val="B03060"/>
          <w:sz w:val="19"/>
        </w:rPr>
        <w:t>price_lists</w:t>
      </w:r>
      <w:r>
        <w:t xml:space="preserve">, </w:t>
      </w:r>
      <w:r>
        <w:rPr>
          <w:rFonts w:ascii="Consolas" w:hAnsi="Consolas"/>
          <w:color w:val="B03060"/>
          <w:sz w:val="19"/>
        </w:rPr>
        <w:t>tax_rates</w:t>
      </w:r>
      <w:r>
        <w:t xml:space="preserve">, </w:t>
      </w:r>
      <w:r>
        <w:rPr>
          <w:rFonts w:ascii="Consolas" w:hAnsi="Consolas"/>
          <w:color w:val="B03060"/>
          <w:sz w:val="19"/>
        </w:rPr>
        <w:t>routes</w:t>
      </w:r>
      <w:r>
        <w:t>. Bills of Materials extend products (ADR-0026; see Manufacturing).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PRODUCT.*</w:t>
      </w:r>
      <w:r>
        <w:t xml:space="preserve">, </w:t>
      </w:r>
      <w:r>
        <w:rPr>
          <w:rFonts w:ascii="Consolas" w:hAnsi="Consolas"/>
          <w:color w:val="B03060"/>
          <w:sz w:val="19"/>
        </w:rPr>
        <w:t>UOM.*</w:t>
      </w:r>
      <w:r>
        <w:t xml:space="preserve">, </w:t>
      </w:r>
      <w:r>
        <w:rPr>
          <w:rFonts w:ascii="Consolas" w:hAnsi="Consolas"/>
          <w:color w:val="B03060"/>
          <w:sz w:val="19"/>
        </w:rPr>
        <w:t>PRICELIST.*</w:t>
      </w:r>
      <w:r>
        <w:t xml:space="preserve">, </w:t>
      </w:r>
      <w:r>
        <w:rPr>
          <w:rFonts w:ascii="Consolas" w:hAnsi="Consolas"/>
          <w:color w:val="B03060"/>
          <w:sz w:val="19"/>
        </w:rPr>
        <w:t>TAXRATE.*</w:t>
      </w:r>
      <w:r>
        <w:t xml:space="preserve">, </w:t>
      </w:r>
      <w:r>
        <w:rPr>
          <w:rFonts w:ascii="Consolas" w:hAnsi="Consolas"/>
          <w:color w:val="B03060"/>
          <w:sz w:val="19"/>
        </w:rPr>
        <w:t>ROUTE.*</w:t>
      </w:r>
      <w:r>
        <w:t xml:space="preserve">, </w:t>
      </w:r>
      <w:r>
        <w:rPr>
          <w:rFonts w:ascii="Consolas" w:hAnsi="Consolas"/>
          <w:color w:val="B03060"/>
          <w:sz w:val="19"/>
        </w:rPr>
        <w:t>BOM.*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ProductController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/api/v1/products</w:t>
            </w:r>
            <w:r>
              <w:t xml:space="preserve"> (+ </w:t>
            </w:r>
            <w:r>
              <w:rPr>
                <w:rFonts w:ascii="Consolas" w:hAnsi="Consolas"/>
                <w:color w:val="B03060"/>
                <w:sz w:val="19"/>
              </w:rPr>
              <w:t>/products/uid/{uid}/...</w:t>
            </w:r>
            <w:r>
              <w:t xml:space="preserve"> sub-resources, </w:t>
            </w:r>
            <w:r>
              <w:rPr>
                <w:rFonts w:ascii="Consolas" w:hAnsi="Consolas"/>
                <w:color w:val="B03060"/>
                <w:sz w:val="19"/>
              </w:rPr>
              <w:t>/products/barcode-lookup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UnitOfMeasureController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/api/v1/units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PriceListController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/api/v1/price-lists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TaxRateController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/api/v1/tax-rates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RouteController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/api/v1/routes</w:t>
            </w:r>
          </w:p>
        </w:tc>
      </w:tr>
    </w:tbl>
    <w:p/>
    <w:p>
      <w:pPr>
        <w:pStyle w:val="Heading2"/>
      </w:pPr>
      <w:r>
        <w:t>Sales — Order-to-Cash (ADR-0008, ADR-0021, ADR-0029)</w:t>
      </w:r>
    </w:p>
    <w:p>
      <w:pPr>
        <w:pStyle w:val="ListBullet"/>
      </w:pPr>
      <w:r>
        <w:rPr>
          <w:b/>
        </w:rPr>
        <w:t>Purpose.</w:t>
      </w:r>
      <w:r>
        <w:t xml:space="preserve"> The full O2C chain: Quotation → Sales Order (reserves stock) → Delivery (full/partial/backorder) → Sales Invoice (per-delivery or DIRECT walk-in) → Sales Return (RMA). Finalising an invoice publishes </w:t>
      </w:r>
      <w:r>
        <w:rPr>
          <w:rFonts w:ascii="Consolas" w:hAnsi="Consolas"/>
          <w:color w:val="B03060"/>
          <w:sz w:val="19"/>
        </w:rPr>
        <w:t>SALE.FINALISED</w:t>
      </w:r>
      <w:r>
        <w:t xml:space="preserve"> over the outbox, driving stock deduction and GL posting.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quotations</w:t>
      </w:r>
      <w:r>
        <w:t xml:space="preserve">, </w:t>
      </w:r>
      <w:r>
        <w:rPr>
          <w:rFonts w:ascii="Consolas" w:hAnsi="Consolas"/>
          <w:color w:val="B03060"/>
          <w:sz w:val="19"/>
        </w:rPr>
        <w:t>sales_orders</w:t>
      </w:r>
      <w:r>
        <w:t xml:space="preserve">, </w:t>
      </w:r>
      <w:r>
        <w:rPr>
          <w:rFonts w:ascii="Consolas" w:hAnsi="Consolas"/>
          <w:color w:val="B03060"/>
          <w:sz w:val="19"/>
        </w:rPr>
        <w:t>deliveries</w:t>
      </w:r>
      <w:r>
        <w:t xml:space="preserve">, </w:t>
      </w:r>
      <w:r>
        <w:rPr>
          <w:rFonts w:ascii="Consolas" w:hAnsi="Consolas"/>
          <w:color w:val="B03060"/>
          <w:sz w:val="19"/>
        </w:rPr>
        <w:t>sales_invoices</w:t>
      </w:r>
      <w:r>
        <w:t xml:space="preserve"> (with </w:t>
      </w:r>
      <w:r>
        <w:rPr>
          <w:rFonts w:ascii="Consolas" w:hAnsi="Consolas"/>
          <w:color w:val="B03060"/>
          <w:sz w:val="19"/>
        </w:rPr>
        <w:t>tax_summary</w:t>
      </w:r>
      <w:r>
        <w:t xml:space="preserve"> JSONB), </w:t>
      </w:r>
      <w:r>
        <w:rPr>
          <w:rFonts w:ascii="Consolas" w:hAnsi="Consolas"/>
          <w:color w:val="B03060"/>
          <w:sz w:val="19"/>
        </w:rPr>
        <w:t>sales_returns</w:t>
      </w:r>
      <w:r>
        <w:t>, and their lines.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SALES.*</w:t>
      </w:r>
      <w:r>
        <w:t xml:space="preserve"> (e.g. </w:t>
      </w:r>
      <w:r>
        <w:rPr>
          <w:rFonts w:ascii="Consolas" w:hAnsi="Consolas"/>
          <w:color w:val="B03060"/>
          <w:sz w:val="19"/>
        </w:rPr>
        <w:t>SALES.INVOICE.CREATE</w:t>
      </w:r>
      <w:r>
        <w:t xml:space="preserve">, </w:t>
      </w:r>
      <w:r>
        <w:rPr>
          <w:rFonts w:ascii="Consolas" w:hAnsi="Consolas"/>
          <w:color w:val="B03060"/>
          <w:sz w:val="19"/>
        </w:rPr>
        <w:t>SALES.INVOICE.VOID</w:t>
      </w:r>
      <w:r>
        <w:t xml:space="preserve">, </w:t>
      </w:r>
      <w:r>
        <w:rPr>
          <w:rFonts w:ascii="Consolas" w:hAnsi="Consolas"/>
          <w:color w:val="B03060"/>
          <w:sz w:val="19"/>
        </w:rPr>
        <w:t>SALES.ORDER.*</w:t>
      </w:r>
      <w:r>
        <w:t xml:space="preserve">, </w:t>
      </w:r>
      <w:r>
        <w:rPr>
          <w:rFonts w:ascii="Consolas" w:hAnsi="Consolas"/>
          <w:color w:val="B03060"/>
          <w:sz w:val="19"/>
        </w:rPr>
        <w:t>SALES.QUOTE.*</w:t>
      </w:r>
      <w:r>
        <w:t xml:space="preserve">, </w:t>
      </w:r>
      <w:r>
        <w:rPr>
          <w:rFonts w:ascii="Consolas" w:hAnsi="Consolas"/>
          <w:color w:val="B03060"/>
          <w:sz w:val="19"/>
        </w:rPr>
        <w:t>SALES.DELIVERY.*</w:t>
      </w:r>
      <w:r>
        <w:t xml:space="preserve">, </w:t>
      </w:r>
      <w:r>
        <w:rPr>
          <w:rFonts w:ascii="Consolas" w:hAnsi="Consolas"/>
          <w:color w:val="B03060"/>
          <w:sz w:val="19"/>
        </w:rPr>
        <w:t>SALES.RETURN.*</w:t>
      </w:r>
      <w:r>
        <w:t>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QuotationController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/api/v1/quotations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SalesOrderController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/api/v1/sales-orders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DeliveryController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/api/v1/deliveries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SalesInvoiceController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/api/v1/sales-invoices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SalesReturnController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/api/v1/sales-returns</w:t>
            </w:r>
          </w:p>
        </w:tc>
      </w:tr>
    </w:tbl>
    <w:p/>
    <w:p>
      <w:pPr>
        <w:pStyle w:val="Heading2"/>
      </w:pPr>
      <w:r>
        <w:t>Sales — Advanced Pricing (ADR-0029)</w:t>
      </w:r>
    </w:p>
    <w:p>
      <w:pPr>
        <w:pStyle w:val="ListBullet"/>
      </w:pPr>
      <w:r>
        <w:rPr>
          <w:b/>
        </w:rPr>
        <w:t>Purpose.</w:t>
      </w:r>
      <w:r>
        <w:t xml:space="preserve"> Price lists and rule-driven pricing applied across the sales chain.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pricing_rules</w:t>
      </w:r>
      <w:r>
        <w:t xml:space="preserve"> (+ price lists, shared with catalog).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PRICELIST.*</w:t>
      </w:r>
      <w:r>
        <w:t xml:space="preserve">, </w:t>
      </w:r>
      <w:r>
        <w:rPr>
          <w:rFonts w:ascii="Consolas" w:hAnsi="Consolas"/>
          <w:color w:val="B03060"/>
          <w:sz w:val="19"/>
        </w:rPr>
        <w:t>SALES.*</w:t>
      </w:r>
      <w:r>
        <w:t xml:space="preserve"> pricing codes.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PricingRuleController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/api/v1/pricing-rules</w:t>
            </w:r>
          </w:p>
        </w:tc>
      </w:tr>
    </w:tbl>
    <w:p/>
    <w:p>
      <w:pPr>
        <w:pStyle w:val="Heading2"/>
      </w:pPr>
      <w:r>
        <w:t>Point of Sale (ADR — POS, V43/V82/V83)</w:t>
      </w:r>
    </w:p>
    <w:p>
      <w:pPr>
        <w:pStyle w:val="ListBullet"/>
      </w:pPr>
      <w:r>
        <w:rPr>
          <w:b/>
        </w:rPr>
        <w:t>Purpose.</w:t>
      </w:r>
      <w:r>
        <w:t xml:space="preserve"> Retail POS: till setup; session lifecycle (open float → sell → payout → X-read → close[count cash] → reconcile[Z-read, variance, GL]); quick checkout (session + customer + agent + line items + tender + change).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pos_tills</w:t>
      </w:r>
      <w:r>
        <w:t xml:space="preserve">, </w:t>
      </w:r>
      <w:r>
        <w:rPr>
          <w:rFonts w:ascii="Consolas" w:hAnsi="Consolas"/>
          <w:color w:val="B03060"/>
          <w:sz w:val="19"/>
        </w:rPr>
        <w:t>pos_sessions</w:t>
      </w:r>
      <w:r>
        <w:t xml:space="preserve">, </w:t>
      </w:r>
      <w:r>
        <w:rPr>
          <w:rFonts w:ascii="Consolas" w:hAnsi="Consolas"/>
          <w:color w:val="B03060"/>
          <w:sz w:val="19"/>
        </w:rPr>
        <w:t>pos_sales</w:t>
      </w:r>
      <w:r>
        <w:t xml:space="preserve"> (+ lines, tenders).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POS.*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PosTillController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/api/v1/pos/tills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PosSessionController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/api/v1/pos/sessions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PosSaleController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/api/v1/pos/sales</w:t>
            </w:r>
          </w:p>
        </w:tc>
      </w:tr>
    </w:tbl>
    <w:p/>
    <w:p>
      <w:pPr>
        <w:pStyle w:val="Heading2"/>
      </w:pPr>
      <w:r>
        <w:t>Procurement — Procure-to-Pay (ADR-0011, ADR-0027)</w:t>
      </w:r>
    </w:p>
    <w:p>
      <w:pPr>
        <w:pStyle w:val="ListBullet"/>
      </w:pPr>
      <w:r>
        <w:rPr>
          <w:b/>
        </w:rPr>
        <w:t>Purpose.</w:t>
      </w:r>
      <w:r>
        <w:t xml:space="preserve"> The full P2P chain: requisition → submit → approve → convert → RFQ → send → supplier quote → award (creates PO) → PO place/approve → goods receipt → landed cost → supplier bill → 3-way bill match → purchase return. A goods receipt publishes </w:t>
      </w:r>
      <w:r>
        <w:rPr>
          <w:rFonts w:ascii="Consolas" w:hAnsi="Consolas"/>
          <w:color w:val="B03060"/>
          <w:sz w:val="19"/>
        </w:rPr>
        <w:t>STOCK.RECEIVED</w:t>
      </w:r>
      <w:r>
        <w:t xml:space="preserve"> over the outbox.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purchase_requisitions</w:t>
      </w:r>
      <w:r>
        <w:t xml:space="preserve">, </w:t>
      </w:r>
      <w:r>
        <w:rPr>
          <w:rFonts w:ascii="Consolas" w:hAnsi="Consolas"/>
          <w:color w:val="B03060"/>
          <w:sz w:val="19"/>
        </w:rPr>
        <w:t>rfqs</w:t>
      </w:r>
      <w:r>
        <w:t xml:space="preserve">, </w:t>
      </w:r>
      <w:r>
        <w:rPr>
          <w:rFonts w:ascii="Consolas" w:hAnsi="Consolas"/>
          <w:color w:val="B03060"/>
          <w:sz w:val="19"/>
        </w:rPr>
        <w:t>supplier_quotes</w:t>
      </w:r>
      <w:r>
        <w:t xml:space="preserve">, </w:t>
      </w:r>
      <w:r>
        <w:rPr>
          <w:rFonts w:ascii="Consolas" w:hAnsi="Consolas"/>
          <w:color w:val="B03060"/>
          <w:sz w:val="19"/>
        </w:rPr>
        <w:t>purchase_orders</w:t>
      </w:r>
      <w:r>
        <w:t xml:space="preserve">, </w:t>
      </w:r>
      <w:r>
        <w:rPr>
          <w:rFonts w:ascii="Consolas" w:hAnsi="Consolas"/>
          <w:color w:val="B03060"/>
          <w:sz w:val="19"/>
        </w:rPr>
        <w:t>goods_receipts</w:t>
      </w:r>
      <w:r>
        <w:t xml:space="preserve">, </w:t>
      </w:r>
      <w:r>
        <w:rPr>
          <w:rFonts w:ascii="Consolas" w:hAnsi="Consolas"/>
          <w:color w:val="B03060"/>
          <w:sz w:val="19"/>
        </w:rPr>
        <w:t>landed_costs</w:t>
      </w:r>
      <w:r>
        <w:t xml:space="preserve">, </w:t>
      </w:r>
      <w:r>
        <w:rPr>
          <w:rFonts w:ascii="Consolas" w:hAnsi="Consolas"/>
          <w:color w:val="B03060"/>
          <w:sz w:val="19"/>
        </w:rPr>
        <w:t>purchase_returns</w:t>
      </w:r>
      <w:r>
        <w:t xml:space="preserve">, </w:t>
      </w:r>
      <w:r>
        <w:rPr>
          <w:rFonts w:ascii="Consolas" w:hAnsi="Consolas"/>
          <w:color w:val="B03060"/>
          <w:sz w:val="19"/>
        </w:rPr>
        <w:t>purchase_settings</w:t>
      </w:r>
      <w:r>
        <w:t>. (Supplier bill + 3-way match live in the AP module — the procurement→bill bridge.)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PURCHASE.*</w:t>
      </w:r>
      <w:r>
        <w:t xml:space="preserve">, </w:t>
      </w:r>
      <w:r>
        <w:rPr>
          <w:rFonts w:ascii="Consolas" w:hAnsi="Consolas"/>
          <w:color w:val="B03060"/>
          <w:sz w:val="19"/>
        </w:rPr>
        <w:t>SUPPLIER.*</w:t>
      </w:r>
      <w:r>
        <w:t xml:space="preserve"> (supplier-quote codes).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PurchaseRequisitionController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/api/v1/purchase-requisitions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RfqController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/api/v1/rfqs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SupplierQuoteController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/api/v1/supplier-quotes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PurchaseOrderController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/api/v1/purchase-orders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GoodsReceiptController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/api/v1/goods-receipts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LandedCostController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/api/v1/landed-costs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PurchaseReturnController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/api/v1/purchase-returns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PurchaseSettingsController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/api/v1/purchase-settings</w:t>
            </w:r>
          </w:p>
        </w:tc>
      </w:tr>
    </w:tbl>
    <w:p/>
    <w:p>
      <w:pPr>
        <w:pStyle w:val="Heading2"/>
      </w:pPr>
      <w:r>
        <w:t>Inventory / Stock (ADR-0010, ADR-0020, ADR-0028)</w:t>
      </w:r>
    </w:p>
    <w:p>
      <w:pPr>
        <w:pStyle w:val="ListBullet"/>
      </w:pPr>
      <w:r>
        <w:rPr>
          <w:b/>
        </w:rPr>
        <w:t>Purpose.</w:t>
      </w:r>
      <w:r>
        <w:t xml:space="preserve"> Inventory of record: on-hand by location/product, movements, adjustments, opening balances, reorder levels, inter-location transfers, physical/cycle counts, batches/lots, serials, and valuation (moving-average, perpetual). The first outbox </w:t>
      </w:r>
      <w:r>
        <w:rPr>
          <w:b/>
        </w:rPr>
        <w:t>consumer</w:t>
      </w:r>
      <w:r>
        <w:t xml:space="preserve"> — it applies </w:t>
      </w:r>
      <w:r>
        <w:rPr>
          <w:rFonts w:ascii="Consolas" w:hAnsi="Consolas"/>
          <w:color w:val="B03060"/>
          <w:sz w:val="19"/>
        </w:rPr>
        <w:t>SALE.FINALISED</w:t>
      </w:r>
      <w:r>
        <w:t>/</w:t>
      </w:r>
      <w:r>
        <w:rPr>
          <w:rFonts w:ascii="Consolas" w:hAnsi="Consolas"/>
          <w:color w:val="B03060"/>
          <w:sz w:val="19"/>
        </w:rPr>
        <w:t>SALE.VOIDED</w:t>
      </w:r>
      <w:r>
        <w:t>/</w:t>
      </w:r>
      <w:r>
        <w:rPr>
          <w:rFonts w:ascii="Consolas" w:hAnsi="Consolas"/>
          <w:color w:val="B03060"/>
          <w:sz w:val="19"/>
        </w:rPr>
        <w:t>STOCK.RECEIVED</w:t>
      </w:r>
      <w:r>
        <w:t xml:space="preserve"> idempotently, stamping </w:t>
      </w:r>
      <w:r>
        <w:rPr>
          <w:rFonts w:ascii="Consolas" w:hAnsi="Consolas"/>
          <w:color w:val="B03060"/>
          <w:sz w:val="19"/>
        </w:rPr>
        <w:t>source_event_uid</w:t>
      </w:r>
      <w:r>
        <w:t xml:space="preserve"> on each movement. Movements are append-only.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stock_movements</w:t>
      </w:r>
      <w:r>
        <w:t xml:space="preserve"> (append-only ledger), </w:t>
      </w:r>
      <w:r>
        <w:rPr>
          <w:rFonts w:ascii="Consolas" w:hAnsi="Consolas"/>
          <w:color w:val="B03060"/>
          <w:sz w:val="19"/>
        </w:rPr>
        <w:t>stock_on_hand</w:t>
      </w:r>
      <w:r>
        <w:t xml:space="preserve">, </w:t>
      </w:r>
      <w:r>
        <w:rPr>
          <w:rFonts w:ascii="Consolas" w:hAnsi="Consolas"/>
          <w:color w:val="B03060"/>
          <w:sz w:val="19"/>
        </w:rPr>
        <w:t>stock_locations</w:t>
      </w:r>
      <w:r>
        <w:t xml:space="preserve">, </w:t>
      </w:r>
      <w:r>
        <w:rPr>
          <w:rFonts w:ascii="Consolas" w:hAnsi="Consolas"/>
          <w:color w:val="B03060"/>
          <w:sz w:val="19"/>
        </w:rPr>
        <w:t>stock_transfers</w:t>
      </w:r>
      <w:r>
        <w:t xml:space="preserve">, </w:t>
      </w:r>
      <w:r>
        <w:rPr>
          <w:rFonts w:ascii="Consolas" w:hAnsi="Consolas"/>
          <w:color w:val="B03060"/>
          <w:sz w:val="19"/>
        </w:rPr>
        <w:t>stock_counts</w:t>
      </w:r>
      <w:r>
        <w:t xml:space="preserve">, </w:t>
      </w:r>
      <w:r>
        <w:rPr>
          <w:rFonts w:ascii="Consolas" w:hAnsi="Consolas"/>
          <w:color w:val="B03060"/>
          <w:sz w:val="19"/>
        </w:rPr>
        <w:t>stock_batches</w:t>
      </w:r>
      <w:r>
        <w:t xml:space="preserve">, </w:t>
      </w:r>
      <w:r>
        <w:rPr>
          <w:rFonts w:ascii="Consolas" w:hAnsi="Consolas"/>
          <w:color w:val="B03060"/>
          <w:sz w:val="19"/>
        </w:rPr>
        <w:t>stock_serials</w:t>
      </w:r>
      <w:r>
        <w:t>, valuation tables.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STOCK.*</w:t>
      </w:r>
      <w:r>
        <w:t xml:space="preserve">, </w:t>
      </w:r>
      <w:r>
        <w:rPr>
          <w:rFonts w:ascii="Consolas" w:hAnsi="Consolas"/>
          <w:color w:val="B03060"/>
          <w:sz w:val="19"/>
        </w:rPr>
        <w:t>INVENTORY.*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</w:t>
            </w:r>
            <w:r>
              <w:t xml:space="preserve"> (on-hand, movements, adjustments, opening, by-location, by-product)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StockLocationController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/api/v1/stock-locations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StockTransferController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/api/v1/stock-transfers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StockCountController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/api/v1/stock-counts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StockBatchController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/api/v1/stock-batches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StockSerialController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/api/v1/stock-serials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StockValuationController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/api/v1/stock/valuation</w:t>
            </w:r>
          </w:p>
        </w:tc>
      </w:tr>
    </w:tbl>
    <w:p/>
    <w:p>
      <w:pPr>
        <w:pStyle w:val="Heading2"/>
      </w:pPr>
      <w:r>
        <w:t>Finance — General Ledger (ADR-0013, ADR-0019)</w:t>
      </w:r>
    </w:p>
    <w:p>
      <w:pPr>
        <w:pStyle w:val="ListBullet"/>
      </w:pPr>
      <w:r>
        <w:rPr>
          <w:b/>
        </w:rPr>
        <w:t>Purpose.</w:t>
      </w:r>
      <w:r>
        <w:t xml:space="preserve"> The double-entry posting engine and books of record: chart of accounts, manual journals (balanced-or-rejected, no draft), fiscal calendar (years + periods, open/close), trial balance, GL posting-account config (</w:t>
      </w:r>
      <w:r>
        <w:rPr>
          <w:rFonts w:ascii="Consolas" w:hAnsi="Consolas"/>
          <w:color w:val="B03060"/>
          <w:sz w:val="19"/>
        </w:rPr>
        <w:t>gl_configs</w:t>
      </w:r>
      <w:r>
        <w:t>), and year-end close. Consumes sales events to auto-post; every other financial module posts into it.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chart_of_accounts</w:t>
      </w:r>
      <w:r>
        <w:t xml:space="preserve">, </w:t>
      </w:r>
      <w:r>
        <w:rPr>
          <w:rFonts w:ascii="Consolas" w:hAnsi="Consolas"/>
          <w:color w:val="B03060"/>
          <w:sz w:val="19"/>
        </w:rPr>
        <w:t>fiscal_years</w:t>
      </w:r>
      <w:r>
        <w:t xml:space="preserve">, </w:t>
      </w:r>
      <w:r>
        <w:rPr>
          <w:rFonts w:ascii="Consolas" w:hAnsi="Consolas"/>
          <w:color w:val="B03060"/>
          <w:sz w:val="19"/>
        </w:rPr>
        <w:t>fiscal_periods</w:t>
      </w:r>
      <w:r>
        <w:t xml:space="preserve">, </w:t>
      </w:r>
      <w:r>
        <w:rPr>
          <w:rFonts w:ascii="Consolas" w:hAnsi="Consolas"/>
          <w:color w:val="B03060"/>
          <w:sz w:val="19"/>
        </w:rPr>
        <w:t>journal_batches</w:t>
      </w:r>
      <w:r>
        <w:t xml:space="preserve">, </w:t>
      </w:r>
      <w:r>
        <w:rPr>
          <w:rFonts w:ascii="Consolas" w:hAnsi="Consolas"/>
          <w:color w:val="B03060"/>
          <w:sz w:val="19"/>
        </w:rPr>
        <w:t>journal_entries</w:t>
      </w:r>
      <w:r>
        <w:t xml:space="preserve">, </w:t>
      </w:r>
      <w:r>
        <w:rPr>
          <w:rFonts w:ascii="Consolas" w:hAnsi="Consolas"/>
          <w:color w:val="B03060"/>
          <w:sz w:val="19"/>
        </w:rPr>
        <w:t>journal_lines</w:t>
      </w:r>
      <w:r>
        <w:t xml:space="preserve">, </w:t>
      </w:r>
      <w:r>
        <w:rPr>
          <w:rFonts w:ascii="Consolas" w:hAnsi="Consolas"/>
          <w:color w:val="B03060"/>
          <w:sz w:val="19"/>
        </w:rPr>
        <w:t>gl_configs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GL.*</w:t>
      </w:r>
      <w:r>
        <w:t xml:space="preserve"> (e.g. </w:t>
      </w:r>
      <w:r>
        <w:rPr>
          <w:rFonts w:ascii="Consolas" w:hAnsi="Consolas"/>
          <w:color w:val="B03060"/>
          <w:sz w:val="19"/>
        </w:rPr>
        <w:t>GL.JOURNAL.POST</w:t>
      </w:r>
      <w:r>
        <w:t xml:space="preserve">, </w:t>
      </w:r>
      <w:r>
        <w:rPr>
          <w:rFonts w:ascii="Consolas" w:hAnsi="Consolas"/>
          <w:color w:val="B03060"/>
          <w:sz w:val="19"/>
        </w:rPr>
        <w:t>GL.ACCOUNT.*</w:t>
      </w:r>
      <w:r>
        <w:t xml:space="preserve">, </w:t>
      </w:r>
      <w:r>
        <w:rPr>
          <w:rFonts w:ascii="Consolas" w:hAnsi="Consolas"/>
          <w:color w:val="B03060"/>
          <w:sz w:val="19"/>
        </w:rPr>
        <w:t>GL.PERIOD.CLOSE</w:t>
      </w:r>
      <w:r>
        <w:t xml:space="preserve">, </w:t>
      </w:r>
      <w:r>
        <w:rPr>
          <w:rFonts w:ascii="Consolas" w:hAnsi="Consolas"/>
          <w:color w:val="B03060"/>
          <w:sz w:val="19"/>
        </w:rPr>
        <w:t>GL.CONFIG.*</w:t>
      </w:r>
      <w:r>
        <w:t>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ChartOfAccountController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/api/v1/gl/accounts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JournalController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/api/v1/gl/journals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FiscalPeriodController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/api/v1/gl/periods</w:t>
            </w:r>
            <w:r>
              <w:t xml:space="preserve"> (+ </w:t>
            </w:r>
            <w:r>
              <w:rPr>
                <w:rFonts w:ascii="Consolas" w:hAnsi="Consolas"/>
                <w:color w:val="B03060"/>
                <w:sz w:val="19"/>
              </w:rPr>
              <w:t>/gl/periods/fiscal-years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GlConfigController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/api/v1/gl/configs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TrialBalanceController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/api/v1/gl/trial-balance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YearEndCloseController</w:t>
            </w:r>
          </w:p>
        </w:tc>
        <w:tc>
          <w:tcPr>
            <w:tcW w:type="dxa" w:w="4320"/>
          </w:tcPr>
          <w:p>
            <w:r>
              <w:t>(year-end close, ADR-0019)</w:t>
            </w:r>
          </w:p>
        </w:tc>
      </w:tr>
    </w:tbl>
    <w:p/>
    <w:p>
      <w:pPr>
        <w:pStyle w:val="Heading2"/>
      </w:pPr>
      <w:r>
        <w:t>Cost Centre / Dimensions (ADR-0025)</w:t>
      </w:r>
    </w:p>
    <w:p>
      <w:pPr>
        <w:pStyle w:val="ListBullet"/>
      </w:pPr>
      <w:r>
        <w:rPr>
          <w:b/>
        </w:rPr>
        <w:t>Purpose.</w:t>
      </w:r>
      <w:r>
        <w:t xml:space="preserve"> Analytical tagging over GL postings: dimension types, dimension values, mandatory-dimension enforcement, and dimension-sliced trial balance.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dimensions</w:t>
      </w:r>
      <w:r>
        <w:t xml:space="preserve"> (types), </w:t>
      </w:r>
      <w:r>
        <w:rPr>
          <w:rFonts w:ascii="Consolas" w:hAnsi="Consolas"/>
          <w:color w:val="B03060"/>
          <w:sz w:val="19"/>
        </w:rPr>
        <w:t>dimension_values</w:t>
      </w:r>
      <w:r>
        <w:t>, document-default mappings.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COSTING.*</w:t>
      </w:r>
      <w:r>
        <w:t xml:space="preserve"> (and dimension codes).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DimensionController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/api/v1/dimensions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DimensionValueController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/api/v1/dimension-values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DimensionReportController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/api/v1/costing/reports</w:t>
            </w:r>
          </w:p>
        </w:tc>
      </w:tr>
    </w:tbl>
    <w:p/>
    <w:p>
      <w:pPr>
        <w:pStyle w:val="Heading2"/>
      </w:pPr>
      <w:r>
        <w:t>Accounts Receivable (ADR-0014)</w:t>
      </w:r>
    </w:p>
    <w:p>
      <w:pPr>
        <w:pStyle w:val="ListBullet"/>
      </w:pPr>
      <w:r>
        <w:rPr>
          <w:b/>
        </w:rPr>
        <w:t>Purpose.</w:t>
      </w:r>
      <w:r>
        <w:t xml:space="preserve"> Customer open items: AR invoice view, record receipt (tender + allocation + optional WHT leg), credit notes, write-offs, opening balances, statement / ageing / balance. Posts to the GL AR control account.</w:t>
      </w:r>
    </w:p>
    <w:p>
      <w:pPr>
        <w:pStyle w:val="ListBullet"/>
      </w:pPr>
      <w:r>
        <w:rPr>
          <w:b/>
        </w:rPr>
        <w:t>Key entities.</w:t>
      </w:r>
      <w:r>
        <w:t xml:space="preserve"> AR open items (over </w:t>
      </w:r>
      <w:r>
        <w:rPr>
          <w:rFonts w:ascii="Consolas" w:hAnsi="Consolas"/>
          <w:color w:val="B03060"/>
          <w:sz w:val="19"/>
        </w:rPr>
        <w:t>sales_invoices</w:t>
      </w:r>
      <w:r>
        <w:t xml:space="preserve">), </w:t>
      </w:r>
      <w:r>
        <w:rPr>
          <w:rFonts w:ascii="Consolas" w:hAnsi="Consolas"/>
          <w:color w:val="B03060"/>
          <w:sz w:val="19"/>
        </w:rPr>
        <w:t>ar_receipts</w:t>
      </w:r>
      <w:r>
        <w:t xml:space="preserve"> (+ allocations), </w:t>
      </w:r>
      <w:r>
        <w:rPr>
          <w:rFonts w:ascii="Consolas" w:hAnsi="Consolas"/>
          <w:color w:val="B03060"/>
          <w:sz w:val="19"/>
        </w:rPr>
        <w:t>ar_credit_notes</w:t>
      </w:r>
      <w:r>
        <w:t xml:space="preserve">, </w:t>
      </w:r>
      <w:r>
        <w:rPr>
          <w:rFonts w:ascii="Consolas" w:hAnsi="Consolas"/>
          <w:color w:val="B03060"/>
          <w:sz w:val="19"/>
        </w:rPr>
        <w:t>ar_write_offs</w:t>
      </w:r>
      <w:r>
        <w:t xml:space="preserve">, </w:t>
      </w:r>
      <w:r>
        <w:rPr>
          <w:rFonts w:ascii="Consolas" w:hAnsi="Consolas"/>
          <w:color w:val="B03060"/>
          <w:sz w:val="19"/>
        </w:rPr>
        <w:t>ar_opening_balances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AR.*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ArInvoiceController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/api/v1/ar/invoices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ArReceiptController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/api/v1/ar/receipts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ArCreditNoteController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/api/v1/ar/credit-notes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ArWriteOffController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/api/v1/ar/write-offs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ArOpeningBalanceController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/api/v1/ar/opening-balances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ArStatementController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/api/v1/ar</w:t>
            </w:r>
            <w:r>
              <w:t xml:space="preserve"> (balance / ageing / statement)</w:t>
            </w:r>
          </w:p>
        </w:tc>
      </w:tr>
    </w:tbl>
    <w:p/>
    <w:p>
      <w:pPr>
        <w:pStyle w:val="Heading2"/>
      </w:pPr>
      <w:r>
        <w:t>Accounts Payable (ADR-0015)</w:t>
      </w:r>
    </w:p>
    <w:p>
      <w:pPr>
        <w:pStyle w:val="ListBullet"/>
      </w:pPr>
      <w:r>
        <w:rPr>
          <w:b/>
        </w:rPr>
        <w:t>Purpose.</w:t>
      </w:r>
      <w:r>
        <w:t xml:space="preserve"> Supplier obligations: supplier-bill entry + 3-way match (the procurement→bill bridge), single-bill payment + payment run (with WHT-on-payment), debit notes, opening balances, and supplier statement (balance / ageing / reconciliation). Posts to the GL AP control account.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supplier_bills</w:t>
      </w:r>
      <w:r>
        <w:t xml:space="preserve"> (+ match), </w:t>
      </w:r>
      <w:r>
        <w:rPr>
          <w:rFonts w:ascii="Consolas" w:hAnsi="Consolas"/>
          <w:color w:val="B03060"/>
          <w:sz w:val="19"/>
        </w:rPr>
        <w:t>ap_payments</w:t>
      </w:r>
      <w:r>
        <w:t xml:space="preserve"> (single + run), </w:t>
      </w:r>
      <w:r>
        <w:rPr>
          <w:rFonts w:ascii="Consolas" w:hAnsi="Consolas"/>
          <w:color w:val="B03060"/>
          <w:sz w:val="19"/>
        </w:rPr>
        <w:t>ap_debit_notes</w:t>
      </w:r>
      <w:r>
        <w:t xml:space="preserve">, </w:t>
      </w:r>
      <w:r>
        <w:rPr>
          <w:rFonts w:ascii="Consolas" w:hAnsi="Consolas"/>
          <w:color w:val="B03060"/>
          <w:sz w:val="19"/>
        </w:rPr>
        <w:t>ap_opening_balances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AP.*</w:t>
      </w:r>
      <w:r>
        <w:t xml:space="preserve"> (+ </w:t>
      </w:r>
      <w:r>
        <w:rPr>
          <w:rFonts w:ascii="Consolas" w:hAnsi="Consolas"/>
          <w:color w:val="B03060"/>
          <w:sz w:val="19"/>
        </w:rPr>
        <w:t>PURCHASE.*</w:t>
      </w:r>
      <w:r>
        <w:t xml:space="preserve"> where the bill bridges procurement).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SupplierBillController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/api/v1/ap/supplier-bills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BillMatchController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/api/v1/ap/supplier-bills/uid/{billUid}/match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ApPaymentController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/api/v1/ap/payments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ApDebitNoteController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/api/v1/ap/debit-notes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ApOpeningBalanceController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/api/v1/ap/opening-balance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ApStatementController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/api/v1/ap/statement</w:t>
            </w:r>
          </w:p>
        </w:tc>
      </w:tr>
    </w:tbl>
    <w:p/>
    <w:p>
      <w:pPr>
        <w:pStyle w:val="Heading2"/>
      </w:pPr>
      <w:r>
        <w:t>Cash &amp; Bank (ADR-0016)</w:t>
      </w:r>
    </w:p>
    <w:p>
      <w:pPr>
        <w:pStyle w:val="ListBullet"/>
      </w:pPr>
      <w:r>
        <w:rPr>
          <w:b/>
        </w:rPr>
        <w:t>Purpose.</w:t>
      </w:r>
      <w:r>
        <w:t xml:space="preserve"> Treasury: cash/bank account CRUD, inter-account transfers, direct entries, account balance/statement + GL reconciliation, bank reconciliation lifecycle, and the cheque register.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cash_bank_accounts</w:t>
      </w:r>
      <w:r>
        <w:t xml:space="preserve">, </w:t>
      </w:r>
      <w:r>
        <w:rPr>
          <w:rFonts w:ascii="Consolas" w:hAnsi="Consolas"/>
          <w:color w:val="B03060"/>
          <w:sz w:val="19"/>
        </w:rPr>
        <w:t>cash_transfers</w:t>
      </w:r>
      <w:r>
        <w:t xml:space="preserve">, </w:t>
      </w:r>
      <w:r>
        <w:rPr>
          <w:rFonts w:ascii="Consolas" w:hAnsi="Consolas"/>
          <w:color w:val="B03060"/>
          <w:sz w:val="19"/>
        </w:rPr>
        <w:t>cash_direct_entries</w:t>
      </w:r>
      <w:r>
        <w:t xml:space="preserve">, </w:t>
      </w:r>
      <w:r>
        <w:rPr>
          <w:rFonts w:ascii="Consolas" w:hAnsi="Consolas"/>
          <w:color w:val="B03060"/>
          <w:sz w:val="19"/>
        </w:rPr>
        <w:t>bank_reconciliations</w:t>
      </w:r>
      <w:r>
        <w:t xml:space="preserve">, </w:t>
      </w:r>
      <w:r>
        <w:rPr>
          <w:rFonts w:ascii="Consolas" w:hAnsi="Consolas"/>
          <w:color w:val="B03060"/>
          <w:sz w:val="19"/>
        </w:rPr>
        <w:t>cheques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CASH.*</w:t>
      </w:r>
      <w:r>
        <w:t xml:space="preserve">, </w:t>
      </w:r>
      <w:r>
        <w:rPr>
          <w:rFonts w:ascii="Consolas" w:hAnsi="Consolas"/>
          <w:color w:val="B03060"/>
          <w:sz w:val="19"/>
        </w:rPr>
        <w:t>CHEQUE.*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CashBankAccountController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/api/v1/cash/accounts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CashTransferController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/api/v1/cash/transfers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CashDirectEntryController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/api/v1/cash/entries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CashAccountStatementController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/api/v1/cash/statements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BankReconciliationController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/api/v1/cash/reconciliations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ChequeController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/api/v1/cash/cheques</w:t>
            </w:r>
          </w:p>
        </w:tc>
      </w:tr>
    </w:tbl>
    <w:p/>
    <w:p>
      <w:pPr>
        <w:pStyle w:val="Heading2"/>
      </w:pPr>
      <w:r>
        <w:t>Tax — VAT &amp; WHT (ADR-0017)</w:t>
      </w:r>
    </w:p>
    <w:p>
      <w:pPr>
        <w:pStyle w:val="ListBullet"/>
      </w:pPr>
      <w:r>
        <w:rPr>
          <w:b/>
        </w:rPr>
        <w:t>Purpose.</w:t>
      </w:r>
      <w:r>
        <w:t xml:space="preserve"> VAT return lifecycle (open → recompute → file) with add/remove adjustments; withholding-tax types (rate master) and the WHT register / certificate view.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vat_returns</w:t>
      </w:r>
      <w:r>
        <w:t xml:space="preserve"> (+ adjustments), </w:t>
      </w:r>
      <w:r>
        <w:rPr>
          <w:rFonts w:ascii="Consolas" w:hAnsi="Consolas"/>
          <w:color w:val="B03060"/>
          <w:sz w:val="19"/>
        </w:rPr>
        <w:t>wht_types</w:t>
      </w:r>
      <w:r>
        <w:t>, WHT register.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VAT.*</w:t>
      </w:r>
      <w:r>
        <w:t xml:space="preserve">, </w:t>
      </w:r>
      <w:r>
        <w:rPr>
          <w:rFonts w:ascii="Consolas" w:hAnsi="Consolas"/>
          <w:color w:val="B03060"/>
          <w:sz w:val="19"/>
        </w:rPr>
        <w:t>WHT.*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VatReturnController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/api/v1/vat/returns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VatAdjustmentController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/api/v1/vat/returns/uid/{returnUid}/adjustments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WhtTypeController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/api/v1/wht/types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WhtRegisterController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/api/v1/wht/register</w:t>
            </w:r>
          </w:p>
        </w:tc>
      </w:tr>
    </w:tbl>
    <w:p/>
    <w:p>
      <w:pPr>
        <w:pStyle w:val="Heading2"/>
      </w:pPr>
      <w:r>
        <w:t>FX / Multi-currency (ADR-0005, ADR-0036)</w:t>
      </w:r>
    </w:p>
    <w:p>
      <w:pPr>
        <w:pStyle w:val="ListBullet"/>
      </w:pPr>
      <w:r>
        <w:rPr>
          <w:b/>
        </w:rPr>
        <w:t>Purpose.</w:t>
      </w:r>
      <w:r>
        <w:t xml:space="preserve"> Currency master, effective-dated exchange-rate maintenance, foreign-currency document posting against the base (TZS) ledger, realized FX on settlement, and the period-end </w:t>
      </w:r>
      <w:r>
        <w:rPr>
          <w:b/>
        </w:rPr>
        <w:t>unrealized</w:t>
      </w:r>
      <w:r>
        <w:t xml:space="preserve"> FX revaluation run (preview → post → reverse).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currencies</w:t>
      </w:r>
      <w:r>
        <w:t xml:space="preserve"> (global reference), </w:t>
      </w:r>
      <w:r>
        <w:rPr>
          <w:rFonts w:ascii="Consolas" w:hAnsi="Consolas"/>
          <w:color w:val="B03060"/>
          <w:sz w:val="19"/>
        </w:rPr>
        <w:t>currency_rates</w:t>
      </w:r>
      <w:r>
        <w:t xml:space="preserve"> (effective-dated), document base-triple columns, </w:t>
      </w:r>
      <w:r>
        <w:rPr>
          <w:rFonts w:ascii="Consolas" w:hAnsi="Consolas"/>
          <w:color w:val="B03060"/>
          <w:sz w:val="19"/>
        </w:rPr>
        <w:t>fx_revaluation_runs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FX.*</w:t>
      </w:r>
      <w:r>
        <w:t xml:space="preserve">, </w:t>
      </w:r>
      <w:r>
        <w:rPr>
          <w:rFonts w:ascii="Consolas" w:hAnsi="Consolas"/>
          <w:color w:val="B03060"/>
          <w:sz w:val="19"/>
        </w:rPr>
        <w:t>CURRENCY.*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CurrencyController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/api/v1/fx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/currencies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/rates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FxRevaluationRunController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/api/v1/fx/revaluation-runs</w:t>
            </w:r>
          </w:p>
        </w:tc>
      </w:tr>
    </w:tbl>
    <w:p/>
    <w:p>
      <w:pPr>
        <w:pStyle w:val="Heading2"/>
      </w:pPr>
      <w:r>
        <w:t>Reporting &amp; BI (ADR-0018, ADR-0037)</w:t>
      </w:r>
    </w:p>
    <w:p>
      <w:pPr>
        <w:pStyle w:val="ListBullet"/>
      </w:pPr>
      <w:r>
        <w:rPr>
          <w:b/>
        </w:rPr>
        <w:t>Purpose.</w:t>
      </w:r>
      <w:r>
        <w:t xml:space="preserve"> Read-only over the GL: P&amp;L, Balance Sheet, Cash Flow (indirect), trial balance, account-ledger drill-through, server-side PDF/XLSX export; a composite BI analytics dashboard (per-panel RBAC, drill, export); analytical reports (budget variance, departmental actuals, dimension-sliced TB, project WIP/P&amp;L, manufacturing WIP). Posts nothing, owns no business table.</w:t>
      </w:r>
    </w:p>
    <w:p>
      <w:pPr>
        <w:pStyle w:val="ListBullet"/>
      </w:pPr>
      <w:r>
        <w:rPr>
          <w:b/>
        </w:rPr>
        <w:t>Key entities.</w:t>
      </w:r>
      <w:r>
        <w:t xml:space="preserve"> None of its own — pure queries over </w:t>
      </w:r>
      <w:r>
        <w:rPr>
          <w:rFonts w:ascii="Consolas" w:hAnsi="Consolas"/>
          <w:color w:val="B03060"/>
          <w:sz w:val="19"/>
        </w:rPr>
        <w:t>journal_lines</w:t>
      </w:r>
      <w:r>
        <w:t xml:space="preserve"> and the source ledgers.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REPORT.*</w:t>
      </w:r>
      <w:r>
        <w:t xml:space="preserve">, </w:t>
      </w:r>
      <w:r>
        <w:rPr>
          <w:rFonts w:ascii="Consolas" w:hAnsi="Consolas"/>
          <w:color w:val="B03060"/>
          <w:sz w:val="19"/>
        </w:rPr>
        <w:t>BI.*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ReportingController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/api/v1/reports</w:t>
            </w:r>
            <w:r>
              <w:t xml:space="preserve"> (income-statement, balance-sheet, cash-flow, account-ledger; </w:t>
            </w:r>
            <w:r>
              <w:rPr>
                <w:rFonts w:ascii="Consolas" w:hAnsi="Consolas"/>
                <w:color w:val="B03060"/>
                <w:sz w:val="19"/>
              </w:rPr>
              <w:t>/export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BiDashboardController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/api/v1/bi</w:t>
            </w:r>
          </w:p>
        </w:tc>
      </w:tr>
    </w:tbl>
    <w:p/>
    <w:p>
      <w:pPr>
        <w:pStyle w:val="Heading2"/>
      </w:pPr>
      <w:r>
        <w:t>Fixed Assets (ADR-0030)</w:t>
      </w:r>
    </w:p>
    <w:p>
      <w:pPr>
        <w:pStyle w:val="ListBullet"/>
      </w:pPr>
      <w:r>
        <w:rPr>
          <w:b/>
        </w:rPr>
        <w:t>Purpose.</w:t>
      </w:r>
      <w:r>
        <w:t xml:space="preserve"> Asset categories, the fixed-asset register (register / acquire-from-bill / place-in-service / transfer), depreciation runs (preview / post), revaluation, disposal &amp; write-off, and the FA→GL reconciliation report.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asset_categories</w:t>
      </w:r>
      <w:r>
        <w:t xml:space="preserve">, </w:t>
      </w:r>
      <w:r>
        <w:rPr>
          <w:rFonts w:ascii="Consolas" w:hAnsi="Consolas"/>
          <w:color w:val="B03060"/>
          <w:sz w:val="19"/>
        </w:rPr>
        <w:t>fixed_assets</w:t>
      </w:r>
      <w:r>
        <w:t xml:space="preserve">, </w:t>
      </w:r>
      <w:r>
        <w:rPr>
          <w:rFonts w:ascii="Consolas" w:hAnsi="Consolas"/>
          <w:color w:val="B03060"/>
          <w:sz w:val="19"/>
        </w:rPr>
        <w:t>depreciation_runs</w:t>
      </w:r>
      <w:r>
        <w:t>, disposals/revaluations.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FA.*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AssetCategoryController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/api/v1/fixed-assets/categories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FixedAssetController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/api/v1/fixed-assets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DepreciationRunController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/api/v1/fixed-assets/depreciation-runs</w:t>
            </w:r>
          </w:p>
        </w:tc>
      </w:tr>
    </w:tbl>
    <w:p/>
    <w:p>
      <w:pPr>
        <w:pStyle w:val="Heading2"/>
      </w:pPr>
      <w:r>
        <w:t>HR &amp; Payroll (ADR-0032)</w:t>
      </w:r>
    </w:p>
    <w:p>
      <w:pPr>
        <w:pStyle w:val="ListBullet"/>
      </w:pPr>
      <w:r>
        <w:rPr>
          <w:b/>
        </w:rPr>
        <w:t>Purpose.</w:t>
      </w:r>
      <w:r>
        <w:t xml:space="preserve"> Departments, employees (employment-status lifecycle), employment contracts (types + terminate), leave requests (lifecycle + accrual), employee loans, pay components, the payroll run lifecycle (calculate → approve → post → disburse → reverse, with GL + Cash &amp; Bank effects), and statutory setup (PAYE band sets + statutory rate sets).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hr_departments</w:t>
      </w:r>
      <w:r>
        <w:t xml:space="preserve">, </w:t>
      </w:r>
      <w:r>
        <w:rPr>
          <w:rFonts w:ascii="Consolas" w:hAnsi="Consolas"/>
          <w:color w:val="B03060"/>
          <w:sz w:val="19"/>
        </w:rPr>
        <w:t>hr_employees</w:t>
      </w:r>
      <w:r>
        <w:t xml:space="preserve">, </w:t>
      </w:r>
      <w:r>
        <w:rPr>
          <w:rFonts w:ascii="Consolas" w:hAnsi="Consolas"/>
          <w:color w:val="B03060"/>
          <w:sz w:val="19"/>
        </w:rPr>
        <w:t>hr_contracts</w:t>
      </w:r>
      <w:r>
        <w:t xml:space="preserve">, </w:t>
      </w:r>
      <w:r>
        <w:rPr>
          <w:rFonts w:ascii="Consolas" w:hAnsi="Consolas"/>
          <w:color w:val="B03060"/>
          <w:sz w:val="19"/>
        </w:rPr>
        <w:t>hr_leave_requests</w:t>
      </w:r>
      <w:r>
        <w:t xml:space="preserve">, </w:t>
      </w:r>
      <w:r>
        <w:rPr>
          <w:rFonts w:ascii="Consolas" w:hAnsi="Consolas"/>
          <w:color w:val="B03060"/>
          <w:sz w:val="19"/>
        </w:rPr>
        <w:t>hr_loans</w:t>
      </w:r>
      <w:r>
        <w:t xml:space="preserve">, </w:t>
      </w:r>
      <w:r>
        <w:rPr>
          <w:rFonts w:ascii="Consolas" w:hAnsi="Consolas"/>
          <w:color w:val="B03060"/>
          <w:sz w:val="19"/>
        </w:rPr>
        <w:t>hr_pay_components</w:t>
      </w:r>
      <w:r>
        <w:t xml:space="preserve">, </w:t>
      </w:r>
      <w:r>
        <w:rPr>
          <w:rFonts w:ascii="Consolas" w:hAnsi="Consolas"/>
          <w:color w:val="B03060"/>
          <w:sz w:val="19"/>
        </w:rPr>
        <w:t>hr_payroll_runs</w:t>
      </w:r>
      <w:r>
        <w:t>, statutory tables.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HR.*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HrDepartmentController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/api/v1/hr/departments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HrEmployeeController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/api/v1/hr/employees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HrContractController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/api/v1/hr/contracts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HrLeaveController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/api/v1/hr/leave-requests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HrLoanController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/api/v1/hr/loans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HrPayComponentController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/api/v1/hr/pay-components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HrPayrollController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/api/v1/hr/payroll-runs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HrStatutoryController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/api/v1/hr/statutory</w:t>
            </w:r>
          </w:p>
        </w:tc>
      </w:tr>
    </w:tbl>
    <w:p/>
    <w:p>
      <w:pPr>
        <w:pStyle w:val="Heading2"/>
      </w:pPr>
      <w:r>
        <w:t>CRM (ADR-0031)</w:t>
      </w:r>
    </w:p>
    <w:p>
      <w:pPr>
        <w:pStyle w:val="ListBullet"/>
      </w:pPr>
      <w:r>
        <w:rPr>
          <w:b/>
        </w:rPr>
        <w:t>Purpose.</w:t>
      </w:r>
      <w:r>
        <w:t xml:space="preserve"> Lead capture and lifecycle (NEW → CONTACTED → QUALIFIED → CONVERTED/DISQUALIFIED); opportunities (OPEN → WON/LOST, advance-stage, lines, convert to Quotation/Sales Order); pipeline analytics (board, forecast, KPIs); pipeline-stage CRUD; activities (CALL/EMAIL/MEETING/NOTE/TASK on a lead or opportunity).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crm_leads</w:t>
      </w:r>
      <w:r>
        <w:t xml:space="preserve">, </w:t>
      </w:r>
      <w:r>
        <w:rPr>
          <w:rFonts w:ascii="Consolas" w:hAnsi="Consolas"/>
          <w:color w:val="B03060"/>
          <w:sz w:val="19"/>
        </w:rPr>
        <w:t>crm_opportunities</w:t>
      </w:r>
      <w:r>
        <w:t xml:space="preserve"> (+ lines), </w:t>
      </w:r>
      <w:r>
        <w:rPr>
          <w:rFonts w:ascii="Consolas" w:hAnsi="Consolas"/>
          <w:color w:val="B03060"/>
          <w:sz w:val="19"/>
        </w:rPr>
        <w:t>crm_pipeline_stages</w:t>
      </w:r>
      <w:r>
        <w:t xml:space="preserve">, </w:t>
      </w:r>
      <w:r>
        <w:rPr>
          <w:rFonts w:ascii="Consolas" w:hAnsi="Consolas"/>
          <w:color w:val="B03060"/>
          <w:sz w:val="19"/>
        </w:rPr>
        <w:t>crm_activities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CRM.*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LeadController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/api/v1/crm/leads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OpportunityController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/api/v1/crm/opportunities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PipelineController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/api/v1/crm/pipeline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PipelineStageController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/api/v1/crm/pipeline-stages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ActivityController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/api/v1/crm/activities</w:t>
            </w:r>
          </w:p>
        </w:tc>
      </w:tr>
    </w:tbl>
    <w:p/>
    <w:p>
      <w:pPr>
        <w:pStyle w:val="Heading2"/>
      </w:pPr>
      <w:r>
        <w:t>Projects — Job Costing (ADR-0033)</w:t>
      </w:r>
    </w:p>
    <w:p>
      <w:pPr>
        <w:pStyle w:val="ListBullet"/>
      </w:pPr>
      <w:r>
        <w:rPr>
          <w:b/>
        </w:rPr>
        <w:t>Purpose.</w:t>
      </w:r>
      <w:r>
        <w:t xml:space="preserve"> Project CRUD + lifecycle, tasks, timesheets, issue-materials-to-project (COGS at moving-average, tagged to the project), and the costing read models (per-project P&amp;L, cross-project WIP).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projects</w:t>
      </w:r>
      <w:r>
        <w:t xml:space="preserve">, </w:t>
      </w:r>
      <w:r>
        <w:rPr>
          <w:rFonts w:ascii="Consolas" w:hAnsi="Consolas"/>
          <w:color w:val="B03060"/>
          <w:sz w:val="19"/>
        </w:rPr>
        <w:t>project_tasks</w:t>
      </w:r>
      <w:r>
        <w:t xml:space="preserve">, </w:t>
      </w:r>
      <w:r>
        <w:rPr>
          <w:rFonts w:ascii="Consolas" w:hAnsi="Consolas"/>
          <w:color w:val="B03060"/>
          <w:sz w:val="19"/>
        </w:rPr>
        <w:t>project_timesheets</w:t>
      </w:r>
      <w:r>
        <w:t>, project material issues, project cost tags on AP/sales/stock.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PROJECTS.*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ProjectController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/api/v1/projects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ProjectTaskController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/api/v1/project-tasks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ProjectTimesheetController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/api/v1/project-timesheets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IssueToProjectController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/api/v1/project-issues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ProjectCostingController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/api/v1/project-costing</w:t>
            </w:r>
          </w:p>
        </w:tc>
      </w:tr>
    </w:tbl>
    <w:p/>
    <w:p>
      <w:pPr>
        <w:pStyle w:val="Heading2"/>
      </w:pPr>
      <w:r>
        <w:t>Manufacturing (ADR-0026, ADR-0035)</w:t>
      </w:r>
    </w:p>
    <w:p>
      <w:pPr>
        <w:pStyle w:val="ListBullet"/>
      </w:pPr>
      <w:r>
        <w:rPr>
          <w:b/>
        </w:rPr>
        <w:t>Purpose.</w:t>
      </w:r>
      <w:r>
        <w:t xml:space="preserve"> Multi-level Bill of Materials authoring + lifecycle (explode, where-used, cost roll-up); Work Order execution (release → issue → apply-cost → complete → close, plus cancel reversal); per-order cost report; company-level WIP reconciliation.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boms</w:t>
      </w:r>
      <w:r>
        <w:t xml:space="preserve"> (+ components), </w:t>
      </w:r>
      <w:r>
        <w:rPr>
          <w:rFonts w:ascii="Consolas" w:hAnsi="Consolas"/>
          <w:color w:val="B03060"/>
          <w:sz w:val="19"/>
        </w:rPr>
        <w:t>work_orders</w:t>
      </w:r>
      <w:r>
        <w:t xml:space="preserve"> (+ operations), WIP accounts.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BOM.*</w:t>
      </w:r>
      <w:r>
        <w:t xml:space="preserve">, </w:t>
      </w:r>
      <w:r>
        <w:rPr>
          <w:rFonts w:ascii="Consolas" w:hAnsi="Consolas"/>
          <w:color w:val="B03060"/>
          <w:sz w:val="19"/>
        </w:rPr>
        <w:t>WORKORDER.*</w:t>
      </w:r>
      <w:r>
        <w:t xml:space="preserve">, </w:t>
      </w:r>
      <w:r>
        <w:rPr>
          <w:rFonts w:ascii="Consolas" w:hAnsi="Consolas"/>
          <w:color w:val="B03060"/>
          <w:sz w:val="19"/>
        </w:rPr>
        <w:t>MANUFACTURING.*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BomController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/api/v1/boms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WorkOrderController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/api/v1/work-orders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ManufacturingReportController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/api/v1/manufacturing</w:t>
            </w:r>
          </w:p>
        </w:tc>
      </w:tr>
    </w:tbl>
    <w:p/>
    <w:p>
      <w:pPr>
        <w:pStyle w:val="Heading2"/>
      </w:pPr>
      <w:r>
        <w:t>Budgeting (ADR-0034)</w:t>
      </w:r>
    </w:p>
    <w:p>
      <w:pPr>
        <w:pStyle w:val="ListBullet"/>
      </w:pPr>
      <w:r>
        <w:rPr>
          <w:b/>
        </w:rPr>
        <w:t>Purpose.</w:t>
      </w:r>
      <w:r>
        <w:t xml:space="preserve"> Budget headers + version lifecycle (DRAFT → SUBMITTED → APPROVED/REJECTED/SUPERSEDED, recall to DRAFT), line entry in three modes (DIRECT, ANNUAL_SPREAD, SEED-from-prior), new-version re-plan, and the two budget reports (budget-vs-actual variance, departmental actuals). Posts </w:t>
      </w:r>
      <w:r>
        <w:rPr>
          <w:b/>
        </w:rPr>
        <w:t>nothing</w:t>
      </w:r>
      <w:r>
        <w:t xml:space="preserve"> to GL — read against GL actuals at report time only.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budgets</w:t>
      </w:r>
      <w:r>
        <w:t xml:space="preserve">, </w:t>
      </w:r>
      <w:r>
        <w:rPr>
          <w:rFonts w:ascii="Consolas" w:hAnsi="Consolas"/>
          <w:color w:val="B03060"/>
          <w:sz w:val="19"/>
        </w:rPr>
        <w:t>budget_versions</w:t>
      </w:r>
      <w:r>
        <w:t>, budget lines.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BUDGETING.*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BudgetController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/api/v1/budgets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BudgetVersionController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/api/v1/budget-versions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BudgetReportController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/api/v1/budgeting</w:t>
            </w:r>
          </w:p>
        </w:tc>
      </w:tr>
    </w:tbl>
    <w:p/>
    <w:p>
      <w:pPr>
        <w:pStyle w:val="Heading2"/>
      </w:pPr>
      <w:r>
        <w:t>Approvals engine (ADR-0022)</w:t>
      </w:r>
    </w:p>
    <w:p>
      <w:pPr>
        <w:pStyle w:val="ListBullet"/>
      </w:pPr>
      <w:r>
        <w:rPr>
          <w:b/>
        </w:rPr>
        <w:t>Purpose.</w:t>
      </w:r>
      <w:r>
        <w:t xml:space="preserve"> A generic, document-agnostic governance spine: amount-threshold + branch-scoped multi-step approval </w:t>
      </w:r>
      <w:r>
        <w:rPr>
          <w:b/>
        </w:rPr>
        <w:t>policies</w:t>
      </w:r>
      <w:r>
        <w:t xml:space="preserve"> (per-company master with an ordered chain of IAM approver roles), runtime </w:t>
      </w:r>
      <w:r>
        <w:rPr>
          <w:b/>
        </w:rPr>
        <w:t>approval requests</w:t>
      </w:r>
      <w:r>
        <w:t xml:space="preserve"> that freeze a policy-step snapshot at submit, append-only decisions, deterministic policy-match (branch beats company-wide; no match → auto-approve). Exposes </w:t>
      </w:r>
      <w:r>
        <w:rPr>
          <w:rFonts w:ascii="Consolas" w:hAnsi="Consolas"/>
          <w:color w:val="B03060"/>
          <w:sz w:val="19"/>
        </w:rPr>
        <w:t>submitForApproval</w:t>
      </w:r>
      <w:r>
        <w:t xml:space="preserve"> (idempotent per type+uid) + </w:t>
      </w:r>
      <w:r>
        <w:rPr>
          <w:rFonts w:ascii="Consolas" w:hAnsi="Consolas"/>
          <w:color w:val="B03060"/>
          <w:sz w:val="19"/>
        </w:rPr>
        <w:t>getApprovalState</w:t>
      </w:r>
      <w:r>
        <w:t xml:space="preserve"> (synchronous gate) and publishes </w:t>
      </w:r>
      <w:r>
        <w:rPr>
          <w:rFonts w:ascii="Consolas" w:hAnsi="Consolas"/>
          <w:color w:val="B03060"/>
          <w:sz w:val="19"/>
        </w:rPr>
        <w:t>APPROVAL.RESOLVED</w:t>
      </w:r>
      <w:r>
        <w:t>. Posts nothing to the books — it gates.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approval_policies</w:t>
      </w:r>
      <w:r>
        <w:t xml:space="preserve"> (+ steps), </w:t>
      </w:r>
      <w:r>
        <w:rPr>
          <w:rFonts w:ascii="Consolas" w:hAnsi="Consolas"/>
          <w:color w:val="B03060"/>
          <w:sz w:val="19"/>
        </w:rPr>
        <w:t>approval_requests</w:t>
      </w:r>
      <w:r>
        <w:t xml:space="preserve"> (+ frozen steps, decisions).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APPROVALS.*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ApprovalPolicyController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/api/v1/approvals/policies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ApprovalRequestController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/api/v1/approvals/requests</w:t>
            </w:r>
          </w:p>
        </w:tc>
      </w:tr>
    </w:tbl>
    <w:p/>
    <w:p>
      <w:pPr>
        <w:pStyle w:val="Heading2"/>
      </w:pPr>
      <w:r>
        <w:t>Documents (ADR-0023)</w:t>
      </w:r>
    </w:p>
    <w:p>
      <w:pPr>
        <w:pStyle w:val="ListBullet"/>
      </w:pPr>
      <w:r>
        <w:rPr>
          <w:b/>
        </w:rPr>
        <w:t>Purpose.</w:t>
      </w:r>
      <w:r>
        <w:t xml:space="preserve"> Server-side document generation: PDF render with a template registry and per-company branding; a generated-documents log.</w:t>
      </w:r>
    </w:p>
    <w:p>
      <w:pPr>
        <w:pStyle w:val="ListBullet"/>
      </w:pPr>
      <w:r>
        <w:rPr>
          <w:b/>
        </w:rPr>
        <w:t>Key entities.</w:t>
      </w:r>
      <w:r>
        <w:t xml:space="preserve"> generated documents, </w:t>
      </w:r>
      <w:r>
        <w:rPr>
          <w:rFonts w:ascii="Consolas" w:hAnsi="Consolas"/>
          <w:color w:val="B03060"/>
          <w:sz w:val="19"/>
        </w:rPr>
        <w:t>document_templates</w:t>
      </w:r>
      <w:r>
        <w:t>, document branding.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DOCUMENT.*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DocumentController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/api/v1/documents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DocumentTemplateController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/api/v1/documents/templates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DocumentBrandingController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/api/v1/documents/branding</w:t>
            </w:r>
          </w:p>
        </w:tc>
      </w:tr>
    </w:tbl>
    <w:p/>
    <w:p>
      <w:pPr>
        <w:pStyle w:val="Heading2"/>
      </w:pPr>
      <w:r>
        <w:t>Notifications (ADR-0024)</w:t>
      </w:r>
    </w:p>
    <w:p>
      <w:pPr>
        <w:pStyle w:val="ListBullet"/>
      </w:pPr>
      <w:r>
        <w:rPr>
          <w:b/>
        </w:rPr>
        <w:t>Purpose.</w:t>
      </w:r>
      <w:r>
        <w:t xml:space="preserve"> In-app notification inbox, per-user preferences, and an admin type-catalogue toggle + delivery log.</w:t>
      </w:r>
    </w:p>
    <w:p>
      <w:pPr>
        <w:pStyle w:val="ListBullet"/>
      </w:pPr>
      <w:r>
        <w:rPr>
          <w:b/>
        </w:rPr>
        <w:t>Key entities.</w:t>
      </w:r>
      <w:r>
        <w:t xml:space="preserve"> notifications, notification preferences, notification type catalogue + delivery log.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NOTIFICATION.*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NotificationController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/api/v1/notifications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NotificationPreferenceController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/api/v1/notification-preferences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NotificationAdminController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/api/v1/admin/notifications</w:t>
            </w:r>
          </w:p>
        </w:tc>
      </w:tr>
    </w:tbl>
    <w:p/>
    <w:p>
      <w:pPr>
        <w:pStyle w:val="Heading2"/>
      </w:pPr>
      <w:r>
        <w:t>Sales — Blanket / Standing Orders (ADR-0029)</w:t>
      </w:r>
    </w:p>
    <w:p>
      <w:pPr>
        <w:pStyle w:val="ListBullet"/>
      </w:pPr>
      <w:r>
        <w:rPr>
          <w:b/>
        </w:rPr>
        <w:t>Purpose.</w:t>
      </w:r>
      <w:r>
        <w:t xml:space="preserve"> Recurring and committed-volume sales arrangements that drive scheduled releases.</w:t>
      </w:r>
    </w:p>
    <w:p>
      <w:pPr>
        <w:pStyle w:val="ListBullet"/>
      </w:pPr>
      <w:r>
        <w:rPr>
          <w:b/>
        </w:rPr>
        <w:t>Key entities.</w:t>
      </w:r>
      <w:r>
        <w:t xml:space="preserve"> </w:t>
      </w:r>
      <w:r>
        <w:rPr>
          <w:rFonts w:ascii="Consolas" w:hAnsi="Consolas"/>
          <w:color w:val="B03060"/>
          <w:sz w:val="19"/>
        </w:rPr>
        <w:t>blanket_orders</w:t>
      </w:r>
      <w:r>
        <w:t xml:space="preserve">, </w:t>
      </w:r>
      <w:r>
        <w:rPr>
          <w:rFonts w:ascii="Consolas" w:hAnsi="Consolas"/>
          <w:color w:val="B03060"/>
          <w:sz w:val="19"/>
        </w:rPr>
        <w:t>standing_orders</w:t>
      </w:r>
      <w:r>
        <w:t>.</w:t>
      </w:r>
    </w:p>
    <w:p>
      <w:pPr>
        <w:pStyle w:val="ListBullet"/>
      </w:pPr>
      <w:r>
        <w:rPr>
          <w:b/>
        </w:rPr>
        <w:t>Permission family.</w:t>
      </w:r>
      <w:r>
        <w:t xml:space="preserve"> </w:t>
      </w:r>
      <w:r>
        <w:rPr>
          <w:rFonts w:ascii="Consolas" w:hAnsi="Consolas"/>
          <w:color w:val="B03060"/>
          <w:sz w:val="19"/>
        </w:rPr>
        <w:t>SALES.*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Base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BlanketOrderController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/api/v1/blanket-orders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StandingOrderController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/api/v1/standing-orders</w:t>
            </w:r>
          </w:p>
        </w:tc>
      </w:tr>
    </w:tbl>
    <w:p/>
    <w:p>
      <w:r>
        <w:br/>
      </w:r>
    </w:p>
    <w:p>
      <w:pPr>
        <w:pStyle w:val="Heading1"/>
      </w:pPr>
      <w:r>
        <w:t>Data Model</w:t>
      </w:r>
    </w:p>
    <w:p>
      <w:r>
        <w:t xml:space="preserve">A readable reference to the ERPCLEAN2 PostgreSQL schema: the cross-cutting models (identity, money, multi-tenancy, append-only posting, soft-delete) and a per-domain summary of the main tables. This is a map, not a DDL dump — the authoritative DDL is the Flyway migrations under </w:t>
      </w:r>
      <w:r>
        <w:rPr>
          <w:rFonts w:ascii="Consolas" w:hAnsi="Consolas"/>
          <w:color w:val="B03060"/>
          <w:sz w:val="19"/>
        </w:rPr>
        <w:t>backend/src/main/resources/db/migration/</w:t>
      </w:r>
      <w:r>
        <w:t xml:space="preserve"> (</w:t>
      </w:r>
      <w:r>
        <w:rPr>
          <w:rFonts w:ascii="Consolas" w:hAnsi="Consolas"/>
          <w:color w:val="B03060"/>
          <w:sz w:val="19"/>
        </w:rPr>
        <w:t>V1</w:t>
      </w:r>
      <w:r>
        <w:t xml:space="preserve"> … </w:t>
      </w:r>
      <w:r>
        <w:rPr>
          <w:rFonts w:ascii="Consolas" w:hAnsi="Consolas"/>
          <w:color w:val="B03060"/>
          <w:sz w:val="19"/>
        </w:rPr>
        <w:t>V83</w:t>
      </w:r>
      <w:r>
        <w:t xml:space="preserve">). Where the prose in the repo's </w:t>
      </w:r>
      <w:r>
        <w:rPr>
          <w:rFonts w:ascii="Consolas" w:hAnsi="Consolas"/>
          <w:color w:val="B03060"/>
          <w:sz w:val="19"/>
        </w:rPr>
        <w:t>DATA-MODEL.md</w:t>
      </w:r>
      <w:r>
        <w:t xml:space="preserve"> and the shipped SQL disagree, </w:t>
      </w:r>
      <w:r>
        <w:rPr>
          <w:b/>
        </w:rPr>
        <w:t>the SQL is ground truth</w:t>
      </w:r>
      <w:r>
        <w:t>; the table names below follow the shipped migrations.</w:t>
      </w:r>
    </w:p>
    <w:p>
      <w:pPr>
        <w:pStyle w:val="Heading2"/>
      </w:pPr>
      <w:r>
        <w:t>Naming conventions (the real, shipped convention)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Master / owned-child tables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snake_case</w:t>
            </w:r>
            <w:r>
              <w:t xml:space="preserve">, </w:t>
            </w:r>
            <w:r>
              <w:rPr>
                <w:b/>
              </w:rPr>
              <w:t>plural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companies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customers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sales_invoices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journal_lines</w:t>
            </w:r>
          </w:p>
        </w:tc>
      </w:tr>
      <w:tr>
        <w:tc>
          <w:tcPr>
            <w:tcW w:type="dxa" w:w="2880"/>
          </w:tcPr>
          <w:p>
            <w:r>
              <w:t>Junction / utility tables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snake_case</w:t>
            </w:r>
            <w:r>
              <w:t xml:space="preserve">, </w:t>
            </w:r>
            <w:r>
              <w:rPr>
                <w:b/>
              </w:rPr>
              <w:t>singular</w:t>
            </w:r>
            <w:r>
              <w:t>, named for both sides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user_branch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role_permission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user_role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id BIGINT GENERATED BY DEFAULT AS IDENTITY</w:t>
            </w:r>
          </w:p>
        </w:tc>
        <w:tc>
          <w:tcPr>
            <w:tcW w:type="dxa" w:w="2880"/>
          </w:tcPr>
          <w:p>
            <w:r>
              <w:t>every table</w:t>
            </w:r>
          </w:p>
        </w:tc>
      </w:tr>
      <w:tr>
        <w:tc>
          <w:tcPr>
            <w:tcW w:type="dxa" w:w="2880"/>
          </w:tcPr>
          <w:p>
            <w:r>
              <w:t>External identifier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uid VARCHAR(26)</w:t>
            </w:r>
            <w:r>
              <w:t xml:space="preserve"> (ULID), unique</w:t>
            </w:r>
          </w:p>
        </w:tc>
        <w:tc>
          <w:tcPr>
            <w:tcW w:type="dxa" w:w="2880"/>
          </w:tcPr>
          <w:p>
            <w:r>
              <w:t>every externally exposed entity</w:t>
            </w:r>
          </w:p>
        </w:tc>
      </w:tr>
      <w:tr>
        <w:tc>
          <w:tcPr>
            <w:tcW w:type="dxa" w:w="2880"/>
          </w:tcPr>
          <w:p>
            <w:r>
              <w:t>Foreign key constraint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fk_&lt;singular-entity&gt;_&lt;ref&gt;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fk_journal_line_account</w:t>
            </w:r>
          </w:p>
        </w:tc>
      </w:tr>
      <w:tr>
        <w:tc>
          <w:tcPr>
            <w:tcW w:type="dxa" w:w="2880"/>
          </w:tcPr>
          <w:p>
            <w:r>
              <w:t>Unique constraint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uq_&lt;singular-entity&gt;_&lt;cols&gt;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uq_chart_of_account_company_code</w:t>
            </w:r>
          </w:p>
        </w:tc>
      </w:tr>
      <w:tr>
        <w:tc>
          <w:tcPr>
            <w:tcW w:type="dxa" w:w="2880"/>
          </w:tcPr>
          <w:p>
            <w:r>
              <w:t>Standalone index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ix_&lt;plural-table&gt;_&lt;cols&gt;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ix_journal_lines_company_account</w:t>
            </w:r>
          </w:p>
        </w:tc>
      </w:tr>
      <w:tr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>
            <w:r>
              <w:t>always singular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company_id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account_id</w:t>
            </w:r>
          </w:p>
        </w:tc>
      </w:tr>
    </w:tbl>
    <w:p/>
    <w:p>
      <w:pPr>
        <w:pStyle w:val="Heading2"/>
      </w:pPr>
      <w:r>
        <w:t>The identity model — `id` + `uid` duality</w:t>
      </w:r>
    </w:p>
    <w:p>
      <w:r>
        <w:t xml:space="preserve">Every externally exposed entity carries </w:t>
      </w:r>
      <w:r>
        <w:rPr>
          <w:b/>
        </w:rPr>
        <w:t>two</w:t>
      </w:r>
      <w:r>
        <w:t xml:space="preserve"> identifiers (</w:t>
      </w:r>
      <w:r>
        <w:rPr>
          <w:rFonts w:ascii="Consolas" w:hAnsi="Consolas"/>
          <w:color w:val="B03060"/>
          <w:sz w:val="19"/>
        </w:rPr>
        <w:t>PROJECT-CONVENTIONS.md</w:t>
      </w:r>
      <w:r>
        <w:t xml:space="preserve"> §3.3, ADR-0001 D-G):</w:t>
      </w:r>
    </w:p>
    <w:p>
      <w:pPr>
        <w:pStyle w:val="ListBullet"/>
      </w:pPr>
      <w:r>
        <w:rPr>
          <w:b/>
        </w:rPr>
        <w:t>`id` — `BIGINT IDENTITY`.</w:t>
      </w:r>
      <w:r>
        <w:t xml:space="preserve"> The internal primary key and the only thing foreign keys point at. Used for body-level joins. Serialised on the wire as a </w:t>
      </w:r>
      <w:r>
        <w:rPr>
          <w:b/>
        </w:rPr>
        <w:t>JSON string</w:t>
      </w:r>
      <w:r>
        <w:t xml:space="preserve"> (global Jackson config) so a 64-bit value survives JavaScript's IEEE-754 number precision. The web side types every id field as </w:t>
      </w:r>
      <w:r>
        <w:rPr>
          <w:rFonts w:ascii="Consolas" w:hAnsi="Consolas"/>
          <w:color w:val="B03060"/>
          <w:sz w:val="19"/>
        </w:rPr>
        <w:t>string</w:t>
      </w:r>
      <w:r>
        <w:t>.</w:t>
      </w:r>
    </w:p>
    <w:p>
      <w:pPr>
        <w:pStyle w:val="ListBullet"/>
      </w:pPr>
      <w:r>
        <w:rPr>
          <w:b/>
        </w:rPr>
        <w:t>`uid` — `VARCHAR(26)` ULID, unique.</w:t>
      </w:r>
      <w:r>
        <w:t xml:space="preserve"> The stable external identifier. </w:t>
      </w:r>
      <w:r>
        <w:rPr>
          <w:b/>
        </w:rPr>
        <w:t>URLs address by `uid`</w:t>
      </w:r>
      <w:r>
        <w:t xml:space="preserve"> (</w:t>
      </w:r>
      <w:r>
        <w:rPr>
          <w:rFonts w:ascii="Consolas" w:hAnsi="Consolas"/>
          <w:color w:val="B03060"/>
          <w:sz w:val="19"/>
        </w:rPr>
        <w:t>/api/v1/&lt;resource&gt;/uid/{uid}</w:t>
      </w:r>
      <w:r>
        <w:t xml:space="preserve">). The </w:t>
      </w:r>
      <w:r>
        <w:rPr>
          <w:rFonts w:ascii="Consolas" w:hAnsi="Consolas"/>
          <w:color w:val="B03060"/>
          <w:sz w:val="19"/>
        </w:rPr>
        <w:t>uid</w:t>
      </w:r>
      <w:r>
        <w:t xml:space="preserve"> is never shown to a user — pickers resolve a human name to a </w:t>
      </w:r>
      <w:r>
        <w:rPr>
          <w:rFonts w:ascii="Consolas" w:hAnsi="Consolas"/>
          <w:color w:val="B03060"/>
          <w:sz w:val="19"/>
        </w:rPr>
        <w:t>uid</w:t>
      </w:r>
      <w:r>
        <w:t xml:space="preserve"> behind the scenes. Cross-system references and outbox payloads carry </w:t>
      </w:r>
      <w:r>
        <w:rPr>
          <w:rFonts w:ascii="Consolas" w:hAnsi="Consolas"/>
          <w:color w:val="B03060"/>
          <w:sz w:val="19"/>
        </w:rPr>
        <w:t>uid</w:t>
      </w:r>
      <w:r>
        <w:t xml:space="preserve">, not </w:t>
      </w:r>
      <w:r>
        <w:rPr>
          <w:rFonts w:ascii="Consolas" w:hAnsi="Consolas"/>
          <w:color w:val="B03060"/>
          <w:sz w:val="19"/>
        </w:rPr>
        <w:t>id</w:t>
      </w:r>
      <w:r>
        <w:t>.</w:t>
      </w:r>
    </w:p>
    <w:p>
      <w:r>
        <w:t xml:space="preserve">Internal-only tables (junctions, </w:t>
      </w:r>
      <w:r>
        <w:rPr>
          <w:rFonts w:ascii="Consolas" w:hAnsi="Consolas"/>
          <w:color w:val="B03060"/>
          <w:sz w:val="19"/>
        </w:rPr>
        <w:t>audit_logs</w:t>
      </w:r>
      <w:r>
        <w:t xml:space="preserve">) may omit </w:t>
      </w:r>
      <w:r>
        <w:rPr>
          <w:rFonts w:ascii="Consolas" w:hAnsi="Consolas"/>
          <w:color w:val="B03060"/>
          <w:sz w:val="19"/>
        </w:rPr>
        <w:t>uid</w:t>
      </w:r>
      <w:r>
        <w:t xml:space="preserve"> and are addressed by their natural key or </w:t>
      </w:r>
      <w:r>
        <w:rPr>
          <w:rFonts w:ascii="Consolas" w:hAnsi="Consolas"/>
          <w:color w:val="B03060"/>
          <w:sz w:val="19"/>
        </w:rPr>
        <w:t>code</w:t>
      </w:r>
      <w:r>
        <w:t>. Reference catalogues addressed by a business code (</w:t>
      </w:r>
      <w:r>
        <w:rPr>
          <w:rFonts w:ascii="Consolas" w:hAnsi="Consolas"/>
          <w:color w:val="B03060"/>
          <w:sz w:val="19"/>
        </w:rPr>
        <w:t>permissions</w:t>
      </w:r>
      <w:r>
        <w:t xml:space="preserve"> by </w:t>
      </w:r>
      <w:r>
        <w:rPr>
          <w:rFonts w:ascii="Consolas" w:hAnsi="Consolas"/>
          <w:color w:val="B03060"/>
          <w:sz w:val="19"/>
        </w:rPr>
        <w:t>code</w:t>
      </w:r>
      <w:r>
        <w:t xml:space="preserve">, </w:t>
      </w:r>
      <w:r>
        <w:rPr>
          <w:rFonts w:ascii="Consolas" w:hAnsi="Consolas"/>
          <w:color w:val="B03060"/>
          <w:sz w:val="19"/>
        </w:rPr>
        <w:t>currencies</w:t>
      </w:r>
      <w:r>
        <w:t xml:space="preserve"> by ISO code) likewise need no </w:t>
      </w:r>
      <w:r>
        <w:rPr>
          <w:rFonts w:ascii="Consolas" w:hAnsi="Consolas"/>
          <w:color w:val="B03060"/>
          <w:sz w:val="19"/>
        </w:rPr>
        <w:t>uid</w:t>
      </w:r>
      <w:r>
        <w:t>.</w:t>
      </w:r>
    </w:p>
    <w:p>
      <w:pPr>
        <w:pStyle w:val="Heading2"/>
      </w:pPr>
      <w:r>
        <w:t>Money &amp; currency model (ADR-0005)</w:t>
      </w:r>
    </w:p>
    <w:p>
      <w:r>
        <w:t xml:space="preserve">A monetary value is an inseparable </w:t>
      </w:r>
      <w:r>
        <w:rPr>
          <w:rFonts w:ascii="Consolas" w:hAnsi="Consolas"/>
          <w:color w:val="B03060"/>
          <w:sz w:val="19"/>
        </w:rPr>
        <w:t>(amount, currency)</w:t>
      </w:r>
      <w:r>
        <w:t xml:space="preserve"> pair — never a bare number, in the database, in Java, or on the wire:</w:t>
      </w:r>
    </w:p>
    <w:p>
      <w:pPr>
        <w:pStyle w:val="ListBullet"/>
      </w:pPr>
      <w:r>
        <w:rPr>
          <w:b/>
        </w:rPr>
        <w:t>Storage.</w:t>
      </w:r>
      <w:r>
        <w:t xml:space="preserve"> A </w:t>
      </w:r>
      <w:r>
        <w:rPr>
          <w:rFonts w:ascii="Consolas" w:hAnsi="Consolas"/>
          <w:color w:val="B03060"/>
          <w:sz w:val="19"/>
        </w:rPr>
        <w:t>Money</w:t>
      </w:r>
      <w:r>
        <w:t xml:space="preserve"> </w:t>
      </w:r>
      <w:r>
        <w:rPr>
          <w:rFonts w:ascii="Consolas" w:hAnsi="Consolas"/>
          <w:color w:val="B03060"/>
          <w:sz w:val="19"/>
        </w:rPr>
        <w:t>@Embeddable</w:t>
      </w:r>
      <w:r>
        <w:t xml:space="preserve"> materialises a column pair: </w:t>
      </w:r>
      <w:r>
        <w:rPr>
          <w:rFonts w:ascii="Consolas" w:hAnsi="Consolas"/>
          <w:color w:val="B03060"/>
          <w:sz w:val="19"/>
        </w:rPr>
        <w:t>&lt;field&gt;_amount NUMERIC(19,4)</w:t>
      </w:r>
      <w:r>
        <w:t xml:space="preserve"> + </w:t>
      </w:r>
      <w:r>
        <w:rPr>
          <w:rFonts w:ascii="Consolas" w:hAnsi="Consolas"/>
          <w:color w:val="B03060"/>
          <w:sz w:val="19"/>
        </w:rPr>
        <w:t>&lt;field&gt;_currency CHAR(3)</w:t>
      </w:r>
      <w:r>
        <w:t xml:space="preserve"> (ISO 4217 code), both NULL or both NOT NULL together. </w:t>
      </w:r>
      <w:r>
        <w:rPr>
          <w:b/>
        </w:rPr>
        <w:t>Exchange rates</w:t>
      </w:r>
      <w:r>
        <w:t xml:space="preserve"> are </w:t>
      </w:r>
      <w:r>
        <w:rPr>
          <w:rFonts w:ascii="Consolas" w:hAnsi="Consolas"/>
          <w:color w:val="B03060"/>
          <w:sz w:val="19"/>
        </w:rPr>
        <w:t>NUMERIC(19,8)</w:t>
      </w:r>
      <w:r>
        <w:t xml:space="preserve">. Never </w:t>
      </w:r>
      <w:r>
        <w:rPr>
          <w:rFonts w:ascii="Consolas" w:hAnsi="Consolas"/>
          <w:color w:val="B03060"/>
          <w:sz w:val="19"/>
        </w:rPr>
        <w:t>float</w:t>
      </w:r>
      <w:r>
        <w:t>/</w:t>
      </w:r>
      <w:r>
        <w:rPr>
          <w:rFonts w:ascii="Consolas" w:hAnsi="Consolas"/>
          <w:color w:val="B03060"/>
          <w:sz w:val="19"/>
        </w:rPr>
        <w:t>double</w:t>
      </w:r>
      <w:r>
        <w:t>.</w:t>
      </w:r>
    </w:p>
    <w:p>
      <w:pPr>
        <w:pStyle w:val="ListBullet"/>
      </w:pPr>
      <w:r>
        <w:rPr>
          <w:b/>
        </w:rPr>
        <w:t>Base currency.</w:t>
      </w:r>
      <w:r>
        <w:t xml:space="preserve"> Each </w:t>
      </w:r>
      <w:r>
        <w:rPr>
          <w:rFonts w:ascii="Consolas" w:hAnsi="Consolas"/>
          <w:color w:val="B03060"/>
          <w:sz w:val="19"/>
        </w:rPr>
        <w:t>companies</w:t>
      </w:r>
      <w:r>
        <w:t xml:space="preserve"> row has a configurable base (functional) currency (default TZS), read from config — never a hard-coded literal. The GL and all statements are in base currency.</w:t>
      </w:r>
    </w:p>
    <w:p>
      <w:pPr>
        <w:pStyle w:val="ListBullet"/>
      </w:pPr>
      <w:r>
        <w:rPr>
          <w:b/>
        </w:rPr>
        <w:t>Foreign currency.</w:t>
      </w:r>
      <w:r>
        <w:t xml:space="preserve"> A document in a non-base currency also stores the </w:t>
      </w:r>
      <w:r>
        <w:rPr>
          <w:b/>
        </w:rPr>
        <w:t>base-currency equivalent</w:t>
      </w:r>
      <w:r>
        <w:t xml:space="preserve"> amount and the </w:t>
      </w:r>
      <w:r>
        <w:rPr>
          <w:b/>
        </w:rPr>
        <w:t>exchange rate used</w:t>
      </w:r>
      <w:r>
        <w:t xml:space="preserve"> (the base triple), captured at transaction time and </w:t>
      </w:r>
      <w:r>
        <w:rPr>
          <w:b/>
        </w:rPr>
        <w:t>immutable</w:t>
      </w:r>
      <w:r>
        <w:t xml:space="preserve"> thereafter — a posted historical amount is never recomputed when rates move (append-only discipline). The FX engine (rate master, conversion, revaluation) lives in </w:t>
      </w:r>
      <w:r>
        <w:rPr>
          <w:rFonts w:ascii="Consolas" w:hAnsi="Consolas"/>
          <w:color w:val="B03060"/>
          <w:sz w:val="19"/>
        </w:rPr>
        <w:t>currencies</w:t>
      </w:r>
      <w:r>
        <w:t xml:space="preserve"> / </w:t>
      </w:r>
      <w:r>
        <w:rPr>
          <w:rFonts w:ascii="Consolas" w:hAnsi="Consolas"/>
          <w:color w:val="B03060"/>
          <w:sz w:val="19"/>
        </w:rPr>
        <w:t>currency_rates</w:t>
      </w:r>
      <w:r>
        <w:t xml:space="preserve"> and the FX revaluation runs (ADR-0036, V77–V80).</w:t>
      </w:r>
    </w:p>
    <w:p>
      <w:pPr>
        <w:pStyle w:val="ListBullet"/>
      </w:pPr>
      <w:r>
        <w:rPr>
          <w:b/>
        </w:rPr>
        <w:t>Wire format.</w:t>
      </w:r>
      <w:r>
        <w:t xml:space="preserve"> Money is an object — </w:t>
      </w:r>
      <w:r>
        <w:rPr>
          <w:rFonts w:ascii="Consolas" w:hAnsi="Consolas"/>
          <w:color w:val="B03060"/>
          <w:sz w:val="19"/>
        </w:rPr>
        <w:t>{ "amount": "1500.0000", "currency": "TZS", "display": "TZS 1,500.00" }</w:t>
      </w:r>
      <w:r>
        <w:t xml:space="preserve"> — with </w:t>
      </w:r>
      <w:r>
        <w:rPr>
          <w:rFonts w:ascii="Consolas" w:hAnsi="Consolas"/>
          <w:color w:val="B03060"/>
          <w:sz w:val="19"/>
        </w:rPr>
        <w:t>amount</w:t>
      </w:r>
      <w:r>
        <w:t xml:space="preserve"> as a </w:t>
      </w:r>
      <w:r>
        <w:rPr>
          <w:b/>
        </w:rPr>
        <w:t>string</w:t>
      </w:r>
      <w:r>
        <w:t xml:space="preserve"> (exact end-to-end). Mixed-currency arithmetic throws; a cross-currency "total" is per-currency balances plus an explicit converted roll-up, never a raw </w:t>
      </w:r>
      <w:r>
        <w:rPr>
          <w:rFonts w:ascii="Consolas" w:hAnsi="Consolas"/>
          <w:color w:val="B03060"/>
          <w:sz w:val="19"/>
        </w:rPr>
        <w:t>SUM</w:t>
      </w:r>
      <w:r>
        <w:t>.</w:t>
      </w:r>
    </w:p>
    <w:p>
      <w:pPr>
        <w:pStyle w:val="Heading2"/>
      </w:pPr>
      <w:r>
        <w:t>Multi-tenancy — Organisation / Company / Branch</w:t>
      </w:r>
    </w:p>
    <w:p>
      <w:r>
        <w:t xml:space="preserve">The tenant tree is </w:t>
      </w:r>
      <w:r>
        <w:rPr>
          <w:b/>
        </w:rPr>
        <w:t>`organisations` → `companies` → `branches`</w:t>
      </w:r>
      <w:r>
        <w:t xml:space="preserve"> (ADR-0001):</w:t>
      </w:r>
    </w:p>
    <w:p>
      <w:pPr>
        <w:pStyle w:val="ListBullet"/>
      </w:pPr>
      <w:r>
        <w:rPr>
          <w:b/>
        </w:rPr>
        <w:t>Organisation</w:t>
      </w:r>
      <w:r>
        <w:t xml:space="preserve"> — top of the tree, one per deployment. Parent of all companies.</w:t>
      </w:r>
    </w:p>
    <w:p>
      <w:pPr>
        <w:pStyle w:val="ListBullet"/>
      </w:pPr>
      <w:r>
        <w:rPr>
          <w:b/>
        </w:rPr>
        <w:t>Company</w:t>
      </w:r>
      <w:r>
        <w:t xml:space="preserve"> — a legal entity; the scoping parent of company-bound master data and the level at which books are kept. Carries the base currency.</w:t>
      </w:r>
    </w:p>
    <w:p>
      <w:pPr>
        <w:pStyle w:val="ListBullet"/>
      </w:pPr>
      <w:r>
        <w:rPr>
          <w:b/>
        </w:rPr>
        <w:t>Branch</w:t>
      </w:r>
      <w:r>
        <w:t xml:space="preserve"> — a physical location (shop / depot / warehouse); the smallest unit at which stock and a business day exist. At most one default branch per company (</w:t>
      </w:r>
      <w:r>
        <w:rPr>
          <w:rFonts w:ascii="Consolas" w:hAnsi="Consolas"/>
          <w:color w:val="B03060"/>
          <w:sz w:val="19"/>
        </w:rPr>
        <w:t>uq_branch_company_default</w:t>
      </w:r>
      <w:r>
        <w:t xml:space="preserve"> — a partial unique </w:t>
      </w:r>
      <w:r>
        <w:rPr>
          <w:rFonts w:ascii="Consolas" w:hAnsi="Consolas"/>
          <w:color w:val="B03060"/>
          <w:sz w:val="19"/>
        </w:rPr>
        <w:t>WHERE is_default</w:t>
      </w:r>
      <w:r>
        <w:t>).</w:t>
      </w:r>
    </w:p>
    <w:p>
      <w:r>
        <w:t xml:space="preserve">Every transactional table carries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; tables that cross a branch boundary also carry </w:t>
      </w:r>
      <w:r>
        <w:rPr>
          <w:rFonts w:ascii="Consolas" w:hAnsi="Consolas"/>
          <w:color w:val="B03060"/>
          <w:sz w:val="19"/>
        </w:rPr>
        <w:t>branch_id</w:t>
      </w:r>
      <w:r>
        <w:t xml:space="preserve">. The </w:t>
      </w:r>
      <w:r>
        <w:rPr>
          <w:rFonts w:ascii="Consolas" w:hAnsi="Consolas"/>
          <w:color w:val="B03060"/>
          <w:sz w:val="19"/>
        </w:rPr>
        <w:t>RequestContext</w:t>
      </w:r>
      <w:r>
        <w:t xml:space="preserve"> sets the active company/branch from the JWT plus the </w:t>
      </w:r>
      <w:r>
        <w:rPr>
          <w:rFonts w:ascii="Consolas" w:hAnsi="Consolas"/>
          <w:color w:val="B03060"/>
          <w:sz w:val="19"/>
        </w:rPr>
        <w:t>X-Branch-Uid</w:t>
      </w:r>
      <w:r>
        <w:t xml:space="preserve"> override header; repository base interfaces inject the tenant predicate automatically. In the GL, </w:t>
      </w:r>
      <w:r>
        <w:rPr>
          <w:rFonts w:ascii="Consolas" w:hAnsi="Consolas"/>
          <w:color w:val="B03060"/>
          <w:sz w:val="19"/>
        </w:rPr>
        <w:t>branch_id</w:t>
      </w:r>
      <w:r>
        <w:t xml:space="preserve"> is a nullable </w:t>
      </w:r>
      <w:r>
        <w:rPr>
          <w:b/>
        </w:rPr>
        <w:t>analysis tag</w:t>
      </w:r>
      <w:r>
        <w:t xml:space="preserve"> on journals — books are company-level, not per-branch.</w:t>
      </w:r>
    </w:p>
    <w:p>
      <w:pPr>
        <w:pStyle w:val="Heading2"/>
      </w:pPr>
      <w:r>
        <w:t>Append-only posting &amp; soft-delete</w:t>
      </w:r>
    </w:p>
    <w:p>
      <w:r>
        <w:t>Two distinct disciplines (</w:t>
      </w:r>
      <w:r>
        <w:rPr>
          <w:rFonts w:ascii="Consolas" w:hAnsi="Consolas"/>
          <w:color w:val="B03060"/>
          <w:sz w:val="19"/>
        </w:rPr>
        <w:t>PROJECT-CONVENTIONS.md</w:t>
      </w:r>
      <w:r>
        <w:t xml:space="preserve"> §3.6):</w:t>
      </w:r>
    </w:p>
    <w:p>
      <w:pPr>
        <w:pStyle w:val="ListBullet"/>
      </w:pPr>
      <w:r>
        <w:rPr>
          <w:b/>
        </w:rPr>
        <w:t>Append-only posting tables</w:t>
      </w:r>
      <w:r>
        <w:t xml:space="preserve"> are never updated or deleted. Corrections are </w:t>
      </w:r>
      <w:r>
        <w:rPr>
          <w:b/>
        </w:rPr>
        <w:t>new, reversing rows</w:t>
      </w:r>
      <w:r>
        <w:t xml:space="preserve">. This applies to </w:t>
      </w:r>
      <w:r>
        <w:rPr>
          <w:rFonts w:ascii="Consolas" w:hAnsi="Consolas"/>
          <w:color w:val="B03060"/>
          <w:sz w:val="19"/>
        </w:rPr>
        <w:t>journal_batches</w:t>
      </w:r>
      <w:r>
        <w:t>/</w:t>
      </w:r>
      <w:r>
        <w:rPr>
          <w:rFonts w:ascii="Consolas" w:hAnsi="Consolas"/>
          <w:color w:val="B03060"/>
          <w:sz w:val="19"/>
        </w:rPr>
        <w:t>journal_entries</w:t>
      </w:r>
      <w:r>
        <w:t>/</w:t>
      </w:r>
      <w:r>
        <w:rPr>
          <w:rFonts w:ascii="Consolas" w:hAnsi="Consolas"/>
          <w:color w:val="B03060"/>
          <w:sz w:val="19"/>
        </w:rPr>
        <w:t>journal_lines</w:t>
      </w:r>
      <w:r>
        <w:t xml:space="preserve"> (no </w:t>
      </w:r>
      <w:r>
        <w:rPr>
          <w:rFonts w:ascii="Consolas" w:hAnsi="Consolas"/>
          <w:color w:val="B03060"/>
          <w:sz w:val="19"/>
        </w:rPr>
        <w:t>updated_*</w:t>
      </w:r>
      <w:r>
        <w:t xml:space="preserve"> columns; correction = a reversing entry linked by </w:t>
      </w:r>
      <w:r>
        <w:rPr>
          <w:rFonts w:ascii="Consolas" w:hAnsi="Consolas"/>
          <w:color w:val="B03060"/>
          <w:sz w:val="19"/>
        </w:rPr>
        <w:t>reversal_of_id</w:t>
      </w:r>
      <w:r>
        <w:t xml:space="preserve">), </w:t>
      </w:r>
      <w:r>
        <w:rPr>
          <w:rFonts w:ascii="Consolas" w:hAnsi="Consolas"/>
          <w:color w:val="B03060"/>
          <w:sz w:val="19"/>
        </w:rPr>
        <w:t>stock_movements</w:t>
      </w:r>
      <w:r>
        <w:t xml:space="preserve"> (reversal movements), and </w:t>
      </w:r>
      <w:r>
        <w:rPr>
          <w:rFonts w:ascii="Consolas" w:hAnsi="Consolas"/>
          <w:color w:val="B03060"/>
          <w:sz w:val="19"/>
        </w:rPr>
        <w:t>audit_logs</w:t>
      </w:r>
      <w:r>
        <w:t xml:space="preserve"> (no UPDATE/DELETE through the app; the DB role is granted none).</w:t>
      </w:r>
    </w:p>
    <w:p>
      <w:pPr>
        <w:pStyle w:val="ListBullet"/>
      </w:pPr>
      <w:r>
        <w:rPr>
          <w:b/>
        </w:rPr>
        <w:t>Soft-deletable masters</w:t>
      </w:r>
      <w:r>
        <w:t xml:space="preserve"> carry a </w:t>
      </w:r>
      <w:r>
        <w:rPr>
          <w:rFonts w:ascii="Consolas" w:hAnsi="Consolas"/>
          <w:color w:val="B03060"/>
          <w:sz w:val="19"/>
        </w:rPr>
        <w:t>MasterStatus</w:t>
      </w:r>
      <w:r>
        <w:t xml:space="preserve"> column — </w:t>
      </w:r>
      <w:r>
        <w:rPr>
          <w:rFonts w:ascii="Consolas" w:hAnsi="Consolas"/>
          <w:color w:val="B03060"/>
          <w:sz w:val="19"/>
        </w:rPr>
        <w:t>status VARCHAR(32)</w:t>
      </w:r>
      <w:r>
        <w:t xml:space="preserve"> with </w:t>
      </w:r>
      <w:r>
        <w:rPr>
          <w:rFonts w:ascii="Consolas" w:hAnsi="Consolas"/>
          <w:color w:val="B03060"/>
          <w:sz w:val="19"/>
        </w:rPr>
        <w:t>ACTIVE</w:t>
      </w:r>
      <w:r>
        <w:t xml:space="preserve"> | </w:t>
      </w:r>
      <w:r>
        <w:rPr>
          <w:rFonts w:ascii="Consolas" w:hAnsi="Consolas"/>
          <w:color w:val="B03060"/>
          <w:sz w:val="19"/>
        </w:rPr>
        <w:t>INACTIVE</w:t>
      </w:r>
      <w:r>
        <w:t xml:space="preserve"> | </w:t>
      </w:r>
      <w:r>
        <w:rPr>
          <w:rFonts w:ascii="Consolas" w:hAnsi="Consolas"/>
          <w:color w:val="B03060"/>
          <w:sz w:val="19"/>
        </w:rPr>
        <w:t>ARCHIVED</w:t>
      </w:r>
      <w:r>
        <w:t>. Archiving hides a master from new use while preserving it on historical documents (e.g. an archived product stays on past invoices; a deactivated GL account stays on historical journal lines but rejects new postings).</w:t>
      </w:r>
    </w:p>
    <w:p>
      <w:r>
        <w:t>Optimistic locking (</w:t>
      </w:r>
      <w:r>
        <w:rPr>
          <w:rFonts w:ascii="Consolas" w:hAnsi="Consolas"/>
          <w:color w:val="B03060"/>
          <w:sz w:val="19"/>
        </w:rPr>
        <w:t>@Version</w:t>
      </w:r>
      <w:r>
        <w:t xml:space="preserve"> → a </w:t>
      </w:r>
      <w:r>
        <w:rPr>
          <w:rFonts w:ascii="Consolas" w:hAnsi="Consolas"/>
          <w:color w:val="B03060"/>
          <w:sz w:val="19"/>
        </w:rPr>
        <w:t>version BIGINT</w:t>
      </w:r>
      <w:r>
        <w:t xml:space="preserve"> column) guards mutable aggregates against lost updates.</w:t>
      </w:r>
    </w:p>
    <w:p>
      <w:pPr>
        <w:pStyle w:val="Heading2"/>
      </w:pPr>
      <w:r>
        <w:t>Per-domain table summary</w:t>
      </w:r>
    </w:p>
    <w:p>
      <w:r>
        <w:t>The list below covers the main tables per domain. Owned child tables (lines, allocations, components) are noted with their parent. Junctions are singular.</w:t>
      </w:r>
    </w:p>
    <w:p>
      <w:pPr>
        <w:pStyle w:val="Heading3"/>
      </w:pPr>
      <w:r>
        <w:t>IAM (V1 baseline)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organisations</w:t>
            </w:r>
          </w:p>
        </w:tc>
        <w:tc>
          <w:tcPr>
            <w:tcW w:type="dxa" w:w="4320"/>
          </w:tcPr>
          <w:p>
            <w:r>
              <w:t>tenant root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companies</w:t>
            </w:r>
          </w:p>
        </w:tc>
        <w:tc>
          <w:tcPr>
            <w:tcW w:type="dxa" w:w="4320"/>
          </w:tcPr>
          <w:p>
            <w:r>
              <w:t xml:space="preserve">legal entity; base currency; </w:t>
            </w:r>
            <w:r>
              <w:rPr>
                <w:rFonts w:ascii="Consolas" w:hAnsi="Consolas"/>
                <w:color w:val="B03060"/>
                <w:sz w:val="19"/>
              </w:rPr>
              <w:t>uq_company_org_code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branches</w:t>
            </w:r>
          </w:p>
        </w:tc>
        <w:tc>
          <w:tcPr>
            <w:tcW w:type="dxa" w:w="4320"/>
          </w:tcPr>
          <w:p>
            <w:r>
              <w:t xml:space="preserve">location; </w:t>
            </w:r>
            <w:r>
              <w:rPr>
                <w:rFonts w:ascii="Consolas" w:hAnsi="Consolas"/>
                <w:color w:val="B03060"/>
                <w:sz w:val="19"/>
              </w:rPr>
              <w:t>uq_branch_company_default</w:t>
            </w:r>
            <w:r>
              <w:t xml:space="preserve"> (≤1 default/company)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app_users</w:t>
            </w:r>
          </w:p>
        </w:tc>
        <w:tc>
          <w:tcPr>
            <w:tcW w:type="dxa" w:w="4320"/>
          </w:tcPr>
          <w:p>
            <w:r>
              <w:t xml:space="preserve">login identity; bcrypt </w:t>
            </w:r>
            <w:r>
              <w:rPr>
                <w:rFonts w:ascii="Consolas" w:hAnsi="Consolas"/>
                <w:color w:val="B03060"/>
                <w:sz w:val="19"/>
              </w:rPr>
              <w:t>password_hash</w:t>
            </w:r>
            <w:r>
              <w:t xml:space="preserve">; lockout fields; </w:t>
            </w:r>
            <w:r>
              <w:rPr>
                <w:rFonts w:ascii="Consolas" w:hAnsi="Consolas"/>
                <w:color w:val="B03060"/>
                <w:sz w:val="19"/>
              </w:rPr>
              <w:t>is_root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permissions</w:t>
            </w:r>
          </w:p>
        </w:tc>
        <w:tc>
          <w:tcPr>
            <w:tcW w:type="dxa" w:w="4320"/>
          </w:tcPr>
          <w:p>
            <w:r>
              <w:t xml:space="preserve">atomic access unit, dot-separated </w:t>
            </w:r>
            <w:r>
              <w:rPr>
                <w:rFonts w:ascii="Consolas" w:hAnsi="Consolas"/>
                <w:color w:val="B03060"/>
                <w:sz w:val="19"/>
              </w:rPr>
              <w:t>code</w:t>
            </w:r>
            <w:r>
              <w:t>; seeded; addressed by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roles</w:t>
            </w:r>
          </w:p>
        </w:tc>
        <w:tc>
          <w:tcPr>
            <w:tcW w:type="dxa" w:w="4320"/>
          </w:tcPr>
          <w:p>
            <w:r>
              <w:t xml:space="preserve">named permission bundle; </w:t>
            </w:r>
            <w:r>
              <w:rPr>
                <w:rFonts w:ascii="Consolas" w:hAnsi="Consolas"/>
                <w:color w:val="B03060"/>
                <w:sz w:val="19"/>
              </w:rPr>
              <w:t>is_system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role_permission</w:t>
            </w:r>
          </w:p>
        </w:tc>
        <w:tc>
          <w:tcPr>
            <w:tcW w:type="dxa" w:w="4320"/>
          </w:tcPr>
          <w:p>
            <w:r>
              <w:t>junction role ⇄ permission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user_role</w:t>
            </w:r>
          </w:p>
        </w:tc>
        <w:tc>
          <w:tcPr>
            <w:tcW w:type="dxa" w:w="4320"/>
          </w:tcPr>
          <w:p>
            <w:r>
              <w:t xml:space="preserve">role grant scoped to company, optionally one branch (NULL = all); requires an active </w:t>
            </w:r>
            <w:r>
              <w:rPr>
                <w:rFonts w:ascii="Consolas" w:hAnsi="Consolas"/>
                <w:color w:val="B03060"/>
                <w:sz w:val="19"/>
              </w:rPr>
              <w:t>user_company</w:t>
            </w:r>
            <w:r>
              <w:t xml:space="preserve"> membership for that company (ADR-0046)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user_branch</w:t>
            </w:r>
          </w:p>
        </w:tc>
        <w:tc>
          <w:tcPr>
            <w:tcW w:type="dxa" w:w="4320"/>
          </w:tcPr>
          <w:p>
            <w:r>
              <w:t xml:space="preserve">branch assignment; </w:t>
            </w:r>
            <w:r>
              <w:rPr>
                <w:rFonts w:ascii="Consolas" w:hAnsi="Consolas"/>
                <w:color w:val="B03060"/>
                <w:sz w:val="19"/>
              </w:rPr>
              <w:t>uq_user_branch_default</w:t>
            </w:r>
            <w:r>
              <w:t xml:space="preserve"> (≤1 default/user); requires an active </w:t>
            </w:r>
            <w:r>
              <w:rPr>
                <w:rFonts w:ascii="Consolas" w:hAnsi="Consolas"/>
                <w:color w:val="B03060"/>
                <w:sz w:val="19"/>
              </w:rPr>
              <w:t>user_company</w:t>
            </w:r>
            <w:r>
              <w:t xml:space="preserve"> membership for the branch's company (ADR-0046)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user_company</w:t>
            </w:r>
          </w:p>
        </w:tc>
        <w:tc>
          <w:tcPr>
            <w:tcW w:type="dxa" w:w="4320"/>
          </w:tcPr>
          <w:p>
            <w:r>
              <w:t xml:space="preserve">authoritative user ⇄ company membership; write-path prerequisite for any role grant or branch assignment in that company (ADR-0046); gated by </w:t>
            </w:r>
            <w:r>
              <w:rPr>
                <w:rFonts w:ascii="Consolas" w:hAnsi="Consolas"/>
                <w:color w:val="B03060"/>
                <w:sz w:val="19"/>
              </w:rPr>
              <w:t>USER.COMPANY.MANAGE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refresh_tokens</w:t>
            </w:r>
          </w:p>
        </w:tc>
        <w:tc>
          <w:tcPr>
            <w:tcW w:type="dxa" w:w="4320"/>
          </w:tcPr>
          <w:p>
            <w:r>
              <w:t>hashed, single-use, rotated; reuse → revoke chain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audit_logs</w:t>
            </w:r>
          </w:p>
        </w:tc>
        <w:tc>
          <w:tcPr>
            <w:tcW w:type="dxa" w:w="4320"/>
          </w:tcPr>
          <w:p>
            <w:r>
              <w:t xml:space="preserve">append-only action trail; </w:t>
            </w:r>
            <w:r>
              <w:rPr>
                <w:rFonts w:ascii="Consolas" w:hAnsi="Consolas"/>
                <w:color w:val="B03060"/>
                <w:sz w:val="19"/>
              </w:rPr>
              <w:t>detail</w:t>
            </w:r>
            <w:r>
              <w:t xml:space="preserve"> JSONB; no UPDATE/DELETE</w:t>
            </w:r>
          </w:p>
        </w:tc>
      </w:tr>
    </w:tbl>
    <w:p/>
    <w:p>
      <w:pPr>
        <w:pStyle w:val="Heading3"/>
      </w:pPr>
      <w:r>
        <w:t>Outbox / events (V6)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domain_events</w:t>
            </w:r>
          </w:p>
        </w:tc>
        <w:tc>
          <w:tcPr>
            <w:tcW w:type="dxa" w:w="4320"/>
          </w:tcPr>
          <w:p>
            <w:r>
              <w:t xml:space="preserve">append-only outbox; </w:t>
            </w:r>
            <w:r>
              <w:rPr>
                <w:rFonts w:ascii="Consolas" w:hAnsi="Consolas"/>
                <w:color w:val="B03060"/>
                <w:sz w:val="19"/>
              </w:rPr>
              <w:t>event_type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aggregate_*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company_id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branch_id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payload</w:t>
            </w:r>
            <w:r>
              <w:t xml:space="preserve"> JSONB, </w:t>
            </w:r>
            <w:r>
              <w:rPr>
                <w:rFonts w:ascii="Consolas" w:hAnsi="Consolas"/>
                <w:color w:val="B03060"/>
                <w:sz w:val="19"/>
              </w:rPr>
              <w:t>status</w:t>
            </w:r>
            <w:r>
              <w:t xml:space="preserve"> (PENDING/DISPATCHED/FAILED), </w:t>
            </w:r>
            <w:r>
              <w:rPr>
                <w:rFonts w:ascii="Consolas" w:hAnsi="Consolas"/>
                <w:color w:val="B03060"/>
                <w:sz w:val="19"/>
              </w:rPr>
              <w:t>occurred_at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dispatched_at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attempt_count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last_error</w:t>
            </w:r>
            <w:r>
              <w:t xml:space="preserve">. Partial index on </w:t>
            </w:r>
            <w:r>
              <w:rPr>
                <w:rFonts w:ascii="Consolas" w:hAnsi="Consolas"/>
                <w:color w:val="B03060"/>
                <w:sz w:val="19"/>
              </w:rPr>
              <w:t>status='PENDING'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processed_events</w:t>
            </w:r>
          </w:p>
        </w:tc>
        <w:tc>
          <w:tcPr>
            <w:tcW w:type="dxa" w:w="4320"/>
          </w:tcPr>
          <w:p>
            <w:r>
              <w:t xml:space="preserve">consumer-side dedup marker; </w:t>
            </w:r>
            <w:r>
              <w:rPr>
                <w:rFonts w:ascii="Consolas" w:hAnsi="Consolas"/>
                <w:color w:val="B03060"/>
                <w:sz w:val="19"/>
              </w:rPr>
              <w:t>uq_processed_event (consumer, event_uid)</w:t>
            </w:r>
          </w:p>
        </w:tc>
      </w:tr>
    </w:tbl>
    <w:p/>
    <w:p>
      <w:pPr>
        <w:pStyle w:val="Heading3"/>
      </w:pPr>
      <w:r>
        <w:t>Parties (V2) &amp; Catalog (V3, V4, V9)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customers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suppliers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agents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other_parties</w:t>
            </w:r>
          </w:p>
        </w:tc>
        <w:tc>
          <w:tcPr>
            <w:tcW w:type="dxa" w:w="4320"/>
          </w:tcPr>
          <w:p>
            <w:r>
              <w:t>trading-partner masters (+ branch associations, party code sequences)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products</w:t>
            </w:r>
          </w:p>
        </w:tc>
        <w:tc>
          <w:tcPr>
            <w:tcW w:type="dxa" w:w="4320"/>
          </w:tcPr>
          <w:p>
            <w:r>
              <w:t>catalogue; GOODS=stockable / SERVICE=non-stockable; sub-tables for branches, barcodes, bulk packs, prices, recipe components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units_of_measure</w:t>
            </w:r>
          </w:p>
        </w:tc>
        <w:tc>
          <w:tcPr>
            <w:tcW w:type="dxa" w:w="4320"/>
          </w:tcPr>
          <w:p>
            <w:r>
              <w:t>UoM + conversions (bulk packs)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price_lists</w:t>
            </w:r>
          </w:p>
        </w:tc>
        <w:tc>
          <w:tcPr>
            <w:tcW w:type="dxa" w:w="4320"/>
          </w:tcPr>
          <w:p>
            <w:r>
              <w:t>named price sets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tax_rates</w:t>
            </w:r>
          </w:p>
        </w:tc>
        <w:tc>
          <w:tcPr>
            <w:tcW w:type="dxa" w:w="4320"/>
          </w:tcPr>
          <w:p>
            <w:r>
              <w:t xml:space="preserve">VAT/tax rate master; </w:t>
            </w:r>
            <w:r>
              <w:rPr>
                <w:rFonts w:ascii="Consolas" w:hAnsi="Consolas"/>
                <w:color w:val="B03060"/>
                <w:sz w:val="19"/>
              </w:rPr>
              <w:t>status</w:t>
            </w:r>
            <w:r>
              <w:t xml:space="preserve"> (MasterStatus)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routes</w:t>
            </w:r>
          </w:p>
        </w:tc>
        <w:tc>
          <w:tcPr>
            <w:tcW w:type="dxa" w:w="4320"/>
          </w:tcPr>
          <w:p>
            <w:r>
              <w:t>distribution routes; customer/agent/branch assignment</w:t>
            </w:r>
          </w:p>
        </w:tc>
      </w:tr>
    </w:tbl>
    <w:p/>
    <w:p>
      <w:pPr>
        <w:pStyle w:val="Heading3"/>
      </w:pPr>
      <w:r>
        <w:t>Sales — O2C (V5, V18, V19, V42, V44, V45)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quotations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quotes; accept → sales 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sales_orders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orders; confirm reserves 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deliveries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full/partial/backorder fulfilment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sales_invoices</w:t>
            </w:r>
            <w:r>
              <w:t xml:space="preserve"> (+ </w:t>
            </w:r>
            <w:r>
              <w:rPr>
                <w:rFonts w:ascii="Consolas" w:hAnsi="Consolas"/>
                <w:color w:val="B03060"/>
                <w:sz w:val="19"/>
              </w:rPr>
              <w:t>sales_invoice_lines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sales_invoice_payments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invoice; </w:t>
            </w:r>
            <w:r>
              <w:rPr>
                <w:rFonts w:ascii="Consolas" w:hAnsi="Consolas"/>
                <w:color w:val="B03060"/>
                <w:sz w:val="19"/>
              </w:rPr>
              <w:t>net/vat/gross</w:t>
            </w:r>
            <w:r>
              <w:t xml:space="preserve"> totals; </w:t>
            </w:r>
            <w:r>
              <w:rPr>
                <w:rFonts w:ascii="Consolas" w:hAnsi="Consolas"/>
                <w:color w:val="B03060"/>
                <w:sz w:val="19"/>
              </w:rPr>
              <w:t>tax_summary</w:t>
            </w:r>
            <w:r>
              <w:t xml:space="preserve"> JSONB; finalise → </w:t>
            </w:r>
            <w:r>
              <w:rPr>
                <w:rFonts w:ascii="Consolas" w:hAnsi="Consolas"/>
                <w:color w:val="B03060"/>
                <w:sz w:val="19"/>
              </w:rPr>
              <w:t>SALE.FINALISED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sales_returns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RMA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pricing_rules</w:t>
            </w:r>
          </w:p>
        </w:tc>
        <w:tc>
          <w:tcPr>
            <w:tcW w:type="dxa" w:w="4320"/>
          </w:tcPr>
          <w:p>
            <w:r>
              <w:t>advanced pricing</w:t>
            </w:r>
          </w:p>
        </w:tc>
      </w:tr>
      <w:tr>
        <w:tc>
          <w:tcPr>
            <w:tcW w:type="dxa" w:w="4320"/>
          </w:tcPr>
          <w:p>
            <w:r>
              <w:t>blanket / standing orders</w:t>
            </w:r>
          </w:p>
        </w:tc>
        <w:tc>
          <w:tcPr>
            <w:tcW w:type="dxa" w:w="4320"/>
          </w:tcPr>
          <w:p>
            <w:r>
              <w:t>recurring + committed-volume arrangements</w:t>
            </w:r>
          </w:p>
        </w:tc>
      </w:tr>
    </w:tbl>
    <w:p/>
    <w:p>
      <w:pPr>
        <w:pStyle w:val="Heading3"/>
      </w:pPr>
      <w:r>
        <w:t>POS (V43, V82, V83)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pos_tills</w:t>
            </w:r>
          </w:p>
        </w:tc>
        <w:tc>
          <w:tcPr>
            <w:tcW w:type="dxa" w:w="4320"/>
          </w:tcPr>
          <w:p>
            <w:r>
              <w:t>till master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pos_sessions</w:t>
            </w:r>
          </w:p>
        </w:tc>
        <w:tc>
          <w:tcPr>
            <w:tcW w:type="dxa" w:w="4320"/>
          </w:tcPr>
          <w:p>
            <w:r>
              <w:t>session lifecycle (open float → X-read → close → reconcile/Z-read)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pos_sales</w:t>
            </w:r>
            <w:r>
              <w:t xml:space="preserve"> (+ lines, tenders)</w:t>
            </w:r>
          </w:p>
        </w:tc>
        <w:tc>
          <w:tcPr>
            <w:tcW w:type="dxa" w:w="4320"/>
          </w:tcPr>
          <w:p>
            <w:r>
              <w:t>quick checkout</w:t>
            </w:r>
          </w:p>
        </w:tc>
      </w:tr>
    </w:tbl>
    <w:p/>
    <w:p>
      <w:pPr>
        <w:pStyle w:val="Heading3"/>
      </w:pPr>
      <w:r>
        <w:t>Procurement — P2P (V8, V32–V36)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purchase_requisitions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requisition → approve → convert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rfqs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supplier_quotes</w:t>
            </w:r>
          </w:p>
        </w:tc>
        <w:tc>
          <w:tcPr>
            <w:tcW w:type="dxa" w:w="4320"/>
          </w:tcPr>
          <w:p>
            <w:r>
              <w:t>sourcing; award creates a PO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purchase_orders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PO place/approve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goods_receipts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 xml:space="preserve">receipt → </w:t>
            </w:r>
            <w:r>
              <w:rPr>
                <w:rFonts w:ascii="Consolas" w:hAnsi="Consolas"/>
                <w:color w:val="B03060"/>
                <w:sz w:val="19"/>
              </w:rPr>
              <w:t>STOCK.RECEIVED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landed_costs</w:t>
            </w:r>
          </w:p>
        </w:tc>
        <w:tc>
          <w:tcPr>
            <w:tcW w:type="dxa" w:w="4320"/>
          </w:tcPr>
          <w:p>
            <w:r>
              <w:t>cost apportionment onto receipts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purchase_returns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supplier returns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purchase_settings</w:t>
            </w:r>
          </w:p>
        </w:tc>
        <w:tc>
          <w:tcPr>
            <w:tcW w:type="dxa" w:w="4320"/>
          </w:tcPr>
          <w:p>
            <w:r>
              <w:t>per-company procurement config</w:t>
            </w:r>
          </w:p>
        </w:tc>
      </w:tr>
    </w:tbl>
    <w:p/>
    <w:p>
      <w:pPr>
        <w:pStyle w:val="Heading3"/>
      </w:pPr>
      <w:r>
        <w:t>Inventory / Stock (V7, V17, V37–V41)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stock_movements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append-only</w:t>
            </w:r>
            <w:r>
              <w:t xml:space="preserve"> ledger; carries </w:t>
            </w:r>
            <w:r>
              <w:rPr>
                <w:rFonts w:ascii="Consolas" w:hAnsi="Consolas"/>
                <w:color w:val="B03060"/>
                <w:sz w:val="19"/>
              </w:rPr>
              <w:t>source_event_uid</w:t>
            </w:r>
            <w:r>
              <w:t xml:space="preserve"> (outbox traceability + idempotency backstop)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stock_on_hand</w:t>
            </w:r>
          </w:p>
        </w:tc>
        <w:tc>
          <w:tcPr>
            <w:tcW w:type="dxa" w:w="4320"/>
          </w:tcPr>
          <w:p>
            <w:r>
              <w:t>per-product/location/batch quantity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stock_locations</w:t>
            </w:r>
          </w:p>
        </w:tc>
        <w:tc>
          <w:tcPr>
            <w:tcW w:type="dxa" w:w="4320"/>
          </w:tcPr>
          <w:p>
            <w:r>
              <w:t>within-branch locations; 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stock_transfers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inter-location transfers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stock_counts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physical / cycle 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stock_batches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stock_serials</w:t>
            </w:r>
          </w:p>
        </w:tc>
        <w:tc>
          <w:tcPr>
            <w:tcW w:type="dxa" w:w="4320"/>
          </w:tcPr>
          <w:p>
            <w:r>
              <w:t>lot/expiry and serial tracking</w:t>
            </w:r>
          </w:p>
        </w:tc>
      </w:tr>
      <w:tr>
        <w:tc>
          <w:tcPr>
            <w:tcW w:type="dxa" w:w="4320"/>
          </w:tcPr>
          <w:p>
            <w:r>
              <w:t>valuation tables</w:t>
            </w:r>
          </w:p>
        </w:tc>
        <w:tc>
          <w:tcPr>
            <w:tcW w:type="dxa" w:w="4320"/>
          </w:tcPr>
          <w:p>
            <w:r>
              <w:t>moving-average / perpetual valuation (ADR-0020)</w:t>
            </w:r>
          </w:p>
        </w:tc>
      </w:tr>
    </w:tbl>
    <w:p/>
    <w:p>
      <w:pPr>
        <w:pStyle w:val="Heading3"/>
      </w:pPr>
      <w:r>
        <w:t>Finance — General Ledger (V10, V16, V27, V28)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chart_of_accounts</w:t>
            </w:r>
          </w:p>
        </w:tc>
        <w:tc>
          <w:tcPr>
            <w:tcW w:type="dxa" w:w="4320"/>
          </w:tcPr>
          <w:p>
            <w:r>
              <w:t xml:space="preserve">flat numeric-range accounts; </w:t>
            </w:r>
            <w:r>
              <w:rPr>
                <w:rFonts w:ascii="Consolas" w:hAnsi="Consolas"/>
                <w:color w:val="B03060"/>
                <w:sz w:val="19"/>
              </w:rPr>
              <w:t>account_type</w:t>
            </w:r>
            <w:r>
              <w:t xml:space="preserve">, stored </w:t>
            </w:r>
            <w:r>
              <w:rPr>
                <w:rFonts w:ascii="Consolas" w:hAnsi="Consolas"/>
                <w:color w:val="B03060"/>
                <w:sz w:val="19"/>
              </w:rPr>
              <w:t>normal_balance</w:t>
            </w:r>
            <w: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uq_chart_of_account_company_code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fiscal_years</w:t>
            </w:r>
          </w:p>
        </w:tc>
        <w:tc>
          <w:tcPr>
            <w:tcW w:type="dxa" w:w="4320"/>
          </w:tcPr>
          <w:p>
            <w:r>
              <w:t>configurable start month; OPEN/CLOSED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fiscal_periods</w:t>
            </w:r>
          </w:p>
        </w:tc>
        <w:tc>
          <w:tcPr>
            <w:tcW w:type="dxa" w:w="4320"/>
          </w:tcPr>
          <w:p>
            <w:r>
              <w:t xml:space="preserve">12 monthly periods/year; </w:t>
            </w:r>
            <w:r>
              <w:rPr>
                <w:b/>
              </w:rPr>
              <w:t>the posting gate</w:t>
            </w:r>
            <w:r>
              <w:t xml:space="preserve"> (must be OPEN)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journal_batches</w:t>
            </w:r>
          </w:p>
        </w:tc>
        <w:tc>
          <w:tcPr>
            <w:tcW w:type="dxa" w:w="4320"/>
          </w:tcPr>
          <w:p>
            <w:r>
              <w:t>numbered container (</w:t>
            </w:r>
            <w:r>
              <w:rPr>
                <w:rFonts w:ascii="Consolas" w:hAnsi="Consolas"/>
                <w:color w:val="B03060"/>
                <w:sz w:val="19"/>
              </w:rPr>
              <w:t>JB-####</w:t>
            </w:r>
            <w:r>
              <w:t xml:space="preserve">); </w:t>
            </w:r>
            <w:r>
              <w:rPr>
                <w:rFonts w:ascii="Consolas" w:hAnsi="Consolas"/>
                <w:color w:val="B03060"/>
                <w:sz w:val="19"/>
              </w:rPr>
              <w:t>source_type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journal_entries</w:t>
            </w:r>
          </w:p>
        </w:tc>
        <w:tc>
          <w:tcPr>
            <w:tcW w:type="dxa" w:w="4320"/>
          </w:tcPr>
          <w:p>
            <w:r>
              <w:t xml:space="preserve">one balanced transaction; </w:t>
            </w:r>
            <w:r>
              <w:rPr>
                <w:rFonts w:ascii="Consolas" w:hAnsi="Consolas"/>
                <w:color w:val="B03060"/>
                <w:sz w:val="19"/>
              </w:rPr>
              <w:t>posting_date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fiscal_period_id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reversal_of_id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journal_lines</w:t>
            </w:r>
          </w:p>
        </w:tc>
        <w:tc>
          <w:tcPr>
            <w:tcW w:type="dxa" w:w="4320"/>
          </w:tcPr>
          <w:p>
            <w:r>
              <w:t xml:space="preserve">one leg; </w:t>
            </w:r>
            <w:r>
              <w:rPr>
                <w:rFonts w:ascii="Consolas" w:hAnsi="Consolas"/>
                <w:color w:val="B03060"/>
                <w:sz w:val="19"/>
              </w:rPr>
              <w:t>debit_amount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credit_amount</w:t>
            </w:r>
            <w:r>
              <w:t xml:space="preserve"> (exactly one non-zero); </w:t>
            </w:r>
            <w:r>
              <w:rPr>
                <w:rFonts w:ascii="Consolas" w:hAnsi="Consolas"/>
                <w:color w:val="B03060"/>
                <w:sz w:val="19"/>
              </w:rPr>
              <w:t>chk_journal_line_one_side</w:t>
            </w:r>
            <w: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ix_journal_lines_company_account</w:t>
            </w:r>
            <w:r>
              <w:t xml:space="preserve"> is the trial-balance index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gl_configs</w:t>
            </w:r>
          </w:p>
        </w:tc>
        <w:tc>
          <w:tcPr>
            <w:tcW w:type="dxa" w:w="4320"/>
          </w:tcPr>
          <w:p>
            <w:r>
              <w:t>role→account map (</w:t>
            </w:r>
            <w:r>
              <w:rPr>
                <w:rFonts w:ascii="Consolas" w:hAnsi="Consolas"/>
                <w:color w:val="B03060"/>
                <w:sz w:val="19"/>
              </w:rPr>
              <w:t>SALES_REVENUE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VAT_PAYABLE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ACCOUNTS_RECEIVABLE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CASH</w:t>
            </w:r>
            <w:r>
              <w:t xml:space="preserve">, …); </w:t>
            </w:r>
            <w:r>
              <w:rPr>
                <w:rFonts w:ascii="Consolas" w:hAnsi="Consolas"/>
                <w:color w:val="B03060"/>
                <w:sz w:val="19"/>
              </w:rPr>
              <w:t>uq_gl_config_company_key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dimensions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dimension_values</w:t>
            </w:r>
          </w:p>
        </w:tc>
        <w:tc>
          <w:tcPr>
            <w:tcW w:type="dxa" w:w="4320"/>
          </w:tcPr>
          <w:p>
            <w:r>
              <w:t>cost-centre / analytical dimensions (ADR-0025)</w:t>
            </w:r>
          </w:p>
        </w:tc>
      </w:tr>
    </w:tbl>
    <w:p/>
    <w:p>
      <w:pPr>
        <w:pStyle w:val="Heading3"/>
      </w:pPr>
      <w:r>
        <w:t>Accounts Receivable (V11)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ar_invoices</w:t>
            </w:r>
          </w:p>
        </w:tc>
        <w:tc>
          <w:tcPr>
            <w:tcW w:type="dxa" w:w="4320"/>
          </w:tcPr>
          <w:p>
            <w:r>
              <w:t>AR open items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ar_receipts</w:t>
            </w:r>
            <w:r>
              <w:t xml:space="preserve"> (+ </w:t>
            </w:r>
            <w:r>
              <w:rPr>
                <w:rFonts w:ascii="Consolas" w:hAnsi="Consolas"/>
                <w:color w:val="B03060"/>
                <w:sz w:val="19"/>
              </w:rPr>
              <w:t>ar_receipt_allocations</w:t>
            </w:r>
            <w:r>
              <w:t>)</w:t>
            </w:r>
          </w:p>
        </w:tc>
        <w:tc>
          <w:tcPr>
            <w:tcW w:type="dxa" w:w="4320"/>
          </w:tcPr>
          <w:p>
            <w:r>
              <w:t>receipts; tender + allocation + optional WHT leg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ar_credit_notes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ar_write_offs</w:t>
            </w:r>
          </w:p>
        </w:tc>
        <w:tc>
          <w:tcPr>
            <w:tcW w:type="dxa" w:w="4320"/>
          </w:tcPr>
          <w:p>
            <w:r>
              <w:t>credit notes, write-offs</w:t>
            </w:r>
          </w:p>
        </w:tc>
      </w:tr>
      <w:tr>
        <w:tc>
          <w:tcPr>
            <w:tcW w:type="dxa" w:w="4320"/>
          </w:tcPr>
          <w:p>
            <w:r>
              <w:t>AR opening balances</w:t>
            </w:r>
          </w:p>
        </w:tc>
        <w:tc>
          <w:tcPr>
            <w:tcW w:type="dxa" w:w="4320"/>
          </w:tcPr>
          <w:p>
            <w:r>
              <w:t>migration of legacy open items</w:t>
            </w:r>
          </w:p>
        </w:tc>
      </w:tr>
    </w:tbl>
    <w:p/>
    <w:p>
      <w:pPr>
        <w:pStyle w:val="Heading3"/>
      </w:pPr>
      <w:r>
        <w:t>Accounts Payable (V12)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supplier_bills</w:t>
            </w:r>
            <w:r>
              <w:t xml:space="preserve"> (+ lines, match)</w:t>
            </w:r>
          </w:p>
        </w:tc>
        <w:tc>
          <w:tcPr>
            <w:tcW w:type="dxa" w:w="4320"/>
          </w:tcPr>
          <w:p>
            <w:r>
              <w:t>bill entry + 3-way 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ap_payments</w:t>
            </w:r>
          </w:p>
        </w:tc>
        <w:tc>
          <w:tcPr>
            <w:tcW w:type="dxa" w:w="4320"/>
          </w:tcPr>
          <w:p>
            <w:r>
              <w:t>single + payment run; WHT-on-payment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ap_debit_notes</w:t>
            </w:r>
          </w:p>
        </w:tc>
        <w:tc>
          <w:tcPr>
            <w:tcW w:type="dxa" w:w="4320"/>
          </w:tcPr>
          <w:p>
            <w:r>
              <w:t>supplier debit notes</w:t>
            </w:r>
          </w:p>
        </w:tc>
      </w:tr>
      <w:tr>
        <w:tc>
          <w:tcPr>
            <w:tcW w:type="dxa" w:w="4320"/>
          </w:tcPr>
          <w:p>
            <w:r>
              <w:t>AP opening balances</w:t>
            </w:r>
          </w:p>
        </w:tc>
        <w:tc>
          <w:tcPr>
            <w:tcW w:type="dxa" w:w="4320"/>
          </w:tcPr>
          <w:p>
            <w:r>
              <w:t>legacy open items</w:t>
            </w:r>
          </w:p>
        </w:tc>
      </w:tr>
    </w:tbl>
    <w:p/>
    <w:p>
      <w:pPr>
        <w:pStyle w:val="Heading3"/>
      </w:pPr>
      <w:r>
        <w:t>Cash &amp; Bank (V13)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cash_bank_accounts</w:t>
            </w:r>
          </w:p>
        </w:tc>
        <w:tc>
          <w:tcPr>
            <w:tcW w:type="dxa" w:w="4320"/>
          </w:tcPr>
          <w:p>
            <w:r>
              <w:t>cash/bank accounts; 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cash_transactions</w:t>
            </w:r>
          </w:p>
        </w:tc>
        <w:tc>
          <w:tcPr>
            <w:tcW w:type="dxa" w:w="4320"/>
          </w:tcPr>
          <w:p>
            <w:r>
              <w:t>direct entries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cash_transfers</w:t>
            </w:r>
          </w:p>
        </w:tc>
        <w:tc>
          <w:tcPr>
            <w:tcW w:type="dxa" w:w="4320"/>
          </w:tcPr>
          <w:p>
            <w:r>
              <w:t>inter-account transfers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bank_reconciliations</w:t>
            </w:r>
          </w:p>
        </w:tc>
        <w:tc>
          <w:tcPr>
            <w:tcW w:type="dxa" w:w="4320"/>
          </w:tcPr>
          <w:p>
            <w:r>
              <w:t>reconciliation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cheques</w:t>
            </w:r>
          </w:p>
        </w:tc>
        <w:tc>
          <w:tcPr>
            <w:tcW w:type="dxa" w:w="4320"/>
          </w:tcPr>
          <w:p>
            <w:r>
              <w:t>cheque register</w:t>
            </w:r>
          </w:p>
        </w:tc>
      </w:tr>
    </w:tbl>
    <w:p/>
    <w:p>
      <w:pPr>
        <w:pStyle w:val="Heading3"/>
      </w:pPr>
      <w:r>
        <w:t>Tax — VAT &amp; WHT (V14)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vat_returns</w:t>
            </w:r>
            <w:r>
              <w:t xml:space="preserve"> (+ adjustments)</w:t>
            </w:r>
          </w:p>
        </w:tc>
        <w:tc>
          <w:tcPr>
            <w:tcW w:type="dxa" w:w="4320"/>
          </w:tcPr>
          <w:p>
            <w:r>
              <w:t>return lifecycle (open → recompute → file)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wht_types</w:t>
            </w:r>
          </w:p>
        </w:tc>
        <w:tc>
          <w:tcPr>
            <w:tcW w:type="dxa" w:w="4320"/>
          </w:tcPr>
          <w:p>
            <w:r>
              <w:t>WHT rate master</w:t>
            </w:r>
          </w:p>
        </w:tc>
      </w:tr>
      <w:tr>
        <w:tc>
          <w:tcPr>
            <w:tcW w:type="dxa" w:w="4320"/>
          </w:tcPr>
          <w:p>
            <w:r>
              <w:t>WHT register</w:t>
            </w:r>
          </w:p>
        </w:tc>
        <w:tc>
          <w:tcPr>
            <w:tcW w:type="dxa" w:w="4320"/>
          </w:tcPr>
          <w:p>
            <w:r>
              <w:t>withheld-amount register / certificates</w:t>
            </w:r>
          </w:p>
        </w:tc>
      </w:tr>
    </w:tbl>
    <w:p/>
    <w:p>
      <w:pPr>
        <w:pStyle w:val="Heading3"/>
      </w:pPr>
      <w:r>
        <w:t>FX / Multi-currency (V77–V80)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currencies</w:t>
            </w:r>
          </w:p>
        </w:tc>
        <w:tc>
          <w:tcPr>
            <w:tcW w:type="dxa" w:w="4320"/>
          </w:tcPr>
          <w:p>
            <w:r>
              <w:t xml:space="preserve">global currency master (no </w:t>
            </w:r>
            <w:r>
              <w:rPr>
                <w:rFonts w:ascii="Consolas" w:hAnsi="Consolas"/>
                <w:color w:val="B03060"/>
                <w:sz w:val="19"/>
              </w:rPr>
              <w:t>company_id</w:t>
            </w:r>
            <w:r>
              <w:t>); ISO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currency_rates</w:t>
            </w:r>
          </w:p>
        </w:tc>
        <w:tc>
          <w:tcPr>
            <w:tcW w:type="dxa" w:w="4320"/>
          </w:tcPr>
          <w:p>
            <w:r>
              <w:t>effective-dated rates (add-only, no edit-in-place)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fx_revaluation_runs</w:t>
            </w:r>
          </w:p>
        </w:tc>
        <w:tc>
          <w:tcPr>
            <w:tcW w:type="dxa" w:w="4320"/>
          </w:tcPr>
          <w:p>
            <w:r>
              <w:t>period-end unrealized revaluation (preview → post → reverse)</w:t>
            </w:r>
          </w:p>
        </w:tc>
      </w:tr>
      <w:tr>
        <w:tc>
          <w:tcPr>
            <w:tcW w:type="dxa" w:w="4320"/>
          </w:tcPr>
          <w:p>
            <w:r>
              <w:t>(document base-triple columns)</w:t>
            </w:r>
          </w:p>
        </w:tc>
        <w:tc>
          <w:tcPr>
            <w:tcW w:type="dxa" w:w="4320"/>
          </w:tcPr>
          <w:p>
            <w:r>
              <w:t>base-currency equivalent + rate on foreign-currency documents</w:t>
            </w:r>
          </w:p>
        </w:tc>
      </w:tr>
    </w:tbl>
    <w:p/>
    <w:p>
      <w:pPr>
        <w:pStyle w:val="Heading3"/>
      </w:pPr>
      <w:r>
        <w:t>Fixed Assets (V46–V50)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asset_categories</w:t>
            </w:r>
          </w:p>
        </w:tc>
        <w:tc>
          <w:tcPr>
            <w:tcW w:type="dxa" w:w="4320"/>
          </w:tcPr>
          <w:p>
            <w:r>
              <w:t>category master + GL config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fixed_assets</w:t>
            </w:r>
          </w:p>
        </w:tc>
        <w:tc>
          <w:tcPr>
            <w:tcW w:type="dxa" w:w="4320"/>
          </w:tcPr>
          <w:p>
            <w:r>
              <w:t>register; acquire-from-bill, place-in-service, transfer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depreciation_runs</w:t>
            </w:r>
          </w:p>
        </w:tc>
        <w:tc>
          <w:tcPr>
            <w:tcW w:type="dxa" w:w="4320"/>
          </w:tcPr>
          <w:p>
            <w:r>
              <w:t>preview / post</w:t>
            </w:r>
          </w:p>
        </w:tc>
      </w:tr>
      <w:tr>
        <w:tc>
          <w:tcPr>
            <w:tcW w:type="dxa" w:w="4320"/>
          </w:tcPr>
          <w:p>
            <w:r>
              <w:t>disposals / revaluations</w:t>
            </w:r>
          </w:p>
        </w:tc>
        <w:tc>
          <w:tcPr>
            <w:tcW w:type="dxa" w:w="4320"/>
          </w:tcPr>
          <w:p>
            <w:r>
              <w:t>disposal, write-off, revaluation</w:t>
            </w:r>
          </w:p>
        </w:tc>
      </w:tr>
    </w:tbl>
    <w:p/>
    <w:p>
      <w:pPr>
        <w:pStyle w:val="Heading3"/>
      </w:pPr>
      <w:r>
        <w:t>HR &amp; Payroll (V56–V63)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hr_departments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hr_employees</w:t>
            </w:r>
          </w:p>
        </w:tc>
        <w:tc>
          <w:tcPr>
            <w:tcW w:type="dxa" w:w="4320"/>
          </w:tcPr>
          <w:p>
            <w:r>
              <w:t>org + employee master (employment-status lifecycle)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hr_contracts</w:t>
            </w:r>
          </w:p>
        </w:tc>
        <w:tc>
          <w:tcPr>
            <w:tcW w:type="dxa" w:w="4320"/>
          </w:tcPr>
          <w:p>
            <w:r>
              <w:t>employment contracts; terminate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hr_leave_requests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hr_loans</w:t>
            </w:r>
          </w:p>
        </w:tc>
        <w:tc>
          <w:tcPr>
            <w:tcW w:type="dxa" w:w="4320"/>
          </w:tcPr>
          <w:p>
            <w:r>
              <w:t>leave + loan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hr_pay_components</w:t>
            </w:r>
          </w:p>
        </w:tc>
        <w:tc>
          <w:tcPr>
            <w:tcW w:type="dxa" w:w="4320"/>
          </w:tcPr>
          <w:p>
            <w:r>
              <w:t>earnings/deductions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hr_payroll_runs</w:t>
            </w:r>
          </w:p>
        </w:tc>
        <w:tc>
          <w:tcPr>
            <w:tcW w:type="dxa" w:w="4320"/>
          </w:tcPr>
          <w:p>
            <w:r>
              <w:t>calculate → approve → post → disburse → reverse (GL + Cash effects)</w:t>
            </w:r>
          </w:p>
        </w:tc>
      </w:tr>
      <w:tr>
        <w:tc>
          <w:tcPr>
            <w:tcW w:type="dxa" w:w="4320"/>
          </w:tcPr>
          <w:p>
            <w:r>
              <w:t>statutory tables</w:t>
            </w:r>
          </w:p>
        </w:tc>
        <w:tc>
          <w:tcPr>
            <w:tcW w:type="dxa" w:w="4320"/>
          </w:tcPr>
          <w:p>
            <w:r>
              <w:t>PAYE band sets, statutory rate sets</w:t>
            </w:r>
          </w:p>
        </w:tc>
      </w:tr>
    </w:tbl>
    <w:p/>
    <w:p>
      <w:pPr>
        <w:pStyle w:val="Heading3"/>
      </w:pPr>
      <w:r>
        <w:t>CRM (V51, V52)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crm_leads</w:t>
            </w:r>
          </w:p>
        </w:tc>
        <w:tc>
          <w:tcPr>
            <w:tcW w:type="dxa" w:w="4320"/>
          </w:tcPr>
          <w:p>
            <w:r>
              <w:t>lead capture +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crm_opportunities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OPEN → WON/LOST; convert to Quotation/Sales 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crm_pipeline_stages</w:t>
            </w:r>
          </w:p>
        </w:tc>
        <w:tc>
          <w:tcPr>
            <w:tcW w:type="dxa" w:w="4320"/>
          </w:tcPr>
          <w:p>
            <w:r>
              <w:t>stage master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crm_activities</w:t>
            </w:r>
          </w:p>
        </w:tc>
        <w:tc>
          <w:tcPr>
            <w:tcW w:type="dxa" w:w="4320"/>
          </w:tcPr>
          <w:p>
            <w:r>
              <w:t>CALL/EMAIL/MEETING/NOTE/TASK on a lead or opportunity</w:t>
            </w:r>
          </w:p>
        </w:tc>
      </w:tr>
    </w:tbl>
    <w:p/>
    <w:p>
      <w:pPr>
        <w:pStyle w:val="Heading3"/>
      </w:pPr>
      <w:r>
        <w:t>Projects — Job Costing (V64–V68)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projects</w:t>
            </w:r>
          </w:p>
        </w:tc>
        <w:tc>
          <w:tcPr>
            <w:tcW w:type="dxa" w:w="4320"/>
          </w:tcPr>
          <w:p>
            <w:r>
              <w:t>project master +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project_tasks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project_timesheets</w:t>
            </w:r>
          </w:p>
        </w:tc>
        <w:tc>
          <w:tcPr>
            <w:tcW w:type="dxa" w:w="4320"/>
          </w:tcPr>
          <w:p>
            <w:r>
              <w:t>tasks + time</w:t>
            </w:r>
          </w:p>
        </w:tc>
      </w:tr>
      <w:tr>
        <w:tc>
          <w:tcPr>
            <w:tcW w:type="dxa" w:w="4320"/>
          </w:tcPr>
          <w:p>
            <w:r>
              <w:t>project material issues</w:t>
            </w:r>
          </w:p>
        </w:tc>
        <w:tc>
          <w:tcPr>
            <w:tcW w:type="dxa" w:w="4320"/>
          </w:tcPr>
          <w:p>
            <w:r>
              <w:t>issue-to-project (COGS at moving-average)</w:t>
            </w:r>
          </w:p>
        </w:tc>
      </w:tr>
      <w:tr>
        <w:tc>
          <w:tcPr>
            <w:tcW w:type="dxa" w:w="4320"/>
          </w:tcPr>
          <w:p>
            <w:r>
              <w:t>project cost tags</w:t>
            </w:r>
          </w:p>
        </w:tc>
        <w:tc>
          <w:tcPr>
            <w:tcW w:type="dxa" w:w="4320"/>
          </w:tcPr>
          <w:p>
            <w:r>
              <w:t>tags on AP / sales / stock for project costing</w:t>
            </w:r>
          </w:p>
        </w:tc>
      </w:tr>
    </w:tbl>
    <w:p/>
    <w:p>
      <w:pPr>
        <w:pStyle w:val="Heading3"/>
      </w:pPr>
      <w:r>
        <w:t>Manufacturing (V30, V74–V76)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boms</w:t>
            </w:r>
            <w:r>
              <w:t xml:space="preserve"> (+ components)</w:t>
            </w:r>
          </w:p>
        </w:tc>
        <w:tc>
          <w:tcPr>
            <w:tcW w:type="dxa" w:w="4320"/>
          </w:tcPr>
          <w:p>
            <w:r>
              <w:t>multi-level BOM authoring +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work_orders</w:t>
            </w:r>
            <w:r>
              <w:t xml:space="preserve"> (+ operations)</w:t>
            </w:r>
          </w:p>
        </w:tc>
        <w:tc>
          <w:tcPr>
            <w:tcW w:type="dxa" w:w="4320"/>
          </w:tcPr>
          <w:p>
            <w:r>
              <w:t>release → issue → apply-cost → complete → close</w:t>
            </w:r>
          </w:p>
        </w:tc>
      </w:tr>
      <w:tr>
        <w:tc>
          <w:tcPr>
            <w:tcW w:type="dxa" w:w="4320"/>
          </w:tcPr>
          <w:p>
            <w:r>
              <w:t>WIP accounts</w:t>
            </w:r>
          </w:p>
        </w:tc>
        <w:tc>
          <w:tcPr>
            <w:tcW w:type="dxa" w:w="4320"/>
          </w:tcPr>
          <w:p>
            <w:r>
              <w:t>manufacturing CoA seed; WIP reconciliation</w:t>
            </w:r>
          </w:p>
        </w:tc>
      </w:tr>
    </w:tbl>
    <w:p/>
    <w:p>
      <w:pPr>
        <w:pStyle w:val="Heading3"/>
      </w:pPr>
      <w:r>
        <w:t>Budgeting (V69, V70)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budgets</w:t>
            </w:r>
          </w:p>
        </w:tc>
        <w:tc>
          <w:tcPr>
            <w:tcW w:type="dxa" w:w="4320"/>
          </w:tcPr>
          <w:p>
            <w:r>
              <w:t>budget 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budget_versions</w:t>
            </w:r>
            <w:r>
              <w:t xml:space="preserve"> (+ lines)</w:t>
            </w:r>
          </w:p>
        </w:tc>
        <w:tc>
          <w:tcPr>
            <w:tcW w:type="dxa" w:w="4320"/>
          </w:tcPr>
          <w:p>
            <w:r>
              <w:t>version lifecycle; line entry modes; posts nothing to GL</w:t>
            </w:r>
          </w:p>
        </w:tc>
      </w:tr>
    </w:tbl>
    <w:p/>
    <w:p>
      <w:pPr>
        <w:pStyle w:val="Heading3"/>
      </w:pPr>
      <w:r>
        <w:t>Platform services — Approvals / Documents / Notifications (V20–V26)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approval_policies</w:t>
            </w:r>
            <w:r>
              <w:t xml:space="preserve"> (+ steps)</w:t>
            </w:r>
          </w:p>
        </w:tc>
        <w:tc>
          <w:tcPr>
            <w:tcW w:type="dxa" w:w="4320"/>
          </w:tcPr>
          <w:p>
            <w:r>
              <w:t>per-company multi-step policy chain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approval_requests</w:t>
            </w:r>
            <w:r>
              <w:t xml:space="preserve"> (+ frozen steps, decisions)</w:t>
            </w:r>
          </w:p>
        </w:tc>
        <w:tc>
          <w:tcPr>
            <w:tcW w:type="dxa" w:w="4320"/>
          </w:tcPr>
          <w:p>
            <w:r>
              <w:t xml:space="preserve">runtime request; snapshot frozen at submit; </w:t>
            </w:r>
            <w:r>
              <w:rPr>
                <w:rFonts w:ascii="Consolas" w:hAnsi="Consolas"/>
                <w:color w:val="B03060"/>
                <w:sz w:val="19"/>
              </w:rPr>
              <w:t>APPROVAL.RESOLVED</w:t>
            </w:r>
            <w:r>
              <w:t xml:space="preserve"> event</w:t>
            </w:r>
          </w:p>
        </w:tc>
      </w:tr>
      <w:tr>
        <w:tc>
          <w:tcPr>
            <w:tcW w:type="dxa" w:w="4320"/>
          </w:tcPr>
          <w:p>
            <w:r>
              <w:t xml:space="preserve">documents, </w:t>
            </w:r>
            <w:r>
              <w:rPr>
                <w:rFonts w:ascii="Consolas" w:hAnsi="Consolas"/>
                <w:color w:val="B03060"/>
                <w:sz w:val="19"/>
              </w:rPr>
              <w:t>document_templates</w:t>
            </w:r>
            <w:r>
              <w:t>, branding</w:t>
            </w:r>
          </w:p>
        </w:tc>
        <w:tc>
          <w:tcPr>
            <w:tcW w:type="dxa" w:w="4320"/>
          </w:tcPr>
          <w:p>
            <w:r>
              <w:t>PDF render log, template registry, company branding</w:t>
            </w:r>
          </w:p>
        </w:tc>
      </w:tr>
      <w:tr>
        <w:tc>
          <w:tcPr>
            <w:tcW w:type="dxa" w:w="4320"/>
          </w:tcPr>
          <w:p>
            <w:r>
              <w:t>notifications, preferences, type catalogue + delivery log</w:t>
            </w:r>
          </w:p>
        </w:tc>
        <w:tc>
          <w:tcPr>
            <w:tcW w:type="dxa" w:w="4320"/>
          </w:tcPr>
          <w:p>
            <w:r>
              <w:t>in-app inbox, per-user preferences, admin toggle</w:t>
            </w:r>
          </w:p>
        </w:tc>
      </w:tr>
    </w:tbl>
    <w:p/>
    <w:p>
      <w:pPr>
        <w:pStyle w:val="Heading2"/>
      </w:pPr>
      <w:r>
        <w:t>Migration ordering</w:t>
      </w:r>
    </w:p>
    <w:p>
      <w:r>
        <w:t>Migrations are strictly sequential and additive once shipped — IAM (</w:t>
      </w:r>
      <w:r>
        <w:rPr>
          <w:rFonts w:ascii="Consolas" w:hAnsi="Consolas"/>
          <w:color w:val="B03060"/>
          <w:sz w:val="19"/>
        </w:rPr>
        <w:t>V1</w:t>
      </w:r>
      <w:r>
        <w:t xml:space="preserve">) is the baseline, and each module lands as a new </w:t>
      </w:r>
      <w:r>
        <w:rPr>
          <w:rFonts w:ascii="Consolas" w:hAnsi="Consolas"/>
          <w:color w:val="B03060"/>
          <w:sz w:val="19"/>
        </w:rPr>
        <w:t>V&lt;n&gt;</w:t>
      </w:r>
      <w:r>
        <w:t xml:space="preserve"> file (</w:t>
      </w:r>
      <w:r>
        <w:rPr>
          <w:rFonts w:ascii="Consolas" w:hAnsi="Consolas"/>
          <w:color w:val="B03060"/>
          <w:sz w:val="19"/>
        </w:rPr>
        <w:t>V2</w:t>
      </w:r>
      <w:r>
        <w:t xml:space="preserve"> Parties … </w:t>
      </w:r>
      <w:r>
        <w:rPr>
          <w:rFonts w:ascii="Consolas" w:hAnsi="Consolas"/>
          <w:color w:val="B03060"/>
          <w:sz w:val="19"/>
        </w:rPr>
        <w:t>V83</w:t>
      </w:r>
      <w:r>
        <w:t xml:space="preserve"> POS permissions). A shipped migration is never edited; a correction is a new migration on top. Every module depends only on already-frozen tables (e.g. all FKs to </w:t>
      </w:r>
      <w:r>
        <w:rPr>
          <w:rFonts w:ascii="Consolas" w:hAnsi="Consolas"/>
          <w:color w:val="B03060"/>
          <w:sz w:val="19"/>
        </w:rPr>
        <w:t>companies</w:t>
      </w:r>
      <w:r>
        <w:t>/</w:t>
      </w:r>
      <w:r>
        <w:rPr>
          <w:rFonts w:ascii="Consolas" w:hAnsi="Consolas"/>
          <w:color w:val="B03060"/>
          <w:sz w:val="19"/>
        </w:rPr>
        <w:t>branches</w:t>
      </w:r>
      <w:r>
        <w:t>/</w:t>
      </w:r>
      <w:r>
        <w:rPr>
          <w:rFonts w:ascii="Consolas" w:hAnsi="Consolas"/>
          <w:color w:val="B03060"/>
          <w:sz w:val="19"/>
        </w:rPr>
        <w:t>app_users</w:t>
      </w:r>
      <w:r>
        <w:t xml:space="preserve"> resolve against the frozen </w:t>
      </w:r>
      <w:r>
        <w:rPr>
          <w:rFonts w:ascii="Consolas" w:hAnsi="Consolas"/>
          <w:color w:val="B03060"/>
          <w:sz w:val="19"/>
        </w:rPr>
        <w:t>V1</w:t>
      </w:r>
      <w:r>
        <w:t xml:space="preserve"> baseline). The current head is </w:t>
      </w:r>
      <w:r>
        <w:rPr>
          <w:rFonts w:ascii="Consolas" w:hAnsi="Consolas"/>
          <w:color w:val="B03060"/>
          <w:sz w:val="19"/>
        </w:rPr>
        <w:t>V83</w:t>
      </w:r>
      <w:r>
        <w:t>.</w:t>
      </w:r>
    </w:p>
    <w:p>
      <w:r>
        <w:br/>
      </w:r>
    </w:p>
    <w:p>
      <w:pPr>
        <w:pStyle w:val="Heading1"/>
      </w:pPr>
      <w:r>
        <w:t>Security</w:t>
      </w:r>
    </w:p>
    <w:p>
      <w:r>
        <w:t>ERPCLEAN2 secures every request through an in-house JWT resource server, enforces</w:t>
      </w:r>
    </w:p>
    <w:p>
      <w:r>
        <w:t>authorization by permission code, and isolates tenants down to the branch. This document</w:t>
      </w:r>
    </w:p>
    <w:p>
      <w:r>
        <w:t>describes how authentication, RBAC, multi-tenant isolation, the audit trail, and secret</w:t>
      </w:r>
    </w:p>
    <w:p>
      <w:r>
        <w:t>handling actually work in the shipped system.</w:t>
      </w:r>
    </w:p>
    <w:p>
      <w:r>
        <w:t>The decisions behind this design are recorded in</w:t>
      </w:r>
    </w:p>
    <w:p>
      <w:r>
        <w:t>[ADR-0001](../decisions/0001-iam-architecture.md) (IAM architecture),</w:t>
      </w:r>
    </w:p>
    <w:p>
      <w:r>
        <w:t>[ADR-0002](../decisions/0002-rbac-enforcement.md) (permission AND scope enforcement),</w:t>
      </w:r>
    </w:p>
    <w:p>
      <w:r>
        <w:t>[ADR-0003](../decisions/0003-branch-switch-override.md) (runtime branch switch),</w:t>
      </w:r>
    </w:p>
    <w:p>
      <w:r>
        <w:t>[ADR-0004](../decisions/0004-iam-audit-trail.md) (audit trail), and</w:t>
      </w:r>
    </w:p>
    <w:p>
      <w:r>
        <w:t>[ADR-0046](../decisions/0046-authoritative-user-company-membership.md) (authoritative</w:t>
      </w:r>
    </w:p>
    <w:p>
      <w:r>
        <w:t>user ⇄ company membership, superseding the non-authoritative phase of</w:t>
      </w:r>
    </w:p>
    <w:p>
      <w:r>
        <w:t>[ADR-0045](../decisions/0045-user-company-membership.md)).</w:t>
      </w:r>
    </w:p>
    <w:p>
      <w:pPr>
        <w:pStyle w:val="Heading2"/>
      </w:pPr>
      <w:r>
        <w:t>1. Authentication</w:t>
      </w:r>
    </w:p>
    <w:p>
      <w:pPr>
        <w:pStyle w:val="Heading3"/>
      </w:pPr>
      <w:r>
        <w:t>1.1 In-house JWT (RS256)</w:t>
      </w:r>
    </w:p>
    <w:p>
      <w:r>
        <w:t>Authentication is a stateless OAuth2 resource-server model with tokens minted by the</w:t>
      </w:r>
    </w:p>
    <w:p>
      <w:r>
        <w:t>application itself — there is no external identity provider. Access tokens are JWTs signed</w:t>
      </w:r>
    </w:p>
    <w:p>
      <w:r>
        <w:t xml:space="preserve">with </w:t>
      </w:r>
      <w:r>
        <w:rPr>
          <w:b/>
        </w:rPr>
        <w:t>RS256</w:t>
      </w:r>
      <w:r>
        <w:t xml:space="preserve"> (RSA, 2048-bit). The private key signs at login; the public key verifies on</w:t>
      </w:r>
    </w:p>
    <w:p>
      <w:r>
        <w:t>every request. Signature and expiry are checked; the decoder is built without a</w:t>
      </w:r>
    </w:p>
    <w:p>
      <w:r>
        <w:rPr>
          <w:rFonts w:ascii="Consolas" w:hAnsi="Consolas"/>
          <w:color w:val="B03060"/>
          <w:sz w:val="19"/>
        </w:rPr>
        <w:t>JwtIssuerValidator</w:t>
      </w:r>
      <w:r>
        <w:t>, which is acceptable for a single in-house signer (see</w:t>
      </w:r>
    </w:p>
    <w:p>
      <w:r>
        <w:t>[ADR-0038](../decisions/0038-production-hardening.md) Risk 8 — flag to security before</w:t>
      </w:r>
    </w:p>
    <w:p>
      <w:r>
        <w:t>accepting tokens from any external issuer).</w:t>
      </w:r>
    </w:p>
    <w:p>
      <w:r>
        <w:t>A JWT carries the claims needed to build the request context without re-querying the</w:t>
      </w:r>
    </w:p>
    <w:p>
      <w:r>
        <w:t>database on every hop: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userId</w:t>
      </w:r>
      <w:r>
        <w:t xml:space="preserve"> — numeric id of the authenticated user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username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companyId</w:t>
      </w:r>
      <w:r>
        <w:t xml:space="preserve"> — the active company (the default branch's company at login)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branchId</w:t>
      </w:r>
      <w:r>
        <w:t xml:space="preserve"> — the active branch (the user's default branch at login)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isRoot</w:t>
      </w:r>
      <w:r>
        <w:t xml:space="preserve"> — the super-admin flag</w:t>
      </w:r>
    </w:p>
    <w:p>
      <w:r>
        <w:t xml:space="preserve">The token does </w:t>
      </w:r>
      <w:r>
        <w:rPr>
          <w:b/>
        </w:rPr>
        <w:t>not</w:t>
      </w:r>
      <w:r>
        <w:t xml:space="preserve"> embed the permission set. Permissions change with the active branch</w:t>
      </w:r>
    </w:p>
    <w:p>
      <w:r>
        <w:t>and would bloat and stale the token; they are resolved per request instead</w:t>
      </w:r>
    </w:p>
    <w:p>
      <w:r>
        <w:t>(ADR-0001 D-E, see §2.1).</w:t>
      </w:r>
    </w:p>
    <w:p>
      <w:pPr>
        <w:pStyle w:val="Heading3"/>
      </w:pPr>
      <w:r>
        <w:t>1.2 Login flow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POST /api/v1/auth/login</w:t>
      </w:r>
      <w:r>
        <w:t xml:space="preserve"> with username + password. The endpoint is public (see §5).</w:t>
      </w:r>
    </w:p>
    <w:p>
      <w:pPr>
        <w:pStyle w:val="ListNumber"/>
      </w:pPr>
      <w:r>
        <w:t xml:space="preserve">The password is verified against a </w:t>
      </w:r>
      <w:r>
        <w:rPr>
          <w:b/>
        </w:rPr>
        <w:t>BCrypt</w:t>
      </w:r>
      <w:r>
        <w:t xml:space="preserve"> hash (cost 12). The unknown-user path runs</w:t>
      </w:r>
    </w:p>
    <w:p>
      <w:r>
        <w:t xml:space="preserve">   a constant-time dummy comparison so a missing username is indistinguishable from a wrong</w:t>
      </w:r>
    </w:p>
    <w:p>
      <w:r>
        <w:t xml:space="preserve">   password (no user enumeration).</w:t>
      </w:r>
    </w:p>
    <w:p>
      <w:pPr>
        <w:pStyle w:val="ListNumber"/>
      </w:pPr>
      <w:r>
        <w:t xml:space="preserve">On success the server mints an </w:t>
      </w:r>
      <w:r>
        <w:rPr>
          <w:b/>
        </w:rPr>
        <w:t>access token</w:t>
      </w:r>
      <w:r>
        <w:t xml:space="preserve"> (short-lived, default 15 minutes) and a</w:t>
      </w:r>
    </w:p>
    <w:p>
      <w:r>
        <w:t xml:space="preserve">   </w:t>
      </w:r>
      <w:r>
        <w:rPr>
          <w:b/>
        </w:rPr>
        <w:t>refresh token</w:t>
      </w:r>
      <w:r>
        <w:t xml:space="preserve">. The session lands the user in their </w:t>
      </w:r>
      <w:r>
        <w:rPr>
          <w:b/>
        </w:rPr>
        <w:t>default branch</w:t>
      </w:r>
      <w:r>
        <w:t xml:space="preserve"> (the</w:t>
      </w:r>
    </w:p>
    <w:p>
      <w:r>
        <w:t xml:space="preserve">   </w:t>
      </w:r>
      <w:r>
        <w:rPr>
          <w:rFonts w:ascii="Consolas" w:hAnsi="Consolas"/>
          <w:color w:val="B03060"/>
          <w:sz w:val="19"/>
        </w:rPr>
        <w:t>user_branch</w:t>
      </w:r>
      <w:r>
        <w:t xml:space="preserve"> assignment with </w:t>
      </w:r>
      <w:r>
        <w:rPr>
          <w:rFonts w:ascii="Consolas" w:hAnsi="Consolas"/>
          <w:color w:val="B03060"/>
          <w:sz w:val="19"/>
        </w:rPr>
        <w:t>is_default = true</w:t>
      </w:r>
      <w:r>
        <w:t>); the active company is that branch's</w:t>
      </w:r>
    </w:p>
    <w:p>
      <w:r>
        <w:t xml:space="preserve">   company.</w:t>
      </w:r>
    </w:p>
    <w:p>
      <w:pPr>
        <w:pStyle w:val="ListNumber"/>
      </w:pPr>
      <w:r>
        <w:t xml:space="preserve">A branch is only usable for a session if both the branch </w:t>
      </w:r>
      <w:r>
        <w:rPr>
          <w:b/>
        </w:rPr>
        <w:t>and</w:t>
      </w:r>
      <w:r>
        <w:t xml:space="preserve"> its company are</w:t>
      </w:r>
    </w:p>
    <w:p>
      <w:r>
        <w:t xml:space="preserve">   </w:t>
      </w:r>
      <w:r>
        <w:rPr>
          <w:rFonts w:ascii="Consolas" w:hAnsi="Consolas"/>
          <w:color w:val="B03060"/>
          <w:sz w:val="19"/>
        </w:rPr>
        <w:t>ACTIVE</w:t>
      </w:r>
      <w:r>
        <w:t xml:space="preserve"> (the </w:t>
      </w:r>
      <w:r>
        <w:rPr>
          <w:rFonts w:ascii="Consolas" w:hAnsi="Consolas"/>
          <w:color w:val="B03060"/>
          <w:sz w:val="19"/>
        </w:rPr>
        <w:t>Branch.isUsableForSession()</w:t>
      </w:r>
      <w:r>
        <w:t xml:space="preserve"> predicate, ADR-0004 D-8 F8). A user with no</w:t>
      </w:r>
    </w:p>
    <w:p>
      <w:r>
        <w:t xml:space="preserve">   branch assignments lands in a read-only, no-scope state (FR-IAM-19).</w:t>
      </w:r>
    </w:p>
    <w:p>
      <w:pPr>
        <w:pStyle w:val="ListNumber"/>
      </w:pPr>
      <w:r>
        <w:t>Account lockout: 5 failed attempts lock the account for 15 minutes. Lockout bookkeeping</w:t>
      </w:r>
    </w:p>
    <w:p>
      <w:r>
        <w:t xml:space="preserve">   runs in its own </w:t>
      </w:r>
      <w:r>
        <w:rPr>
          <w:rFonts w:ascii="Consolas" w:hAnsi="Consolas"/>
          <w:color w:val="B03060"/>
          <w:sz w:val="19"/>
        </w:rPr>
        <w:t>REQUIRES_NEW</w:t>
      </w:r>
      <w:r>
        <w:t xml:space="preserve"> transaction so it survives the authentication-failure</w:t>
      </w:r>
    </w:p>
    <w:p>
      <w:r>
        <w:t xml:space="preserve">   rollback (ADR-0004 D-3).</w:t>
      </w:r>
    </w:p>
    <w:p>
      <w:pPr>
        <w:pStyle w:val="Heading3"/>
      </w:pPr>
      <w:r>
        <w:t>1.3 Refresh-token rotation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POST /api/v1/auth/refresh</w:t>
      </w:r>
      <w:r>
        <w:t xml:space="preserve"> exchanges a valid refresh token for a new access token and a</w:t>
      </w:r>
    </w:p>
    <w:p>
      <w:r>
        <w:t xml:space="preserve">  new refresh token. Refresh tokens are </w:t>
      </w:r>
      <w:r>
        <w:rPr>
          <w:b/>
        </w:rPr>
        <w:t>single-use and rotated</w:t>
      </w:r>
      <w:r>
        <w:t xml:space="preserve"> on every refresh.</w:t>
      </w:r>
    </w:p>
    <w:p>
      <w:pPr>
        <w:pStyle w:val="ListBullet"/>
      </w:pPr>
      <w:r>
        <w:t xml:space="preserve">Tokens are stored </w:t>
      </w:r>
      <w:r>
        <w:rPr>
          <w:b/>
        </w:rPr>
        <w:t>hashed</w:t>
      </w:r>
      <w:r>
        <w:t xml:space="preserve"> (SHA-256), never in plaintext — the </w:t>
      </w:r>
      <w:r>
        <w:rPr>
          <w:rFonts w:ascii="Consolas" w:hAnsi="Consolas"/>
          <w:color w:val="B03060"/>
          <w:sz w:val="19"/>
        </w:rPr>
        <w:t>refresh_token</w:t>
      </w:r>
      <w:r>
        <w:t xml:space="preserve"> table</w:t>
      </w:r>
    </w:p>
    <w:p>
      <w:r>
        <w:t xml:space="preserve">  keys on </w:t>
      </w:r>
      <w:r>
        <w:rPr>
          <w:rFonts w:ascii="Consolas" w:hAnsi="Consolas"/>
          <w:color w:val="B03060"/>
          <w:sz w:val="19"/>
        </w:rPr>
        <w:t>token_hash</w:t>
      </w:r>
      <w:r>
        <w:t>.</w:t>
      </w:r>
    </w:p>
    <w:p>
      <w:pPr>
        <w:pStyle w:val="ListBullet"/>
      </w:pPr>
      <w:r>
        <w:rPr>
          <w:b/>
        </w:rPr>
        <w:t>Reuse detection:</w:t>
      </w:r>
      <w:r>
        <w:t xml:space="preserve"> presenting an already-rotated (consumed) refresh token is treated as</w:t>
      </w:r>
    </w:p>
    <w:p>
      <w:r>
        <w:t xml:space="preserve">  a compromise signal and rejected.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POST /api/v1/auth/logout</w:t>
      </w:r>
      <w:r>
        <w:t xml:space="preserve"> invalidates the refresh token.</w:t>
      </w:r>
    </w:p>
    <w:p>
      <w:pPr>
        <w:pStyle w:val="Heading3"/>
      </w:pPr>
      <w:r>
        <w:t>1.4 Tokens and headers on each request</w:t>
      </w:r>
    </w:p>
    <w:p>
      <w:r>
        <w:t xml:space="preserve">The client sends two headers (the Angular </w:t>
      </w:r>
      <w:r>
        <w:rPr>
          <w:rFonts w:ascii="Consolas" w:hAnsi="Consolas"/>
          <w:color w:val="B03060"/>
          <w:sz w:val="19"/>
        </w:rPr>
        <w:t>authHeaderInterceptor</w:t>
      </w:r>
      <w:r>
        <w:t xml:space="preserve"> adds both automatically):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Authorization: Bearer &lt;access-token&gt;</w:t>
            </w:r>
          </w:p>
        </w:tc>
        <w:tc>
          <w:tcPr>
            <w:tcW w:type="dxa" w:w="4320"/>
          </w:tcPr>
          <w:p>
            <w:r>
              <w:t>Authenticates the request; the resource server validates the RS256 signature and expiry.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X-Branch-Uid: &lt;branch-uid&gt;</w:t>
            </w:r>
          </w:p>
        </w:tc>
        <w:tc>
          <w:tcPr>
            <w:tcW w:type="dxa" w:w="4320"/>
          </w:tcPr>
          <w:p>
            <w:r>
              <w:t xml:space="preserve">Optional. Overrides the </w:t>
            </w:r>
            <w:r>
              <w:rPr>
                <w:b/>
              </w:rPr>
              <w:t>active branch</w:t>
            </w:r>
            <w:r>
              <w:t xml:space="preserve"> for this request only (see §3.2). The value is a branch </w:t>
            </w:r>
            <w:r>
              <w:rPr>
                <w:b/>
              </w:rPr>
              <w:t>uid</w:t>
            </w:r>
            <w:r>
              <w:t xml:space="preserve"> (ULID), never a numeric 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X-Request-Id</w:t>
            </w:r>
          </w:p>
        </w:tc>
        <w:tc>
          <w:tcPr>
            <w:tcW w:type="dxa" w:w="4320"/>
          </w:tcPr>
          <w:p>
            <w:r>
              <w:t>Optional correlation id; echoed back in the response (ADR-0038 D-2). If absent, the server generates one.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JwtRequestContextFilter</w:t>
      </w:r>
      <w:r>
        <w:t xml:space="preserve"> runs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color w:val="B03060"/>
          <w:sz w:val="19"/>
        </w:rPr>
        <w:t>BearerTokenAuthenticationFilter</w:t>
      </w:r>
      <w:r>
        <w:t xml:space="preserve"> so the JWT is</w:t>
      </w:r>
    </w:p>
    <w:p>
      <w:r>
        <w:t>already validated and the principal is in the security context. The filter builds a</w:t>
      </w:r>
    </w:p>
    <w:p>
      <w:r>
        <w:t xml:space="preserve">request-scoped </w:t>
      </w:r>
      <w:r>
        <w:rPr>
          <w:rFonts w:ascii="Consolas" w:hAnsi="Consolas"/>
          <w:color w:val="B03060"/>
          <w:sz w:val="19"/>
        </w:rPr>
        <w:t>RequestContext.Principal</w:t>
      </w:r>
      <w:r>
        <w:t xml:space="preserve"> (</w:t>
      </w:r>
      <w:r>
        <w:rPr>
          <w:rFonts w:ascii="Consolas" w:hAnsi="Consolas"/>
          <w:color w:val="B03060"/>
          <w:sz w:val="19"/>
        </w:rPr>
        <w:t>userId</w:t>
      </w:r>
      <w:r>
        <w:t xml:space="preserve">, </w:t>
      </w:r>
      <w:r>
        <w:rPr>
          <w:rFonts w:ascii="Consolas" w:hAnsi="Consolas"/>
          <w:color w:val="B03060"/>
          <w:sz w:val="19"/>
        </w:rPr>
        <w:t>username</w:t>
      </w:r>
      <w:r>
        <w:t xml:space="preserve">, </w:t>
      </w:r>
      <w:r>
        <w:rPr>
          <w:rFonts w:ascii="Consolas" w:hAnsi="Consolas"/>
          <w:color w:val="B03060"/>
          <w:sz w:val="19"/>
        </w:rPr>
        <w:t>root</w:t>
      </w:r>
      <w:r>
        <w:t xml:space="preserve">, </w:t>
      </w:r>
      <w:r>
        <w:rPr>
          <w:rFonts w:ascii="Consolas" w:hAnsi="Consolas"/>
          <w:color w:val="B03060"/>
          <w:sz w:val="19"/>
        </w:rPr>
        <w:t>companyId</w:t>
      </w:r>
      <w:r>
        <w:t>,</w:t>
      </w:r>
    </w:p>
    <w:p>
      <w:r>
        <w:rPr>
          <w:rFonts w:ascii="Consolas" w:hAnsi="Consolas"/>
          <w:color w:val="B03060"/>
          <w:sz w:val="19"/>
        </w:rPr>
        <w:t>branchId</w:t>
      </w:r>
      <w:r>
        <w:t xml:space="preserve">, </w:t>
      </w:r>
      <w:r>
        <w:rPr>
          <w:rFonts w:ascii="Consolas" w:hAnsi="Consolas"/>
          <w:color w:val="B03060"/>
          <w:sz w:val="19"/>
        </w:rPr>
        <w:t>ip</w:t>
      </w:r>
      <w:r>
        <w:t xml:space="preserve">) and clears it in a </w:t>
      </w:r>
      <w:r>
        <w:rPr>
          <w:rFonts w:ascii="Consolas" w:hAnsi="Consolas"/>
          <w:color w:val="B03060"/>
          <w:sz w:val="19"/>
        </w:rPr>
        <w:t>finally</w:t>
      </w:r>
      <w:r>
        <w:t xml:space="preserve"> block to prevent cross-request leakage. It</w:t>
      </w:r>
    </w:p>
    <w:p>
      <w:r>
        <w:t xml:space="preserve">also re-checks per request that the user is still </w:t>
      </w:r>
      <w:r>
        <w:rPr>
          <w:rFonts w:ascii="Consolas" w:hAnsi="Consolas"/>
          <w:color w:val="B03060"/>
          <w:sz w:val="19"/>
        </w:rPr>
        <w:t>ACTIVE</w:t>
      </w:r>
      <w:r>
        <w:t xml:space="preserve"> — a disabled user is rejected on</w:t>
      </w:r>
    </w:p>
    <w:p>
      <w:r>
        <w:t>their next request (401) rather than after the access-token TTL expires (ADR-0004 D-8 F9).</w:t>
      </w:r>
    </w:p>
    <w:p>
      <w:pPr>
        <w:pStyle w:val="Heading2"/>
      </w:pPr>
      <w:r>
        <w:t>2. Authorization (RBAC)</w:t>
      </w:r>
    </w:p>
    <w:p>
      <w:r>
        <w:t xml:space="preserve">Authorization is </w:t>
      </w:r>
      <w:r>
        <w:rPr>
          <w:b/>
        </w:rPr>
        <w:t>by permission code, never by role name</w:t>
      </w:r>
      <w:r>
        <w:t xml:space="preserve"> (PROJECT-CONVENTIONS §3.4).</w:t>
      </w:r>
    </w:p>
    <w:p>
      <w:r>
        <w:t>Roles exist only as bundles of permissions; the gates check the permissions.</w:t>
      </w:r>
    </w:p>
    <w:p>
      <w:pPr>
        <w:pStyle w:val="Heading3"/>
      </w:pPr>
      <w:r>
        <w:t>2.1 Permission resolution</w:t>
      </w:r>
    </w:p>
    <w:p>
      <w:r>
        <w:t xml:space="preserve">A </w:t>
      </w:r>
      <w:r>
        <w:rPr>
          <w:rFonts w:ascii="Consolas" w:hAnsi="Consolas"/>
          <w:color w:val="B03060"/>
          <w:sz w:val="19"/>
        </w:rPr>
        <w:t>PermissionResolver</w:t>
      </w:r>
      <w:r>
        <w:t xml:space="preserve"> computes the </w:t>
      </w:r>
      <w:r>
        <w:rPr>
          <w:b/>
        </w:rPr>
        <w:t>effective permission set</w:t>
      </w:r>
      <w:r>
        <w:t xml:space="preserve"> for the principal's</w:t>
      </w:r>
    </w:p>
    <w:p>
      <w:r>
        <w:t xml:space="preserve">*active* company + branch on each request, reading </w:t>
      </w:r>
      <w:r>
        <w:rPr>
          <w:rFonts w:ascii="Consolas" w:hAnsi="Consolas"/>
          <w:color w:val="B03060"/>
          <w:sz w:val="19"/>
        </w:rPr>
        <w:t>user_role</w:t>
      </w:r>
      <w:r>
        <w:t xml:space="preserve"> joined to </w:t>
      </w:r>
      <w:r>
        <w:rPr>
          <w:rFonts w:ascii="Consolas" w:hAnsi="Consolas"/>
          <w:color w:val="B03060"/>
          <w:sz w:val="19"/>
        </w:rPr>
        <w:t>role_permission</w:t>
      </w:r>
      <w:r>
        <w:t>,</w:t>
      </w:r>
    </w:p>
    <w:p>
      <w:r>
        <w:t xml:space="preserve">cached briefly per </w:t>
      </w:r>
      <w:r>
        <w:rPr>
          <w:rFonts w:ascii="Consolas" w:hAnsi="Consolas"/>
          <w:color w:val="B03060"/>
          <w:sz w:val="19"/>
        </w:rPr>
        <w:t>(user, company, branch)</w:t>
      </w:r>
      <w:r>
        <w:t>. Because resolution is per active scope,</w:t>
      </w:r>
    </w:p>
    <w:p>
      <w:r>
        <w:t>switching branches changes the effective permissions without re-issuing a token</w:t>
      </w:r>
    </w:p>
    <w:p>
      <w:r>
        <w:t xml:space="preserve">(ADR-0001 D-E). The cache is busted on </w:t>
      </w:r>
      <w:r>
        <w:rPr>
          <w:rFonts w:ascii="Consolas" w:hAnsi="Consolas"/>
          <w:color w:val="B03060"/>
          <w:sz w:val="19"/>
        </w:rPr>
        <w:t>user_role</w:t>
      </w:r>
      <w:r>
        <w:t xml:space="preserve"> / </w:t>
      </w:r>
      <w:r>
        <w:rPr>
          <w:rFonts w:ascii="Consolas" w:hAnsi="Consolas"/>
          <w:color w:val="B03060"/>
          <w:sz w:val="19"/>
        </w:rPr>
        <w:t>role_permission</w:t>
      </w:r>
      <w:r>
        <w:t xml:space="preserve"> writes.</w:t>
      </w:r>
    </w:p>
    <w:p>
      <w:pPr>
        <w:pStyle w:val="Heading3"/>
      </w:pPr>
      <w:r>
        <w:t>2.2 The gate: `@perm.has` and `@perm.scoped`</w:t>
      </w:r>
    </w:p>
    <w:p>
      <w:r>
        <w:t>Method security is enabled (</w:t>
      </w:r>
      <w:r>
        <w:rPr>
          <w:rFonts w:ascii="Consolas" w:hAnsi="Consolas"/>
          <w:color w:val="B03060"/>
          <w:sz w:val="19"/>
        </w:rPr>
        <w:t>@EnableMethodSecurity</w:t>
      </w:r>
      <w:r>
        <w:t>). Every controller handler under</w:t>
      </w:r>
    </w:p>
    <w:p>
      <w:r>
        <w:rPr>
          <w:rFonts w:ascii="Consolas" w:hAnsi="Consolas"/>
          <w:color w:val="B03060"/>
          <w:sz w:val="19"/>
        </w:rPr>
        <w:t>com.erp.api</w:t>
      </w:r>
      <w:r>
        <w:t xml:space="preserve"> is gated by a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referencing the </w:t>
      </w:r>
      <w:r>
        <w:rPr>
          <w:rFonts w:ascii="Consolas" w:hAnsi="Consolas"/>
          <w:color w:val="B03060"/>
          <w:sz w:val="19"/>
        </w:rPr>
        <w:t>@perm</w:t>
      </w:r>
      <w:r>
        <w:t xml:space="preserve"> bean</w:t>
      </w:r>
    </w:p>
    <w:p>
      <w:r>
        <w:t>(</w:t>
      </w:r>
      <w:r>
        <w:rPr>
          <w:rFonts w:ascii="Consolas" w:hAnsi="Consolas"/>
          <w:color w:val="B03060"/>
          <w:sz w:val="19"/>
        </w:rPr>
        <w:t>PermissionChecks</w:t>
      </w:r>
      <w:r>
        <w:t xml:space="preserve">, </w:t>
      </w:r>
      <w:r>
        <w:rPr>
          <w:rFonts w:ascii="Consolas" w:hAnsi="Consolas"/>
          <w:color w:val="B03060"/>
          <w:sz w:val="19"/>
        </w:rPr>
        <w:t>com.erp.platform.security</w:t>
      </w:r>
      <w:r>
        <w:t>). Spring Security has no 1-arg</w:t>
      </w:r>
    </w:p>
    <w:p>
      <w:r>
        <w:rPr>
          <w:rFonts w:ascii="Consolas" w:hAnsi="Consolas"/>
          <w:color w:val="B03060"/>
          <w:sz w:val="19"/>
        </w:rPr>
        <w:t>hasPermission</w:t>
      </w:r>
      <w:r>
        <w:t xml:space="preserve"> SpEL form, so the system uses a bean reference instead of a custom</w:t>
      </w:r>
    </w:p>
    <w:p>
      <w:r>
        <w:t>expression handler (ADR-0002, Bug-1 fix). Two shapes:</w:t>
      </w:r>
    </w:p>
    <w:p>
      <w:pPr>
        <w:pStyle w:val="ListBullet"/>
      </w:pPr>
      <w:r>
        <w:rPr>
          <w:b/>
        </w:rPr>
        <w:t>`@perm.has('CODE')`</w:t>
      </w:r>
      <w:r>
        <w:t xml:space="preserve"> — create / list operations, where the implicit target is the</w:t>
      </w:r>
    </w:p>
    <w:p>
      <w:r>
        <w:t xml:space="preserve">  active scope. True if the principal holds </w:t>
      </w:r>
      <w:r>
        <w:rPr>
          <w:rFonts w:ascii="Consolas" w:hAnsi="Consolas"/>
          <w:color w:val="B03060"/>
          <w:sz w:val="19"/>
        </w:rPr>
        <w:t>CODE</w:t>
      </w:r>
      <w:r>
        <w:t xml:space="preserve"> in their active company + branch.</w:t>
      </w:r>
    </w:p>
    <w:p>
      <w:pPr>
        <w:shd w:fill="F2F2F2"/>
      </w:pPr>
      <w:r>
        <w:rPr>
          <w:rFonts w:ascii="Consolas" w:hAnsi="Consolas"/>
          <w:sz w:val="18"/>
        </w:rPr>
        <w:t xml:space="preserve">  @PreAuthorize("@perm.has('AGENT.VIEW')")</w:t>
      </w:r>
    </w:p>
    <w:p>
      <w:pPr>
        <w:pStyle w:val="ListBullet"/>
      </w:pPr>
      <w:r>
        <w:rPr>
          <w:b/>
        </w:rPr>
        <w:t>`@perm.scoped(#uid, 'targetType', 'CODE')`</w:t>
      </w:r>
      <w:r>
        <w:t xml:space="preserve"> — operations addressing an existing target</w:t>
      </w:r>
    </w:p>
    <w:p>
      <w:r>
        <w:t xml:space="preserve">  by path uid. True if the principal holds </w:t>
      </w:r>
      <w:r>
        <w:rPr>
          <w:rFonts w:ascii="Consolas" w:hAnsi="Consolas"/>
          <w:color w:val="B03060"/>
          <w:sz w:val="19"/>
        </w:rPr>
        <w:t>CODE</w:t>
      </w:r>
      <w:r>
        <w:t xml:space="preserve"> </w:t>
      </w:r>
      <w:r>
        <w:rPr>
          <w:b/>
        </w:rPr>
        <w:t>and</w:t>
      </w:r>
      <w:r>
        <w:t xml:space="preserve"> may act on the target (root, or</w:t>
      </w:r>
    </w:p>
    <w:p>
      <w:r>
        <w:t xml:space="preserve">  the target lives in the principal's active company). This closes the cross-company hole: a</w:t>
      </w:r>
    </w:p>
    <w:p>
      <w:r>
        <w:t xml:space="preserve">  user with a permission in company A cannot operate on a same-typed entity in company B</w:t>
      </w:r>
    </w:p>
    <w:p>
      <w:r>
        <w:t xml:space="preserve">  (ADR-0002).</w:t>
      </w:r>
    </w:p>
    <w:p>
      <w:pPr>
        <w:shd w:fill="F2F2F2"/>
      </w:pPr>
      <w:r>
        <w:rPr>
          <w:rFonts w:ascii="Consolas" w:hAnsi="Consolas"/>
          <w:sz w:val="18"/>
        </w:rPr>
        <w:t xml:space="preserve">  @PreAuthorize("@perm.scoped(#uid,'activity','CRM.ACTIVITY.MANAGE')")</w:t>
      </w:r>
    </w:p>
    <w:p>
      <w:r>
        <w:t xml:space="preserve">A handler with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fails the build — </w:t>
      </w:r>
      <w:r>
        <w:rPr>
          <w:rFonts w:ascii="Consolas" w:hAnsi="Consolas"/>
          <w:color w:val="B03060"/>
          <w:sz w:val="19"/>
        </w:rPr>
        <w:t>EndpointAuthorizationTest</w:t>
      </w:r>
    </w:p>
    <w:p>
      <w:r>
        <w:t xml:space="preserve">(ArchUnit) scans every </w:t>
      </w:r>
      <w:r>
        <w:rPr>
          <w:rFonts w:ascii="Consolas" w:hAnsi="Consolas"/>
          <w:color w:val="B03060"/>
          <w:sz w:val="19"/>
        </w:rPr>
        <w:t>@RestController</w:t>
      </w:r>
      <w:r>
        <w:t xml:space="preserve"> under </w:t>
      </w:r>
      <w:r>
        <w:rPr>
          <w:rFonts w:ascii="Consolas" w:hAnsi="Consolas"/>
          <w:color w:val="B03060"/>
          <w:sz w:val="19"/>
        </w:rPr>
        <w:t>com.erp.api</w:t>
      </w:r>
      <w:r>
        <w:t xml:space="preserve"> and fails </w:t>
      </w:r>
      <w:r>
        <w:rPr>
          <w:rFonts w:ascii="Consolas" w:hAnsi="Consolas"/>
          <w:color w:val="B03060"/>
          <w:sz w:val="19"/>
        </w:rPr>
        <w:t>mvn verify</w:t>
      </w:r>
      <w:r>
        <w:t xml:space="preserve"> if any</w:t>
      </w:r>
    </w:p>
    <w:p>
      <w:r>
        <w:t>handler lacks a gate. The allowlist is exactly 4 public endpoints (§5). Authorization is</w:t>
      </w:r>
    </w:p>
    <w:p>
      <w:r>
        <w:rPr>
          <w:b/>
        </w:rPr>
        <w:t>fail-closed</w:t>
      </w:r>
      <w:r>
        <w:t>: missing a gate is a build failure, not a silent open door.</w:t>
      </w:r>
    </w:p>
    <w:p>
      <w:pPr>
        <w:pStyle w:val="Heading3"/>
      </w:pPr>
      <w:r>
        <w:t>2.3 Seeded roles</w:t>
      </w:r>
    </w:p>
    <w:p>
      <w:r>
        <w:t>The following roles ship seeded via Flyway. They are permission bundles; what each can do is</w:t>
      </w:r>
    </w:p>
    <w:p>
      <w:r>
        <w:t>defined by the permissions granted to it, not by its name.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Intended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ORG_ADMIN</w:t>
            </w:r>
          </w:p>
        </w:tc>
        <w:tc>
          <w:tcPr>
            <w:tcW w:type="dxa" w:w="4320"/>
          </w:tcPr>
          <w:p>
            <w:r>
              <w:t>Organisation-wide administration (users, roles, companies, branches).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SALES_MANAGER</w:t>
            </w:r>
          </w:p>
        </w:tc>
        <w:tc>
          <w:tcPr>
            <w:tcW w:type="dxa" w:w="4320"/>
          </w:tcPr>
          <w:p>
            <w:r>
              <w:t>Full sales / order-to-cash management.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SALES_REP</w:t>
            </w:r>
          </w:p>
        </w:tc>
        <w:tc>
          <w:tcPr>
            <w:tcW w:type="dxa" w:w="4320"/>
          </w:tcPr>
          <w:p>
            <w:r>
              <w:t>Day-to-day sales operations (quotations, orders).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ACCOUNTANT</w:t>
            </w:r>
          </w:p>
        </w:tc>
        <w:tc>
          <w:tcPr>
            <w:tcW w:type="dxa" w:w="4320"/>
          </w:tcPr>
          <w:p>
            <w:r>
              <w:t>GL, AR, AP, cash &amp; bank, tax.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STOREKEEPER</w:t>
            </w:r>
          </w:p>
        </w:tc>
        <w:tc>
          <w:tcPr>
            <w:tcW w:type="dxa" w:w="4320"/>
          </w:tcPr>
          <w:p>
            <w:r>
              <w:t>Inventory / stock operations.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PURCHASE_OFFICER</w:t>
            </w:r>
          </w:p>
        </w:tc>
        <w:tc>
          <w:tcPr>
            <w:tcW w:type="dxa" w:w="4320"/>
          </w:tcPr>
          <w:p>
            <w:r>
              <w:t>Procurement (requisitions, RFQ, PO, GRN, bills).</w:t>
            </w:r>
          </w:p>
        </w:tc>
      </w:tr>
    </w:tbl>
    <w:p/>
    <w:p>
      <w:r>
        <w:t xml:space="preserve">Permission codes are dot-separated and module-prefixed (e.g. </w:t>
      </w:r>
      <w:r>
        <w:rPr>
          <w:rFonts w:ascii="Consolas" w:hAnsi="Consolas"/>
          <w:color w:val="B03060"/>
          <w:sz w:val="19"/>
        </w:rPr>
        <w:t>SALES_INVOICE.POST</w:t>
      </w:r>
      <w:r>
        <w:t>,</w:t>
      </w:r>
    </w:p>
    <w:p>
      <w:r>
        <w:rPr>
          <w:rFonts w:ascii="Consolas" w:hAnsi="Consolas"/>
          <w:color w:val="B03060"/>
          <w:sz w:val="19"/>
        </w:rPr>
        <w:t>CRM.ACTIVITY.MANAGE</w:t>
      </w:r>
      <w:r>
        <w:t>). Every permission-gated endpoint must have its code present in a seed</w:t>
      </w:r>
    </w:p>
    <w:p>
      <w:r>
        <w:t>migration (PROJECT-CONVENTIONS §3.4). A new permission-gated endpoint without its seeded</w:t>
      </w:r>
    </w:p>
    <w:p>
      <w:r>
        <w:t>permission is a defect — see the POS prefix-mismatch defect in</w:t>
      </w:r>
    </w:p>
    <w:p>
      <w:r>
        <w:t xml:space="preserve">[the test-case suite](../testing/test-cases/07-pos.md) (controllers checked </w:t>
      </w:r>
      <w:r>
        <w:rPr>
          <w:rFonts w:ascii="Consolas" w:hAnsi="Consolas"/>
          <w:color w:val="B03060"/>
          <w:sz w:val="19"/>
        </w:rPr>
        <w:t>POS.*</w:t>
      </w:r>
      <w:r>
        <w:t xml:space="preserve"> but the</w:t>
      </w:r>
    </w:p>
    <w:p>
      <w:r>
        <w:t xml:space="preserve">migration seeded </w:t>
      </w:r>
      <w:r>
        <w:rPr>
          <w:rFonts w:ascii="Consolas" w:hAnsi="Consolas"/>
          <w:color w:val="B03060"/>
          <w:sz w:val="19"/>
        </w:rPr>
        <w:t>SALES.POS.*</w:t>
      </w:r>
      <w:r>
        <w:t>).</w:t>
      </w:r>
    </w:p>
    <w:p>
      <w:pPr>
        <w:pStyle w:val="Heading3"/>
      </w:pPr>
      <w:r>
        <w:t>2.4 Custom roles</w:t>
      </w:r>
    </w:p>
    <w:p>
      <w:r>
        <w:t>Custom roles are created through the IAM admin UI / API. A custom role is a named bundle:</w:t>
      </w:r>
    </w:p>
    <w:p>
      <w:r>
        <w:t>pick permissions, save, then grant the role to users scoped to a company (and optionally one</w:t>
      </w:r>
    </w:p>
    <w:p>
      <w:r>
        <w:t>branch). Custom roles behave identically to seeded roles at the gate — the resolver does not</w:t>
      </w:r>
    </w:p>
    <w:p>
      <w:r>
        <w:t xml:space="preserve">distinguish them. Seeded/system roles carry an </w:t>
      </w:r>
      <w:r>
        <w:rPr>
          <w:rFonts w:ascii="Consolas" w:hAnsi="Consolas"/>
          <w:color w:val="B03060"/>
          <w:sz w:val="19"/>
        </w:rPr>
        <w:t>is_system</w:t>
      </w:r>
      <w:r>
        <w:t xml:space="preserve"> flag and are protected from</w:t>
      </w:r>
    </w:p>
    <w:p>
      <w:r>
        <w:t>deletion; custom roles are freely editable.</w:t>
      </w:r>
    </w:p>
    <w:p>
      <w:pPr>
        <w:pStyle w:val="Heading3"/>
      </w:pPr>
      <w:r>
        <w:t>2.5 Root (super-admin) bypass</w:t>
      </w:r>
    </w:p>
    <w:p>
      <w:r>
        <w:t xml:space="preserve">The </w:t>
      </w:r>
      <w:r>
        <w:rPr>
          <w:rFonts w:ascii="Consolas" w:hAnsi="Consolas"/>
          <w:color w:val="B03060"/>
          <w:sz w:val="19"/>
        </w:rPr>
        <w:t>rootadmin</w:t>
      </w:r>
      <w:r>
        <w:t xml:space="preserve"> super-user (</w:t>
      </w:r>
      <w:r>
        <w:rPr>
          <w:rFonts w:ascii="Consolas" w:hAnsi="Consolas"/>
          <w:color w:val="B03060"/>
          <w:sz w:val="19"/>
        </w:rPr>
        <w:t>isRoot = true</w:t>
      </w:r>
      <w:r>
        <w:t xml:space="preserve">) </w:t>
      </w:r>
      <w:r>
        <w:rPr>
          <w:b/>
        </w:rPr>
        <w:t>bypasses RBAC</w:t>
      </w:r>
      <w:r>
        <w:t xml:space="preserve">: every </w:t>
      </w:r>
      <w:r>
        <w:rPr>
          <w:rFonts w:ascii="Consolas" w:hAnsi="Consolas"/>
          <w:color w:val="B03060"/>
          <w:sz w:val="19"/>
        </w:rPr>
        <w:t>@perm.has</w:t>
      </w:r>
      <w:r>
        <w:t xml:space="preserve"> /</w:t>
      </w:r>
    </w:p>
    <w:p>
      <w:r>
        <w:rPr>
          <w:rFonts w:ascii="Consolas" w:hAnsi="Consolas"/>
          <w:color w:val="B03060"/>
          <w:sz w:val="19"/>
        </w:rPr>
        <w:t>@perm.scoped</w:t>
      </w:r>
      <w:r>
        <w:t xml:space="preserve"> check short-circuits to allowed, and every scope check short-circuits in</w:t>
      </w:r>
    </w:p>
    <w:p>
      <w:r>
        <w:rPr>
          <w:rFonts w:ascii="Consolas" w:hAnsi="Consolas"/>
          <w:color w:val="B03060"/>
          <w:sz w:val="19"/>
        </w:rPr>
        <w:t>ScopeGuard</w:t>
      </w:r>
      <w:r>
        <w:t>. Root is the seed / recovery actor and usually has no branch assignments, so it</w:t>
      </w:r>
    </w:p>
    <w:p>
      <w:r>
        <w:t>is exempt from the branch-assignment check on switching (§3.2, ADR-0003 D-4). Root is never</w:t>
      </w:r>
    </w:p>
    <w:p>
      <w:r>
        <w:t xml:space="preserve">unaudited — every root </w:t>
      </w:r>
      <w:r>
        <w:rPr>
          <w:b/>
        </w:rPr>
        <w:t>action</w:t>
      </w:r>
      <w:r>
        <w:t xml:space="preserve"> produces its normal audit row (actor = root), and a</w:t>
      </w:r>
    </w:p>
    <w:p>
      <w:r>
        <w:t xml:space="preserve">distinct </w:t>
      </w:r>
      <w:r>
        <w:rPr>
          <w:rFonts w:ascii="Consolas" w:hAnsi="Consolas"/>
          <w:color w:val="B03060"/>
          <w:sz w:val="19"/>
        </w:rPr>
        <w:t>ROOT.BYPASS</w:t>
      </w:r>
      <w:r>
        <w:t xml:space="preserve"> row is written when root acts </w:t>
      </w:r>
      <w:r>
        <w:rPr>
          <w:b/>
        </w:rPr>
        <w:t>out of</w:t>
      </w:r>
      <w:r>
        <w:t xml:space="preserve"> its active company</w:t>
      </w:r>
    </w:p>
    <w:p>
      <w:r>
        <w:t xml:space="preserve">(ADR-0004 D-9). In the dev profile the backend bootstraps </w:t>
      </w:r>
      <w:r>
        <w:rPr>
          <w:rFonts w:ascii="Consolas" w:hAnsi="Consolas"/>
          <w:color w:val="B03060"/>
          <w:sz w:val="19"/>
        </w:rPr>
        <w:t>rootadmin</w:t>
      </w:r>
      <w:r>
        <w:t xml:space="preserve"> / </w:t>
      </w:r>
      <w:r>
        <w:rPr>
          <w:rFonts w:ascii="Consolas" w:hAnsi="Consolas"/>
          <w:color w:val="B03060"/>
          <w:sz w:val="19"/>
        </w:rPr>
        <w:t>RootPass12345</w:t>
      </w:r>
    </w:p>
    <w:p>
      <w:r>
        <w:t>(dev only — never a prod credential).</w:t>
      </w:r>
    </w:p>
    <w:p>
      <w:pPr>
        <w:pStyle w:val="Heading3"/>
      </w:pPr>
      <w:r>
        <w:t>2.6 Company membership (authoritative — ADR-0046)</w:t>
      </w:r>
    </w:p>
    <w:p>
      <w:r>
        <w:t xml:space="preserve">A user's relationship to a company is an explicit, </w:t>
      </w:r>
      <w:r>
        <w:rPr>
          <w:b/>
        </w:rPr>
        <w:t>authoritative</w:t>
      </w:r>
      <w:r>
        <w:t xml:space="preserve"> </w:t>
      </w:r>
      <w:r>
        <w:rPr>
          <w:rFonts w:ascii="Consolas" w:hAnsi="Consolas"/>
          <w:color w:val="B03060"/>
          <w:sz w:val="19"/>
        </w:rPr>
        <w:t>user_company</w:t>
      </w:r>
      <w:r>
        <w:t xml:space="preserve"> row.</w:t>
      </w:r>
    </w:p>
    <w:p>
      <w:r>
        <w:t>This supersedes the non-authoritative phase of ADR-0045, where membership was a derived,</w:t>
      </w:r>
    </w:p>
    <w:p>
      <w:r>
        <w:t>auto-created convenience.</w:t>
      </w:r>
    </w:p>
    <w:p>
      <w:pPr>
        <w:pStyle w:val="ListBullet"/>
      </w:pPr>
      <w:r>
        <w:rPr>
          <w:b/>
        </w:rPr>
        <w:t>Assign-company-first (write-path prerequisite).</w:t>
      </w:r>
      <w:r>
        <w:t xml:space="preserve"> </w:t>
      </w:r>
      <w:r>
        <w:rPr>
          <w:rFonts w:ascii="Consolas" w:hAnsi="Consolas"/>
          <w:color w:val="B03060"/>
          <w:sz w:val="19"/>
        </w:rPr>
        <w:t>UserRoleService.grant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UserBranchService.assign</w:t>
      </w:r>
      <w:r>
        <w:t xml:space="preserve"> now </w:t>
      </w:r>
      <w:r>
        <w:rPr>
          <w:b/>
        </w:rPr>
        <w:t>require</w:t>
      </w:r>
      <w:r>
        <w:t xml:space="preserve"> an active </w:t>
      </w:r>
      <w:r>
        <w:rPr>
          <w:rFonts w:ascii="Consolas" w:hAnsi="Consolas"/>
          <w:color w:val="B03060"/>
          <w:sz w:val="19"/>
        </w:rPr>
        <w:t>user_company</w:t>
      </w:r>
      <w:r>
        <w:t xml:space="preserve"> membership for the</w:t>
      </w:r>
    </w:p>
    <w:p>
      <w:r>
        <w:t xml:space="preserve">  target company; without one they reject with 409. The previous auto-create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ensureMembership</w:t>
      </w:r>
      <w:r>
        <w:t xml:space="preserve"> on grant/assign) is removed — membership is granted deliberately, not</w:t>
      </w:r>
    </w:p>
    <w:p>
      <w:r>
        <w:t xml:space="preserve">  as a side effect.</w:t>
      </w:r>
    </w:p>
    <w:p>
      <w:pPr>
        <w:pStyle w:val="ListBullet"/>
      </w:pPr>
      <w:r>
        <w:rPr>
          <w:b/>
        </w:rPr>
        <w:t>No-cascade removal.</w:t>
      </w:r>
      <w:r>
        <w:t xml:space="preserve"> Removing a company membership is </w:t>
      </w:r>
      <w:r>
        <w:rPr>
          <w:b/>
        </w:rPr>
        <w:t>blocked</w:t>
      </w:r>
      <w:r>
        <w:t xml:space="preserve"> while the user still</w:t>
      </w:r>
    </w:p>
    <w:p>
      <w:r>
        <w:t xml:space="preserve">  holds any role or branch assignment in that company (removal does not cascade; the caller</w:t>
      </w:r>
    </w:p>
    <w:p>
      <w:r>
        <w:t xml:space="preserve">  must clear roles/branches first).</w:t>
      </w:r>
    </w:p>
    <w:p>
      <w:pPr>
        <w:pStyle w:val="ListBullet"/>
      </w:pPr>
      <w:r>
        <w:rPr>
          <w:b/>
        </w:rPr>
        <w:t>Read/isolation oracle stays additive.</w:t>
      </w:r>
      <w:r>
        <w:t xml:space="preserve"> "Belongs to company C" remains the defensive</w:t>
      </w:r>
    </w:p>
    <w:p>
      <w:r>
        <w:t xml:space="preserve">  superset </w:t>
      </w:r>
      <w:r>
        <w:rPr>
          <w:rFonts w:ascii="Consolas" w:hAnsi="Consolas"/>
          <w:color w:val="B03060"/>
          <w:sz w:val="19"/>
        </w:rPr>
        <w:t>role-in-C OR branch-in-C OR user_company-in-C</w:t>
      </w:r>
      <w:r>
        <w:t xml:space="preserve"> — a read backstop, even though the</w:t>
      </w:r>
    </w:p>
    <w:p>
      <w:r>
        <w:t xml:space="preserve">  write path now guarantees the </w:t>
      </w:r>
      <w:r>
        <w:rPr>
          <w:rFonts w:ascii="Consolas" w:hAnsi="Consolas"/>
          <w:color w:val="B03060"/>
          <w:sz w:val="19"/>
        </w:rPr>
        <w:t>user_company</w:t>
      </w:r>
      <w:r>
        <w:t xml:space="preserve"> row exists.</w:t>
      </w:r>
    </w:p>
    <w:p>
      <w:pPr>
        <w:pStyle w:val="ListBullet"/>
      </w:pPr>
      <w:r>
        <w:rPr>
          <w:b/>
        </w:rPr>
        <w:t>Root</w:t>
      </w:r>
      <w:r>
        <w:t xml:space="preserve"> bypasses tenant scope but </w:t>
      </w:r>
      <w:r>
        <w:rPr>
          <w:b/>
        </w:rPr>
        <w:t>not</w:t>
      </w:r>
      <w:r>
        <w:t xml:space="preserve"> the membership gate — root must still hold (or be</w:t>
      </w:r>
    </w:p>
    <w:p>
      <w:r>
        <w:t xml:space="preserve">  granted) a </w:t>
      </w:r>
      <w:r>
        <w:rPr>
          <w:rFonts w:ascii="Consolas" w:hAnsi="Consolas"/>
          <w:color w:val="B03060"/>
          <w:sz w:val="19"/>
        </w:rPr>
        <w:t>user_company</w:t>
      </w:r>
      <w:r>
        <w:t xml:space="preserve"> membership to grant roles / assign branches in a company.</w:t>
      </w:r>
    </w:p>
    <w:p>
      <w:pPr>
        <w:pStyle w:val="ListBullet"/>
      </w:pPr>
      <w:r>
        <w:rPr>
          <w:b/>
        </w:rPr>
        <w:t>BR-6 re-decided.</w:t>
      </w:r>
      <w:r>
        <w:t xml:space="preserve"> Branch assignment and role grant remain independent of each other, but</w:t>
      </w:r>
    </w:p>
    <w:p>
      <w:r>
        <w:t xml:space="preserve">  each now requires prior company membership.</w:t>
      </w:r>
    </w:p>
    <w:p>
      <w:pPr>
        <w:pStyle w:val="ListBullet"/>
      </w:pPr>
      <w:r>
        <w:rPr>
          <w:b/>
        </w:rPr>
        <w:t>Coverage without a migration.</w:t>
      </w:r>
      <w:r>
        <w:t xml:space="preserve"> Explicit assign/remove are gated by </w:t>
      </w:r>
      <w:r>
        <w:rPr>
          <w:rFonts w:ascii="Consolas" w:hAnsi="Consolas"/>
          <w:color w:val="B03060"/>
          <w:sz w:val="19"/>
        </w:rPr>
        <w:t>USER.COMPANY.MANAGE</w:t>
      </w:r>
      <w:r>
        <w:t>.</w:t>
      </w:r>
    </w:p>
    <w:p>
      <w:r>
        <w:t xml:space="preserve">  Existing users are reconciled by an idempotent every-boot reconcile (</w:t>
      </w:r>
      <w:r>
        <w:rPr>
          <w:rFonts w:ascii="Consolas" w:hAnsi="Consolas"/>
          <w:color w:val="B03060"/>
          <w:sz w:val="19"/>
        </w:rPr>
        <w:t>UserCompanyBackfill</w:t>
      </w:r>
      <w:r>
        <w:t>),</w:t>
      </w:r>
    </w:p>
    <w:p>
      <w:r>
        <w:t xml:space="preserve">  not a Flyway data migration. Bootstrap and seeders write entities directly and are</w:t>
      </w:r>
    </w:p>
    <w:p>
      <w:r>
        <w:t xml:space="preserve">  unaffected by the gate.</w:t>
      </w:r>
    </w:p>
    <w:p>
      <w:pPr>
        <w:pStyle w:val="Heading2"/>
      </w:pPr>
      <w:r>
        <w:t>3. Multi-tenant and branch isolation</w:t>
      </w:r>
    </w:p>
    <w:p>
      <w:r>
        <w:t xml:space="preserve">The tenancy tree is </w:t>
      </w:r>
      <w:r>
        <w:rPr>
          <w:b/>
        </w:rPr>
        <w:t>organisation → company → branch</w:t>
      </w:r>
      <w:r>
        <w:t xml:space="preserve"> (PROJECT-CONVENTIONS §4). Every</w:t>
      </w:r>
    </w:p>
    <w:p>
      <w:r>
        <w:t xml:space="preserve">transactional table carries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 + </w:t>
      </w:r>
      <w:r>
        <w:rPr>
          <w:rFonts w:ascii="Consolas" w:hAnsi="Consolas"/>
          <w:color w:val="B03060"/>
          <w:sz w:val="19"/>
        </w:rPr>
        <w:t>branch_id</w:t>
      </w:r>
      <w:r>
        <w:t>. Isolation is enforced on two fronts:</w:t>
      </w:r>
    </w:p>
    <w:p>
      <w:r>
        <w:t xml:space="preserve">the repository tenant predicate for business data, and </w:t>
      </w:r>
      <w:r>
        <w:rPr>
          <w:rFonts w:ascii="Consolas" w:hAnsi="Consolas"/>
          <w:color w:val="B03060"/>
          <w:sz w:val="19"/>
        </w:rPr>
        <w:t>ScopeGuard</w:t>
      </w:r>
      <w:r>
        <w:t xml:space="preserve"> for cross-tenant</w:t>
      </w:r>
    </w:p>
    <w:p>
      <w:r>
        <w:t>admin operations.</w:t>
      </w:r>
    </w:p>
    <w:p>
      <w:pPr>
        <w:pStyle w:val="Heading3"/>
      </w:pPr>
      <w:r>
        <w:t>3.1 Tenant predicate on business tables</w:t>
      </w:r>
    </w:p>
    <w:p>
      <w:r>
        <w:t>Transactional business tables are scoped by a company/branch predicate injected by the</w:t>
      </w:r>
    </w:p>
    <w:p>
      <w:r>
        <w:t>repository base interface (PROJECT-CONVENTIONS §3.2). A finder that bypasses the base</w:t>
      </w:r>
    </w:p>
    <w:p>
      <w:r>
        <w:t xml:space="preserve">interface is a tenant-isolation bug. The active company/branch come from </w:t>
      </w:r>
      <w:r>
        <w:rPr>
          <w:rFonts w:ascii="Consolas" w:hAnsi="Consolas"/>
          <w:color w:val="B03060"/>
          <w:sz w:val="19"/>
        </w:rPr>
        <w:t>RequestContext</w:t>
      </w:r>
      <w:r>
        <w:t>,</w:t>
      </w:r>
    </w:p>
    <w:p>
      <w:r>
        <w:t>so the predicate tracks the current (possibly overridden) scope automatically.</w:t>
      </w:r>
    </w:p>
    <w:p>
      <w:r>
        <w:t xml:space="preserve">IAM administration tables are the deliberate exception (ADR-0001 D-A): </w:t>
      </w:r>
      <w:r>
        <w:rPr>
          <w:rFonts w:ascii="Consolas" w:hAnsi="Consolas"/>
          <w:color w:val="B03060"/>
          <w:sz w:val="19"/>
        </w:rPr>
        <w:t>organisation</w:t>
      </w:r>
      <w:r>
        <w:t>,</w:t>
      </w:r>
    </w:p>
    <w:p>
      <w:r>
        <w:rPr>
          <w:rFonts w:ascii="Consolas" w:hAnsi="Consolas"/>
          <w:color w:val="B03060"/>
          <w:sz w:val="19"/>
        </w:rPr>
        <w:t>permission</w:t>
      </w:r>
      <w:r>
        <w:t xml:space="preserve">, </w:t>
      </w:r>
      <w:r>
        <w:rPr>
          <w:rFonts w:ascii="Consolas" w:hAnsi="Consolas"/>
          <w:color w:val="B03060"/>
          <w:sz w:val="19"/>
        </w:rPr>
        <w:t>role</w:t>
      </w:r>
      <w:r>
        <w:t xml:space="preserve">, and </w:t>
      </w:r>
      <w:r>
        <w:rPr>
          <w:rFonts w:ascii="Consolas" w:hAnsi="Consolas"/>
          <w:color w:val="B03060"/>
          <w:sz w:val="19"/>
        </w:rPr>
        <w:t>app_user</w:t>
      </w:r>
      <w:r>
        <w:t xml:space="preserve"> are </w:t>
      </w:r>
      <w:r>
        <w:rPr>
          <w:b/>
        </w:rPr>
        <w:t>global</w:t>
      </w:r>
      <w:r>
        <w:t xml:space="preserve"> (no tenant columns), because</w:t>
      </w:r>
    </w:p>
    <w:p>
      <w:r>
        <w:t>administering IAM is inherently cross-branch — an admin manages many branches' users, and</w:t>
      </w:r>
    </w:p>
    <w:p>
      <w:r>
        <w:t>root must reach every company. IAM isolation is enforced by **permission + scope checks in</w:t>
      </w:r>
    </w:p>
    <w:p>
      <w:r>
        <w:t>the service layer**, not a blanket row predicate.</w:t>
      </w:r>
    </w:p>
    <w:p>
      <w:pPr>
        <w:pStyle w:val="Heading3"/>
      </w:pPr>
      <w:r>
        <w:t>3.2 Branch switch via `X-Branch-Uid`</w:t>
      </w:r>
    </w:p>
    <w:p>
      <w:r>
        <w:t xml:space="preserve">A user assigned to many branches can switch the </w:t>
      </w:r>
      <w:r>
        <w:rPr>
          <w:b/>
        </w:rPr>
        <w:t>active branch per request</w:t>
      </w:r>
      <w:r>
        <w:t xml:space="preserve"> without</w:t>
      </w:r>
    </w:p>
    <w:p>
      <w:r>
        <w:t>re-login (ADR-0001 D-F, ADR-0003):</w:t>
      </w:r>
    </w:p>
    <w:p>
      <w:pPr>
        <w:pStyle w:val="ListBullet"/>
      </w:pPr>
      <w:r>
        <w:t xml:space="preserve">The JWT scope minted at login is the </w:t>
      </w:r>
      <w:r>
        <w:rPr>
          <w:b/>
        </w:rPr>
        <w:t>default</w:t>
      </w:r>
      <w:r>
        <w:t xml:space="preserve">. The </w:t>
      </w:r>
      <w:r>
        <w:rPr>
          <w:rFonts w:ascii="Consolas" w:hAnsi="Consolas"/>
          <w:color w:val="B03060"/>
          <w:sz w:val="19"/>
        </w:rPr>
        <w:t>X-Branch-Uid</w:t>
      </w:r>
      <w:r>
        <w:t xml:space="preserve"> header changes the</w:t>
      </w:r>
    </w:p>
    <w:p>
      <w:r>
        <w:t xml:space="preserve">  </w:t>
      </w:r>
      <w:r>
        <w:rPr>
          <w:b/>
        </w:rPr>
        <w:t>request</w:t>
      </w:r>
      <w:r>
        <w:t xml:space="preserve"> scope only — no token re-mint, no DB write.</w:t>
      </w:r>
    </w:p>
    <w:p>
      <w:pPr>
        <w:pStyle w:val="ListBullet"/>
      </w:pPr>
      <w:r>
        <w:t xml:space="preserve">Validation runs in </w:t>
      </w:r>
      <w:r>
        <w:rPr>
          <w:rFonts w:ascii="Consolas" w:hAnsi="Consolas"/>
          <w:color w:val="B03060"/>
          <w:sz w:val="19"/>
        </w:rPr>
        <w:t>JwtRequestContextFilter</w:t>
      </w:r>
      <w:r>
        <w:t xml:space="preserve">: resolve the branch uid → </w:t>
      </w:r>
      <w:r>
        <w:rPr>
          <w:rFonts w:ascii="Consolas" w:hAnsi="Consolas"/>
          <w:color w:val="B03060"/>
          <w:sz w:val="19"/>
        </w:rPr>
        <w:t>Branch</w:t>
      </w:r>
      <w:r>
        <w:t>, read its</w:t>
      </w:r>
    </w:p>
    <w:p>
      <w:r>
        <w:t xml:space="preserve">  company, and (for non-root) verify an </w:t>
      </w:r>
      <w:r>
        <w:rPr>
          <w:b/>
        </w:rPr>
        <w:t>ACTIVE</w:t>
      </w:r>
      <w:r>
        <w:t xml:space="preserve"> </w:t>
      </w:r>
      <w:r>
        <w:rPr>
          <w:rFonts w:ascii="Consolas" w:hAnsi="Consolas"/>
          <w:color w:val="B03060"/>
          <w:sz w:val="19"/>
        </w:rPr>
        <w:t>user_branch</w:t>
      </w:r>
      <w:r>
        <w:t xml:space="preserve"> assignment for that user +</w:t>
      </w:r>
    </w:p>
    <w:p>
      <w:r>
        <w:t xml:space="preserve">  branch. The branch and its company must both be ACTIVE.</w:t>
      </w:r>
    </w:p>
    <w:p>
      <w:pPr>
        <w:pStyle w:val="ListBullet"/>
      </w:pPr>
      <w:r>
        <w:rPr>
          <w:b/>
        </w:rPr>
        <w:t>Fail closed</w:t>
      </w:r>
      <w:r>
        <w:t xml:space="preserve"> on any defect: unknown branch uid → 403; branch archived mid-session →</w:t>
      </w:r>
    </w:p>
    <w:p>
      <w:r>
        <w:t xml:space="preserve">  403; no matching active assignment → 403. No header → keep the JWT default scope.</w:t>
      </w:r>
    </w:p>
    <w:p>
      <w:pPr>
        <w:pStyle w:val="ListBullet"/>
      </w:pPr>
      <w:r>
        <w:t>These are uncached point-reads, so a revoked assignment or archived branch takes effect on</w:t>
      </w:r>
    </w:p>
    <w:p>
      <w:r>
        <w:t xml:space="preserve">  the very next request (ADR-0003 D-5).</w:t>
      </w:r>
    </w:p>
    <w:p>
      <w:pPr>
        <w:pStyle w:val="ListBullet"/>
      </w:pPr>
      <w:r>
        <w:t xml:space="preserve">A rejected override is rendered as a 403 </w:t>
      </w:r>
      <w:r>
        <w:rPr>
          <w:rFonts w:ascii="Consolas" w:hAnsi="Consolas"/>
          <w:color w:val="B03060"/>
          <w:sz w:val="19"/>
        </w:rPr>
        <w:t>ApiResponse</w:t>
      </w:r>
      <w:r>
        <w:t xml:space="preserve"> envelope by </w:t>
      </w:r>
      <w:r>
        <w:rPr>
          <w:rFonts w:ascii="Consolas" w:hAnsi="Consolas"/>
          <w:color w:val="B03060"/>
          <w:sz w:val="19"/>
        </w:rPr>
        <w:t>SecurityErrorResponder</w:t>
      </w:r>
    </w:p>
    <w:p>
      <w:r>
        <w:t xml:space="preserve">  directly inside the filter — the filter runs downstream of </w:t>
      </w:r>
      <w:r>
        <w:rPr>
          <w:rFonts w:ascii="Consolas" w:hAnsi="Consolas"/>
          <w:color w:val="B03060"/>
          <w:sz w:val="19"/>
        </w:rPr>
        <w:t>ExceptionTranslationFilter</w:t>
      </w:r>
      <w:r>
        <w:t>, so</w:t>
      </w:r>
    </w:p>
    <w:p>
      <w:r>
        <w:t xml:space="preserve">  it cannot rely on the chain's access-denied handler (ADR-0003 D-2 erratum).</w:t>
      </w:r>
    </w:p>
    <w:p>
      <w:pPr>
        <w:pStyle w:val="ListBullet"/>
      </w:pPr>
      <w:r>
        <w:t>Root may override to any existing ACTIVE branch, unchecked against assignments, but a</w:t>
      </w:r>
    </w:p>
    <w:p>
      <w:r>
        <w:t xml:space="preserve">  bad/archived uid is still 403 — root must not operate in a phantom scope (ADR-0003 D-4).</w:t>
      </w:r>
    </w:p>
    <w:p>
      <w:r>
        <w:t>The shell's branch selector reads the caller's own assignments from the self-scoped</w:t>
      </w:r>
    </w:p>
    <w:p>
      <w:r>
        <w:rPr>
          <w:rFonts w:ascii="Consolas" w:hAnsi="Consolas"/>
          <w:color w:val="B03060"/>
          <w:sz w:val="19"/>
        </w:rPr>
        <w:t>GET /api/v1/auth/my-branches</w:t>
      </w:r>
      <w:r>
        <w:t xml:space="preserve"> (gated </w:t>
      </w:r>
      <w:r>
        <w:rPr>
          <w:rFonts w:ascii="Consolas" w:hAnsi="Consolas"/>
          <w:color w:val="B03060"/>
          <w:sz w:val="19"/>
        </w:rPr>
        <w:t>isAuthenticated()</w:t>
      </w:r>
      <w:r>
        <w:t>), so switching one's own branch</w:t>
      </w:r>
    </w:p>
    <w:p>
      <w:r>
        <w:t>does not require an admin permission (ADR-0003 D-6).</w:t>
      </w:r>
    </w:p>
    <w:p>
      <w:pPr>
        <w:pStyle w:val="Heading3"/>
      </w:pPr>
      <w:r>
        <w:t>3.3 `ScopeGuard.assertCanActIn`</w:t>
      </w:r>
    </w:p>
    <w:p>
      <w:r>
        <w:rPr>
          <w:rFonts w:ascii="Consolas" w:hAnsi="Consolas"/>
          <w:color w:val="B03060"/>
          <w:sz w:val="19"/>
        </w:rPr>
        <w:t>ScopeGuard</w:t>
      </w:r>
      <w:r>
        <w:t xml:space="preserve"> (</w:t>
      </w:r>
      <w:r>
        <w:rPr>
          <w:rFonts w:ascii="Consolas" w:hAnsi="Consolas"/>
          <w:color w:val="B03060"/>
          <w:sz w:val="19"/>
        </w:rPr>
        <w:t>com.erp.platform.security</w:t>
      </w:r>
      <w:r>
        <w:t>) is the single home for the root-bypass +</w:t>
      </w:r>
    </w:p>
    <w:p>
      <w:r>
        <w:t>same-company rule (ADR-0002 D-4):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assertCanActIn(RequestContext.get(), companyId)</w:t>
      </w:r>
      <w:r>
        <w:t xml:space="preserve"> — root short-circuits to allow; else the</w:t>
      </w:r>
    </w:p>
    <w:p>
      <w:r>
        <w:t xml:space="preserve">  active company must equal </w:t>
      </w:r>
      <w:r>
        <w:rPr>
          <w:rFonts w:ascii="Consolas" w:hAnsi="Consolas"/>
          <w:color w:val="B03060"/>
          <w:sz w:val="19"/>
        </w:rPr>
        <w:t>companyId</w:t>
      </w:r>
      <w:r>
        <w:t>, otherwise a 403 (</w:t>
      </w:r>
      <w:r>
        <w:rPr>
          <w:rFonts w:ascii="Consolas" w:hAnsi="Consolas"/>
          <w:color w:val="B03060"/>
          <w:sz w:val="19"/>
        </w:rPr>
        <w:t>ForbiddenException</w:t>
      </w:r>
      <w:r>
        <w:t>). A null active</w:t>
      </w:r>
    </w:p>
    <w:p>
      <w:r>
        <w:t xml:space="preserve">  company (no-branch state) is a 403.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canActOn(principal, targetType, uid)</w:t>
      </w:r>
      <w:r>
        <w:t xml:space="preserve"> — resolves a target uid to its owning company and</w:t>
      </w:r>
    </w:p>
    <w:p>
      <w:r>
        <w:t xml:space="preserve">  compares it to the active company; this is what </w:t>
      </w:r>
      <w:r>
        <w:rPr>
          <w:rFonts w:ascii="Consolas" w:hAnsi="Consolas"/>
          <w:color w:val="B03060"/>
          <w:sz w:val="19"/>
        </w:rPr>
        <w:t>@perm.scoped</w:t>
      </w:r>
      <w:r>
        <w:t xml:space="preserve"> calls.</w:t>
      </w:r>
    </w:p>
    <w:p>
      <w:r>
        <w:t>Target-op scope checks live in the gate (</w:t>
      </w:r>
      <w:r>
        <w:rPr>
          <w:rFonts w:ascii="Consolas" w:hAnsi="Consolas"/>
          <w:color w:val="B03060"/>
          <w:sz w:val="19"/>
        </w:rPr>
        <w:t>@perm.scoped</w:t>
      </w:r>
      <w:r>
        <w:t xml:space="preserve">). The two </w:t>
      </w:r>
      <w:r>
        <w:rPr>
          <w:b/>
        </w:rPr>
        <w:t>body-scoped</w:t>
      </w:r>
      <w:r>
        <w:t xml:space="preserve"> cases —</w:t>
      </w:r>
    </w:p>
    <w:p>
      <w:r>
        <w:rPr>
          <w:rFonts w:ascii="Consolas" w:hAnsi="Consolas"/>
          <w:color w:val="B03060"/>
          <w:sz w:val="19"/>
        </w:rPr>
        <w:t>UserRole.grant/revoke</w:t>
      </w:r>
      <w:r>
        <w:t xml:space="preserve"> and </w:t>
      </w:r>
      <w:r>
        <w:rPr>
          <w:rFonts w:ascii="Consolas" w:hAnsi="Consolas"/>
          <w:color w:val="B03060"/>
          <w:sz w:val="19"/>
        </w:rPr>
        <w:t>Branch.create</w:t>
      </w:r>
      <w:r>
        <w:t>, where the scoping company is in the request</w:t>
      </w:r>
    </w:p>
    <w:p>
      <w:r>
        <w:t xml:space="preserve">body, not a path uid — call </w:t>
      </w:r>
      <w:r>
        <w:rPr>
          <w:rFonts w:ascii="Consolas" w:hAnsi="Consolas"/>
          <w:color w:val="B03060"/>
          <w:sz w:val="19"/>
        </w:rPr>
        <w:t>ScopeGuard.assertCanActIn</w:t>
      </w:r>
      <w:r>
        <w:t xml:space="preserve"> directly in the service. Both paths</w:t>
      </w:r>
    </w:p>
    <w:p>
      <w:r>
        <w:t xml:space="preserve">converge on </w:t>
      </w:r>
      <w:r>
        <w:rPr>
          <w:rFonts w:ascii="Consolas" w:hAnsi="Consolas"/>
          <w:color w:val="B03060"/>
          <w:sz w:val="19"/>
        </w:rPr>
        <w:t>ScopeGuard</w:t>
      </w:r>
      <w:r>
        <w:t>, so root-bypass and the same-company predicate exist exactly once.</w:t>
      </w:r>
    </w:p>
    <w:p>
      <w:pPr>
        <w:pStyle w:val="Heading3"/>
      </w:pPr>
      <w:r>
        <w:t>3.4 Isolation hardening — derive scope from the loaded entity (2026-06-26 audit)</w:t>
      </w:r>
    </w:p>
    <w:p>
      <w:r>
        <w:t xml:space="preserve">An empirical end-to-end probe found </w:t>
      </w:r>
      <w:r>
        <w:rPr>
          <w:b/>
        </w:rPr>
        <w:t>28 confirmed cross-company leaks across 11 modules</w:t>
      </w:r>
      <w:r>
        <w:t xml:space="preserve"> —</w:t>
      </w:r>
    </w:p>
    <w:p>
      <w:r>
        <w:t>all fixed. They fell into two bug classes:</w:t>
      </w:r>
    </w:p>
    <w:p>
      <w:pPr>
        <w:pStyle w:val="ListBullet"/>
      </w:pPr>
      <w:r>
        <w:rPr>
          <w:b/>
        </w:rPr>
        <w:t>Confused-deputy via a secondary identifier.</w:t>
      </w:r>
      <w:r>
        <w:t xml:space="preserve"> An endpoint scope-checked a</w:t>
      </w:r>
    </w:p>
    <w:p>
      <w:r>
        <w:t xml:space="preserve">  *caller-supplied* </w:t>
      </w:r>
      <w:r>
        <w:rPr>
          <w:rFonts w:ascii="Consolas" w:hAnsi="Consolas"/>
          <w:color w:val="B03060"/>
          <w:sz w:val="19"/>
        </w:rPr>
        <w:t>companyId</w:t>
      </w:r>
      <w:r>
        <w:t xml:space="preserve"> (the attacker passes their </w:t>
      </w:r>
      <w:r>
        <w:rPr>
          <w:b/>
        </w:rPr>
        <w:t>own</w:t>
      </w:r>
      <w:r>
        <w:t xml:space="preserve"> company, so the check</w:t>
      </w:r>
    </w:p>
    <w:p>
      <w:r>
        <w:t xml:space="preserve">  passes) and then loaded the actual data by a </w:t>
      </w:r>
      <w:r>
        <w:rPr>
          <w:b/>
        </w:rPr>
        <w:t>separate, unverified</w:t>
      </w:r>
      <w:r>
        <w:t xml:space="preserve"> numeric id / uid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accountId</w:t>
      </w:r>
      <w:r>
        <w:t xml:space="preserve">, </w:t>
      </w:r>
      <w:r>
        <w:rPr>
          <w:rFonts w:ascii="Consolas" w:hAnsi="Consolas"/>
          <w:color w:val="B03060"/>
          <w:sz w:val="19"/>
        </w:rPr>
        <w:t>productId</w:t>
      </w:r>
      <w:r>
        <w:t xml:space="preserve">, </w:t>
      </w:r>
      <w:r>
        <w:rPr>
          <w:rFonts w:ascii="Consolas" w:hAnsi="Consolas"/>
          <w:color w:val="B03060"/>
          <w:sz w:val="19"/>
        </w:rPr>
        <w:t>glAccountId</w:t>
      </w:r>
      <w:r>
        <w:t>, …) belonging to another tenant.</w:t>
      </w:r>
    </w:p>
    <w:p>
      <w:pPr>
        <w:pStyle w:val="ListBullet"/>
      </w:pPr>
      <w:r>
        <w:rPr>
          <w:b/>
        </w:rPr>
        <w:t>Missing write-scope.</w:t>
      </w:r>
      <w:r>
        <w:t xml:space="preserve"> A uid-addressed </w:t>
      </w:r>
      <w:r>
        <w:rPr>
          <w:b/>
        </w:rPr>
        <w:t>mutator</w:t>
      </w:r>
      <w:r>
        <w:t xml:space="preserve"> loaded its target by uid without</w:t>
      </w:r>
    </w:p>
    <w:p>
      <w:r>
        <w:t xml:space="preserve">  re-checking the loaded entity's company — so a caller could </w:t>
      </w:r>
      <w:r>
        <w:rPr>
          <w:b/>
        </w:rPr>
        <w:t>write</w:t>
      </w:r>
      <w:r>
        <w:t xml:space="preserve"> a record they could</w:t>
      </w:r>
    </w:p>
    <w:p>
      <w:r>
        <w:t xml:space="preserve">  not </w:t>
      </w:r>
      <w:r>
        <w:rPr>
          <w:b/>
        </w:rPr>
        <w:t>read</w:t>
      </w:r>
      <w:r>
        <w:t xml:space="preserve">. Worst case: IAM user </w:t>
      </w:r>
      <w:r>
        <w:rPr>
          <w:rFonts w:ascii="Consolas" w:hAnsi="Consolas"/>
          <w:color w:val="B03060"/>
          <w:sz w:val="19"/>
        </w:rPr>
        <w:t>update</w:t>
      </w:r>
      <w:r>
        <w:t xml:space="preserve"> / </w:t>
      </w:r>
      <w:r>
        <w:rPr>
          <w:rFonts w:ascii="Consolas" w:hAnsi="Consolas"/>
          <w:color w:val="B03060"/>
          <w:sz w:val="19"/>
        </w:rPr>
        <w:t>disable</w:t>
      </w:r>
      <w:r>
        <w:t xml:space="preserve"> / </w:t>
      </w:r>
      <w:r>
        <w:rPr>
          <w:rFonts w:ascii="Consolas" w:hAnsi="Consolas"/>
          <w:color w:val="B03060"/>
          <w:sz w:val="19"/>
        </w:rPr>
        <w:t>enable</w:t>
      </w:r>
      <w:r>
        <w:t xml:space="preserve"> / </w:t>
      </w:r>
      <w:r>
        <w:rPr>
          <w:rFonts w:ascii="Consolas" w:hAnsi="Consolas"/>
          <w:color w:val="B03060"/>
          <w:sz w:val="19"/>
        </w:rPr>
        <w:t>unlock</w:t>
      </w:r>
      <w:r>
        <w:t xml:space="preserve"> /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setPassword</w:t>
      </w:r>
      <w:r>
        <w:t xml:space="preserve"> permitted cross-tenant </w:t>
      </w:r>
      <w:r>
        <w:rPr>
          <w:b/>
        </w:rPr>
        <w:t>account takeover</w:t>
      </w:r>
      <w:r>
        <w:t xml:space="preserve"> via a password reset.</w:t>
      </w:r>
    </w:p>
    <w:p>
      <w:r>
        <w:rPr>
          <w:b/>
        </w:rPr>
        <w:t>Authoritative rule now:</w:t>
      </w:r>
      <w:r>
        <w:t xml:space="preserve"> derive the scope-company from the </w:t>
      </w:r>
      <w:r>
        <w:rPr>
          <w:b/>
        </w:rPr>
        <w:t>loaded entity</w:t>
      </w:r>
      <w:r>
        <w:t>, never from a</w:t>
      </w:r>
    </w:p>
    <w:p>
      <w:r>
        <w:t xml:space="preserve">caller-supplied parameter, and apply the </w:t>
      </w:r>
      <w:r>
        <w:rPr>
          <w:b/>
        </w:rPr>
        <w:t>same guard to reads and writes</w:t>
      </w:r>
      <w:r>
        <w:t>. The fixes are</w:t>
      </w:r>
    </w:p>
    <w:p>
      <w:r>
        <w:t>service-layer — company-scoped repository finders plus ownership re-checks on the loaded</w:t>
      </w:r>
    </w:p>
    <w:p>
      <w:r>
        <w:t xml:space="preserve">aggregate. The read oracle of §3.3 is unchanged and there is </w:t>
      </w:r>
      <w:r>
        <w:rPr>
          <w:b/>
        </w:rPr>
        <w:t>no schema change</w:t>
      </w:r>
      <w:r>
        <w:t>.</w:t>
      </w:r>
    </w:p>
    <w:p>
      <w:r>
        <w:rPr>
          <w:b/>
        </w:rPr>
        <w:t>Regression guard.</w:t>
      </w:r>
      <w:r>
        <w:t xml:space="preserve"> An ArchUnit </w:t>
      </w:r>
      <w:r>
        <w:rPr>
          <w:rFonts w:ascii="Consolas" w:hAnsi="Consolas"/>
          <w:color w:val="B03060"/>
          <w:sz w:val="19"/>
        </w:rPr>
        <w:t>FreezingArchRule</w:t>
      </w:r>
      <w:r>
        <w:t xml:space="preserve"> — </w:t>
      </w:r>
      <w:r>
        <w:rPr>
          <w:rFonts w:ascii="Consolas" w:hAnsi="Consolas"/>
          <w:color w:val="B03060"/>
          <w:sz w:val="19"/>
        </w:rPr>
        <w:t>TenantScopingRulesTest</w:t>
      </w:r>
      <w:r>
        <w:t xml:space="preserve"> — fails the</w:t>
      </w:r>
    </w:p>
    <w:p>
      <w:r>
        <w:t xml:space="preserve">build if a </w:t>
      </w:r>
      <w:r>
        <w:rPr>
          <w:rFonts w:ascii="Consolas" w:hAnsi="Consolas"/>
          <w:color w:val="B03060"/>
          <w:sz w:val="19"/>
        </w:rPr>
        <w:t>..service..</w:t>
      </w:r>
      <w:r>
        <w:t xml:space="preserve"> class makes a bare </w:t>
      </w:r>
      <w:r>
        <w:rPr>
          <w:rFonts w:ascii="Consolas" w:hAnsi="Consolas"/>
          <w:color w:val="B03060"/>
          <w:sz w:val="19"/>
        </w:rPr>
        <w:t>findById</w:t>
      </w:r>
      <w:r>
        <w:t xml:space="preserve"> / </w:t>
      </w:r>
      <w:r>
        <w:rPr>
          <w:rFonts w:ascii="Consolas" w:hAnsi="Consolas"/>
          <w:color w:val="B03060"/>
          <w:sz w:val="19"/>
        </w:rPr>
        <w:t>getReferenceById</w:t>
      </w:r>
      <w:r>
        <w:t xml:space="preserve"> on a Spring Data</w:t>
      </w:r>
    </w:p>
    <w:p>
      <w:r>
        <w:t>repository, forcing the use of company-scoped finders. The ~197 pre-existing, audited calls</w:t>
      </w:r>
    </w:p>
    <w:p>
      <w:r>
        <w:t>are frozen as a baseline (</w:t>
      </w:r>
      <w:r>
        <w:rPr>
          <w:rFonts w:ascii="Consolas" w:hAnsi="Consolas"/>
          <w:color w:val="B03060"/>
          <w:sz w:val="19"/>
        </w:rPr>
        <w:t>allowStoreUpdate = false</w:t>
      </w:r>
      <w:r>
        <w:t>), so no new bare lookup can slip in.</w:t>
      </w:r>
    </w:p>
    <w:p>
      <w:pPr>
        <w:pStyle w:val="Heading3"/>
      </w:pPr>
      <w:r>
        <w:t>3.5 Company list scoping</w:t>
      </w:r>
    </w:p>
    <w:p>
      <w:r>
        <w:rPr>
          <w:rFonts w:ascii="Consolas" w:hAnsi="Consolas"/>
          <w:color w:val="B03060"/>
          <w:sz w:val="19"/>
        </w:rPr>
        <w:t>GET /api/v1/companies</w:t>
      </w:r>
      <w:r>
        <w:t xml:space="preserve"> (the company-admin list) previously returned </w:t>
      </w:r>
      <w:r>
        <w:rPr>
          <w:b/>
        </w:rPr>
        <w:t>all</w:t>
      </w:r>
      <w:r>
        <w:t xml:space="preserve"> organisation</w:t>
      </w:r>
    </w:p>
    <w:p>
      <w:r>
        <w:t xml:space="preserve">companies to any </w:t>
      </w:r>
      <w:r>
        <w:rPr>
          <w:rFonts w:ascii="Consolas" w:hAnsi="Consolas"/>
          <w:color w:val="B03060"/>
          <w:sz w:val="19"/>
        </w:rPr>
        <w:t>COMPANY.VIEW</w:t>
      </w:r>
      <w:r>
        <w:t xml:space="preserve"> holder. It now returns only the companies the caller belongs</w:t>
      </w:r>
    </w:p>
    <w:p>
      <w:r>
        <w:t xml:space="preserve">to — root sees all — applying the same assigned-or-root filter as </w:t>
      </w:r>
      <w:r>
        <w:rPr>
          <w:rFonts w:ascii="Consolas" w:hAnsi="Consolas"/>
          <w:color w:val="B03060"/>
          <w:sz w:val="19"/>
        </w:rPr>
        <w:t>/companies/accessible</w:t>
      </w:r>
      <w:r>
        <w:t>.</w:t>
      </w:r>
    </w:p>
    <w:p>
      <w:r>
        <w:t>Company master data is no longer enumerable across tenants.</w:t>
      </w:r>
    </w:p>
    <w:p>
      <w:pPr>
        <w:pStyle w:val="Heading2"/>
      </w:pPr>
      <w:r>
        <w:t>4. Audit trail</w:t>
      </w:r>
    </w:p>
    <w:p>
      <w:r>
        <w:t xml:space="preserve">Every access-significant action leaves an </w:t>
      </w:r>
      <w:r>
        <w:rPr>
          <w:b/>
        </w:rPr>
        <w:t>append-only</w:t>
      </w:r>
      <w:r>
        <w:t xml:space="preserve"> record in </w:t>
      </w:r>
      <w:r>
        <w:rPr>
          <w:rFonts w:ascii="Consolas" w:hAnsi="Consolas"/>
          <w:color w:val="B03060"/>
          <w:sz w:val="19"/>
        </w:rPr>
        <w:t>audit_log</w:t>
      </w:r>
    </w:p>
    <w:p>
      <w:r>
        <w:t>(</w:t>
      </w:r>
      <w:r>
        <w:rPr>
          <w:rFonts w:ascii="Consolas" w:hAnsi="Consolas"/>
          <w:color w:val="B03060"/>
          <w:sz w:val="19"/>
        </w:rPr>
        <w:t>com.erp.platform.audit</w:t>
      </w:r>
      <w:r>
        <w:t>, ADR-0004). It is the platform's cross-cutting audit table, used by</w:t>
      </w:r>
    </w:p>
    <w:p>
      <w:r>
        <w:t>IAM and every later module.</w:t>
      </w:r>
    </w:p>
    <w:p>
      <w:pPr>
        <w:pStyle w:val="ListBullet"/>
      </w:pPr>
      <w:r>
        <w:rPr>
          <w:b/>
        </w:rPr>
        <w:t>Same-transaction guarantee.</w:t>
      </w:r>
      <w:r>
        <w:t xml:space="preserve"> </w:t>
      </w:r>
      <w:r>
        <w:rPr>
          <w:rFonts w:ascii="Consolas" w:hAnsi="Consolas"/>
          <w:color w:val="B03060"/>
          <w:sz w:val="19"/>
        </w:rPr>
        <w:t>AuditService.record(...)</w:t>
      </w:r>
      <w:r>
        <w:t xml:space="preserve"> is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@Transactional(propagation = MANDATORY)</w:t>
      </w:r>
      <w:r>
        <w:t xml:space="preserve"> — it joins the caller's transaction, so the audit</w:t>
      </w:r>
    </w:p>
    <w:p>
      <w:r>
        <w:t xml:space="preserve">  row commits or rolls back atomically with the business change. A rolled-back business</w:t>
      </w:r>
    </w:p>
    <w:p>
      <w:r>
        <w:t xml:space="preserve">  transaction writes no audit row, structurally (ADR-0004 D-2).</w:t>
      </w:r>
    </w:p>
    <w:p>
      <w:pPr>
        <w:pStyle w:val="ListBullet"/>
      </w:pPr>
      <w:r>
        <w:rPr>
          <w:b/>
        </w:rPr>
        <w:t>Explicit emit, not an aspect.</w:t>
      </w:r>
      <w:r>
        <w:t xml:space="preserve"> Each mutating service calls </w:t>
      </w:r>
      <w:r>
        <w:rPr>
          <w:rFonts w:ascii="Consolas" w:hAnsi="Consolas"/>
          <w:color w:val="B03060"/>
          <w:sz w:val="19"/>
        </w:rPr>
        <w:t>record(...)</w:t>
      </w:r>
      <w:r>
        <w:t xml:space="preserve"> explicitly so</w:t>
      </w:r>
    </w:p>
    <w:p>
      <w:r>
        <w:t xml:space="preserve">  the trail captures the resolved target id, scope, and status transition that generic AOP</w:t>
      </w:r>
    </w:p>
    <w:p>
      <w:r>
        <w:t xml:space="preserve">  advice could not see.</w:t>
      </w:r>
    </w:p>
    <w:p>
      <w:pPr>
        <w:pStyle w:val="ListBullet"/>
      </w:pPr>
      <w:r>
        <w:rPr>
          <w:b/>
        </w:rPr>
        <w:t>What is recorded:</w:t>
      </w:r>
      <w:r>
        <w:t xml:space="preserve"> actor user, action, target (type + id), company/branch scope (read</w:t>
      </w:r>
    </w:p>
    <w:p>
      <w:r>
        <w:t xml:space="preserve">  from </w:t>
      </w:r>
      <w:r>
        <w:rPr>
          <w:rFonts w:ascii="Consolas" w:hAnsi="Consolas"/>
          <w:color w:val="B03060"/>
          <w:sz w:val="19"/>
        </w:rPr>
        <w:t>RequestContext</w:t>
      </w:r>
      <w:r>
        <w:t xml:space="preserve"> post branch-override — the scope the action actually ran in),</w:t>
      </w:r>
    </w:p>
    <w:p>
      <w:r>
        <w:t xml:space="preserve">  timestamp, and IP for login events. Login / lockout events (</w:t>
      </w:r>
      <w:r>
        <w:rPr>
          <w:rFonts w:ascii="Consolas" w:hAnsi="Consolas"/>
          <w:color w:val="B03060"/>
          <w:sz w:val="19"/>
        </w:rPr>
        <w:t>LOGIN.SUCCESS</w:t>
      </w:r>
      <w:r>
        <w:t xml:space="preserve">, </w:t>
      </w:r>
      <w:r>
        <w:rPr>
          <w:rFonts w:ascii="Consolas" w:hAnsi="Consolas"/>
          <w:color w:val="B03060"/>
          <w:sz w:val="19"/>
        </w:rPr>
        <w:t>LOGIN.FAIL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ACCOUNT.LOCKED</w:t>
      </w:r>
      <w:r>
        <w:t xml:space="preserve">) are emitted inside the </w:t>
      </w:r>
      <w:r>
        <w:rPr>
          <w:rFonts w:ascii="Consolas" w:hAnsi="Consolas"/>
          <w:color w:val="B03060"/>
          <w:sz w:val="19"/>
        </w:rPr>
        <w:t>REQUIRES_NEW</w:t>
      </w:r>
      <w:r>
        <w:t xml:space="preserve"> lockout transaction;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LOGIN.FAIL</w:t>
      </w:r>
      <w:r>
        <w:t xml:space="preserve"> for an unknown username carries a NULL actor with </w:t>
      </w:r>
      <w:r>
        <w:rPr>
          <w:rFonts w:ascii="Consolas" w:hAnsi="Consolas"/>
          <w:color w:val="B03060"/>
          <w:sz w:val="19"/>
        </w:rPr>
        <w:t>usernameAttempted</w:t>
      </w:r>
      <w:r>
        <w:t xml:space="preserve"> in detail</w:t>
      </w:r>
    </w:p>
    <w:p>
      <w:r>
        <w:t xml:space="preserve">  (ADR-0004 D-3).</w:t>
      </w:r>
    </w:p>
    <w:p>
      <w:pPr>
        <w:pStyle w:val="ListBullet"/>
      </w:pPr>
      <w:r>
        <w:rPr>
          <w:b/>
        </w:rPr>
        <w:t>`detail` (JSONB):</w:t>
      </w:r>
      <w:r>
        <w:t xml:space="preserve"> identifying / context fields and before/after </w:t>
      </w:r>
      <w:r>
        <w:rPr>
          <w:b/>
        </w:rPr>
        <w:t>status</w:t>
      </w:r>
      <w:r>
        <w:t xml:space="preserve"> for</w:t>
      </w:r>
    </w:p>
    <w:p>
      <w:r>
        <w:t xml:space="preserve">  lifecycle transitions (enable/disable). Profile-field edits record only the </w:t>
      </w:r>
      <w:r>
        <w:rPr>
          <w:b/>
        </w:rPr>
        <w:t>fact</w:t>
      </w:r>
      <w:r>
        <w:t xml:space="preserve"> of the</w:t>
      </w:r>
    </w:p>
    <w:p>
      <w:r>
        <w:t xml:space="preserve">  change, not old→new values, to minimise PII. </w:t>
      </w:r>
      <w:r>
        <w:rPr>
          <w:b/>
        </w:rPr>
        <w:t>Never</w:t>
      </w:r>
      <w:r>
        <w:t xml:space="preserve"> stored: password hashes, raw</w:t>
      </w:r>
    </w:p>
    <w:p>
      <w:r>
        <w:t xml:space="preserve">  passwords, token values/hashes, or JWT contents (ADR-0004 D-6).</w:t>
      </w:r>
    </w:p>
    <w:p>
      <w:pPr>
        <w:pStyle w:val="ListBullet"/>
      </w:pPr>
      <w:r>
        <w:rPr>
          <w:b/>
        </w:rPr>
        <w:t>Append-only enforcement</w:t>
      </w:r>
      <w:r>
        <w:t xml:space="preserve"> is in the application + CI, not a DB trigger (owner ruling,</w:t>
      </w:r>
    </w:p>
    <w:p>
      <w:r>
        <w:t xml:space="preserve">  ADR-0004 D-5): </w:t>
      </w:r>
      <w:r>
        <w:rPr>
          <w:rFonts w:ascii="Consolas" w:hAnsi="Consolas"/>
          <w:color w:val="B03060"/>
          <w:sz w:val="19"/>
        </w:rPr>
        <w:t>AuditService</w:t>
      </w:r>
      <w:r>
        <w:t xml:space="preserve"> exposes only </w:t>
      </w:r>
      <w:r>
        <w:rPr>
          <w:rFonts w:ascii="Consolas" w:hAnsi="Consolas"/>
          <w:color w:val="B03060"/>
          <w:sz w:val="19"/>
        </w:rPr>
        <w:t>record(...)</w:t>
      </w:r>
      <w:r>
        <w:t xml:space="preserve"> and read queries (no update/delete);</w:t>
      </w:r>
    </w:p>
    <w:p>
      <w:r>
        <w:t xml:space="preserve">  an ArchUnit rule fails the build if any class outside </w:t>
      </w:r>
      <w:r>
        <w:rPr>
          <w:rFonts w:ascii="Consolas" w:hAnsi="Consolas"/>
          <w:color w:val="B03060"/>
          <w:sz w:val="19"/>
        </w:rPr>
        <w:t>com.erp.platform.audit</w:t>
      </w:r>
      <w:r>
        <w:t xml:space="preserve"> depends on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AuditRepository</w:t>
      </w:r>
      <w:r>
        <w:t xml:space="preserve"> or if </w:t>
      </w:r>
      <w:r>
        <w:rPr>
          <w:rFonts w:ascii="Consolas" w:hAnsi="Consolas"/>
          <w:color w:val="B03060"/>
          <w:sz w:val="19"/>
        </w:rPr>
        <w:t>AuditService</w:t>
      </w:r>
      <w:r>
        <w:t xml:space="preserve"> grows a mutation method; and the app's DB role is</w:t>
      </w:r>
    </w:p>
    <w:p>
      <w:r>
        <w:t xml:space="preserve">  granted </w:t>
      </w:r>
      <w:r>
        <w:rPr>
          <w:rFonts w:ascii="Consolas" w:hAnsi="Consolas"/>
          <w:color w:val="B03060"/>
          <w:sz w:val="19"/>
        </w:rPr>
        <w:t>INSERT, SELECT</w:t>
      </w:r>
      <w:r>
        <w:t xml:space="preserve"> on </w:t>
      </w:r>
      <w:r>
        <w:rPr>
          <w:rFonts w:ascii="Consolas" w:hAnsi="Consolas"/>
          <w:color w:val="B03060"/>
          <w:sz w:val="19"/>
        </w:rPr>
        <w:t>audit_log</w:t>
      </w:r>
      <w:r>
        <w:t xml:space="preserve"> only — not </w:t>
      </w:r>
      <w:r>
        <w:rPr>
          <w:rFonts w:ascii="Consolas" w:hAnsi="Consolas"/>
          <w:color w:val="B03060"/>
          <w:sz w:val="19"/>
        </w:rPr>
        <w:t>UPDATE</w:t>
      </w:r>
      <w:r>
        <w:t>/</w:t>
      </w:r>
      <w:r>
        <w:rPr>
          <w:rFonts w:ascii="Consolas" w:hAnsi="Consolas"/>
          <w:color w:val="B03060"/>
          <w:sz w:val="19"/>
        </w:rPr>
        <w:t>DELETE</w:t>
      </w:r>
      <w:r>
        <w:t>.</w:t>
      </w:r>
    </w:p>
    <w:p>
      <w:pPr>
        <w:pStyle w:val="ListBullet"/>
      </w:pPr>
      <w:r>
        <w:rPr>
          <w:b/>
        </w:rPr>
        <w:t>Read API:</w:t>
      </w:r>
      <w:r>
        <w:t xml:space="preserve"> </w:t>
      </w:r>
      <w:r>
        <w:rPr>
          <w:rFonts w:ascii="Consolas" w:hAnsi="Consolas"/>
          <w:color w:val="B03060"/>
          <w:sz w:val="19"/>
        </w:rPr>
        <w:t>GET /api/v1/audit</w:t>
      </w:r>
      <w:r>
        <w:t xml:space="preserve">, gated </w:t>
      </w:r>
      <w:r>
        <w:rPr>
          <w:rFonts w:ascii="Consolas" w:hAnsi="Consolas"/>
          <w:color w:val="B03060"/>
          <w:sz w:val="19"/>
        </w:rPr>
        <w:t>@perm.has('AUDIT.VIEW')</w:t>
      </w:r>
      <w:r>
        <w:t>, org-wide read, with</w:t>
      </w:r>
    </w:p>
    <w:p>
      <w:r>
        <w:t xml:space="preserve">  AND-combined filters (</w:t>
      </w:r>
      <w:r>
        <w:rPr>
          <w:rFonts w:ascii="Consolas" w:hAnsi="Consolas"/>
          <w:color w:val="B03060"/>
          <w:sz w:val="19"/>
        </w:rPr>
        <w:t>actorUid</w:t>
      </w:r>
      <w:r>
        <w:t xml:space="preserve">, </w:t>
      </w:r>
      <w:r>
        <w:rPr>
          <w:rFonts w:ascii="Consolas" w:hAnsi="Consolas"/>
          <w:color w:val="B03060"/>
          <w:sz w:val="19"/>
        </w:rPr>
        <w:t>action</w:t>
      </w:r>
      <w:r>
        <w:t xml:space="preserve">, </w:t>
      </w:r>
      <w:r>
        <w:rPr>
          <w:rFonts w:ascii="Consolas" w:hAnsi="Consolas"/>
          <w:color w:val="B03060"/>
          <w:sz w:val="19"/>
        </w:rPr>
        <w:t>targetType</w:t>
      </w:r>
      <w:r>
        <w:t xml:space="preserve">, </w:t>
      </w:r>
      <w:r>
        <w:rPr>
          <w:rFonts w:ascii="Consolas" w:hAnsi="Consolas"/>
          <w:color w:val="B03060"/>
          <w:sz w:val="19"/>
        </w:rPr>
        <w:t>targetUid</w:t>
      </w:r>
      <w:r>
        <w:t xml:space="preserve">, </w:t>
      </w:r>
      <w:r>
        <w:rPr>
          <w:rFonts w:ascii="Consolas" w:hAnsi="Consolas"/>
          <w:color w:val="B03060"/>
          <w:sz w:val="19"/>
        </w:rPr>
        <w:t>from</w:t>
      </w:r>
      <w:r>
        <w:t>/</w:t>
      </w:r>
      <w:r>
        <w:rPr>
          <w:rFonts w:ascii="Consolas" w:hAnsi="Consolas"/>
          <w:color w:val="B03060"/>
          <w:sz w:val="19"/>
        </w:rPr>
        <w:t>to</w:t>
      </w:r>
      <w:r>
        <w:t>) and</w:t>
      </w:r>
    </w:p>
    <w:p>
      <w:r>
        <w:t xml:space="preserve">  Spring </w:t>
      </w:r>
      <w:r>
        <w:rPr>
          <w:rFonts w:ascii="Consolas" w:hAnsi="Consolas"/>
          <w:color w:val="B03060"/>
          <w:sz w:val="19"/>
        </w:rPr>
        <w:t>Pageable</w:t>
      </w:r>
      <w:r>
        <w:t xml:space="preserve"> (default sort </w:t>
      </w:r>
      <w:r>
        <w:rPr>
          <w:rFonts w:ascii="Consolas" w:hAnsi="Consolas"/>
          <w:color w:val="B03060"/>
          <w:sz w:val="19"/>
        </w:rPr>
        <w:t>at,desc</w:t>
      </w:r>
      <w:r>
        <w:t xml:space="preserve">; size 50; cap 200), returning </w:t>
      </w:r>
      <w:r>
        <w:rPr>
          <w:rFonts w:ascii="Consolas" w:hAnsi="Consolas"/>
          <w:color w:val="B03060"/>
          <w:sz w:val="19"/>
        </w:rPr>
        <w:t>PageMeta</w:t>
      </w:r>
      <w:r>
        <w:t xml:space="preserve"> in the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ApiResponse.meta</w:t>
      </w:r>
      <w:r>
        <w:t xml:space="preserve"> slot (ADR-0004 D-7).</w:t>
      </w:r>
    </w:p>
    <w:p>
      <w:pPr>
        <w:pStyle w:val="Heading2"/>
      </w:pPr>
      <w:r>
        <w:t>5. Public endpoints</w:t>
      </w:r>
    </w:p>
    <w:p>
      <w:r>
        <w:t xml:space="preserve">Only four endpoints are public; every other </w:t>
      </w:r>
      <w:r>
        <w:rPr>
          <w:rFonts w:ascii="Consolas" w:hAnsi="Consolas"/>
          <w:color w:val="B03060"/>
          <w:sz w:val="19"/>
        </w:rPr>
        <w:t>/api/**</w:t>
      </w:r>
      <w:r>
        <w:t xml:space="preserve"> route requires a valid bearer token</w:t>
      </w:r>
    </w:p>
    <w:p>
      <w:r>
        <w:rPr>
          <w:b/>
        </w:rPr>
        <w:t>and</w:t>
      </w:r>
      <w:r>
        <w:t xml:space="preserve"> passes its method-security gate. This allowlist is asserted by</w:t>
      </w:r>
    </w:p>
    <w:p>
      <w:r>
        <w:rPr>
          <w:rFonts w:ascii="Consolas" w:hAnsi="Consolas"/>
          <w:color w:val="B03060"/>
          <w:sz w:val="19"/>
        </w:rPr>
        <w:t>EndpointAuthorizationTest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public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POST /api/v1/auth/login</w:t>
            </w:r>
          </w:p>
        </w:tc>
        <w:tc>
          <w:tcPr>
            <w:tcW w:type="dxa" w:w="4320"/>
          </w:tcPr>
          <w:p>
            <w:r>
              <w:t>Mint the first token.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POST /api/v1/auth/refresh</w:t>
            </w:r>
          </w:p>
        </w:tc>
        <w:tc>
          <w:tcPr>
            <w:tcW w:type="dxa" w:w="4320"/>
          </w:tcPr>
          <w:p>
            <w:r>
              <w:t>Rotate tokens without a session.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POST /api/v1/auth/logout</w:t>
            </w:r>
          </w:p>
        </w:tc>
        <w:tc>
          <w:tcPr>
            <w:tcW w:type="dxa" w:w="4320"/>
          </w:tcPr>
          <w:p>
            <w:r>
              <w:t>Invalidate a refresh token.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/api/v1/health</w:t>
            </w:r>
          </w:p>
        </w:tc>
        <w:tc>
          <w:tcPr>
            <w:tcW w:type="dxa" w:w="4320"/>
          </w:tcPr>
          <w:p>
            <w:r>
              <w:t>Liveness probe.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GET</w:t>
      </w:r>
      <w:r>
        <w:t xml:space="preserve"> requests </w:t>
      </w:r>
      <w:r>
        <w:rPr>
          <w:b/>
        </w:rPr>
        <w:t>outside</w:t>
      </w:r>
      <w:r>
        <w:t xml:space="preserve"> </w:t>
      </w:r>
      <w:r>
        <w:rPr>
          <w:rFonts w:ascii="Consolas" w:hAnsi="Consolas"/>
          <w:color w:val="B03060"/>
          <w:sz w:val="19"/>
        </w:rPr>
        <w:t>/api</w:t>
      </w:r>
      <w:r>
        <w:t xml:space="preserve"> are served publicly so the Angular SPA shell, built assets,</w:t>
      </w:r>
    </w:p>
    <w:p>
      <w:r>
        <w:t xml:space="preserve">and client-side deep-links load (the API above is matched first and stays gated). </w:t>
      </w:r>
      <w:r>
        <w:rPr>
          <w:rFonts w:ascii="Consolas" w:hAnsi="Consolas"/>
          <w:color w:val="B03060"/>
          <w:sz w:val="19"/>
        </w:rPr>
        <w:t>/actuator/**</w:t>
      </w:r>
    </w:p>
    <w:p>
      <w:r>
        <w:t>and the springdoc paths (</w:t>
      </w:r>
      <w:r>
        <w:rPr>
          <w:rFonts w:ascii="Consolas" w:hAnsi="Consolas"/>
          <w:color w:val="B03060"/>
          <w:sz w:val="19"/>
        </w:rPr>
        <w:t>/v3/api-docs/**</w:t>
      </w:r>
      <w:r>
        <w:t xml:space="preserve">, </w:t>
      </w:r>
      <w:r>
        <w:rPr>
          <w:rFonts w:ascii="Consolas" w:hAnsi="Consolas"/>
          <w:color w:val="B03060"/>
          <w:sz w:val="19"/>
        </w:rPr>
        <w:t>/swagger-ui/**</w:t>
      </w:r>
      <w:r>
        <w:t>) are permitted at the filter</w:t>
      </w:r>
    </w:p>
    <w:p>
      <w:r>
        <w:t>level; in production the springdoc surface is disabled by config and the Prometheus endpoint is</w:t>
      </w:r>
    </w:p>
    <w:p>
      <w:r>
        <w:t>moved to a separate internal management port (see [05-deployment-ops.md](05-deployment-ops.md)).</w:t>
      </w:r>
    </w:p>
    <w:p>
      <w:r>
        <w:t>CSRF is disabled — correct for a stateless, token-authenticated API with no session cookie.</w:t>
      </w:r>
    </w:p>
    <w:p>
      <w:pPr>
        <w:pStyle w:val="Heading2"/>
      </w:pPr>
      <w:r>
        <w:t>6. Secret handling</w:t>
      </w:r>
    </w:p>
    <w:p>
      <w:pPr>
        <w:pStyle w:val="ListBullet"/>
      </w:pPr>
      <w:r>
        <w:rPr>
          <w:b/>
        </w:rPr>
        <w:t>12-factor config.</w:t>
      </w:r>
      <w:r>
        <w:t xml:space="preserve"> No secret is hardcoded anywhere in </w:t>
      </w:r>
      <w:r>
        <w:rPr>
          <w:rFonts w:ascii="Consolas" w:hAnsi="Consolas"/>
          <w:color w:val="B03060"/>
          <w:sz w:val="19"/>
        </w:rPr>
        <w:t>backend/src/main</w:t>
      </w:r>
      <w:r>
        <w:t>; every secret</w:t>
      </w:r>
    </w:p>
    <w:p>
      <w:r>
        <w:t xml:space="preserve">  is supplied as an environment variable (</w:t>
      </w:r>
      <w:r>
        <w:rPr>
          <w:rFonts w:ascii="Consolas" w:hAnsi="Consolas"/>
          <w:color w:val="B03060"/>
          <w:sz w:val="19"/>
        </w:rPr>
        <w:t>${ENV_VAR:default}</w:t>
      </w:r>
      <w:r>
        <w:t xml:space="preserve"> in </w:t>
      </w:r>
      <w:r>
        <w:rPr>
          <w:rFonts w:ascii="Consolas" w:hAnsi="Consolas"/>
          <w:color w:val="B03060"/>
          <w:sz w:val="19"/>
        </w:rPr>
        <w:t>application.yml</w:t>
      </w:r>
      <w:r>
        <w:t>).</w:t>
      </w:r>
    </w:p>
    <w:p>
      <w:pPr>
        <w:pStyle w:val="ListBullet"/>
      </w:pPr>
      <w:r>
        <w:rPr>
          <w:b/>
        </w:rPr>
        <w:t>JWT signing key</w:t>
      </w:r>
      <w:r>
        <w:t xml:space="preserve"> (see [docs/ops/jwt-keys.md](../ops/jwt-keys.md)). Two modes:</w:t>
      </w:r>
    </w:p>
    <w:p>
      <w:pPr>
        <w:pStyle w:val="ListBullet"/>
        <w:ind w:left="720"/>
      </w:pPr>
      <w:r>
        <w:rPr>
          <w:rFonts w:ascii="Consolas" w:hAnsi="Consolas"/>
          <w:color w:val="B03060"/>
          <w:sz w:val="19"/>
        </w:rPr>
        <w:t>dev-in-memory</w:t>
      </w:r>
      <w:r>
        <w:t xml:space="preserve"> (the dev default) generates a fresh RSA keypair at JVM start — every</w:t>
      </w:r>
    </w:p>
    <w:p>
      <w:r>
        <w:t xml:space="preserve">    restart invalidates all tokens, which is fine for local dev.</w:t>
      </w:r>
    </w:p>
    <w:p>
      <w:pPr>
        <w:pStyle w:val="ListBullet"/>
        <w:ind w:left="720"/>
      </w:pPr>
      <w:r>
        <w:rPr>
          <w:rFonts w:ascii="Consolas" w:hAnsi="Consolas"/>
          <w:color w:val="B03060"/>
          <w:sz w:val="19"/>
        </w:rPr>
        <w:t>file</w:t>
      </w:r>
      <w:r>
        <w:t xml:space="preserve"> (the </w:t>
      </w:r>
      <w:r>
        <w:rPr>
          <w:b/>
        </w:rPr>
        <w:t>production default</w:t>
      </w:r>
      <w:r>
        <w:t>, hard-wired in the prod compose) reads stable PEM key</w:t>
      </w:r>
    </w:p>
    <w:p>
      <w:r>
        <w:t xml:space="preserve">    files from disk so tokens survive restarts and multiple API replicas can share one key.</w:t>
      </w:r>
    </w:p>
    <w:p>
      <w:r>
        <w:t xml:space="preserve">    Keys are generated by </w:t>
      </w:r>
      <w:r>
        <w:rPr>
          <w:rFonts w:ascii="Consolas" w:hAnsi="Consolas"/>
          <w:color w:val="B03060"/>
          <w:sz w:val="19"/>
        </w:rPr>
        <w:t>infra/prod/generate-jwt-keys.sh</w:t>
      </w:r>
      <w:r>
        <w:t xml:space="preserve"> (PKCS8 private / X.509 public),</w:t>
      </w:r>
    </w:p>
    <w:p>
      <w:r>
        <w:t xml:space="preserve">    are gitignored (</w:t>
      </w:r>
      <w:r>
        <w:rPr>
          <w:rFonts w:ascii="Consolas" w:hAnsi="Consolas"/>
          <w:color w:val="B03060"/>
          <w:sz w:val="19"/>
        </w:rPr>
        <w:t>*.pem</w:t>
      </w:r>
      <w:r>
        <w:t xml:space="preserve">), bind-mounted read-only into the container, and </w:t>
      </w:r>
      <w:r>
        <w:rPr>
          <w:rFonts w:ascii="Consolas" w:hAnsi="Consolas"/>
          <w:color w:val="B03060"/>
          <w:sz w:val="19"/>
        </w:rPr>
        <w:t>chmod 600</w:t>
      </w:r>
      <w:r>
        <w:t xml:space="preserve"> on</w:t>
      </w:r>
    </w:p>
    <w:p>
      <w:r>
        <w:t xml:space="preserve">    the host. </w:t>
      </w:r>
      <w:r>
        <w:rPr>
          <w:rFonts w:ascii="Consolas" w:hAnsi="Consolas"/>
          <w:color w:val="B03060"/>
          <w:sz w:val="19"/>
        </w:rPr>
        <w:t>private.pem</w:t>
      </w:r>
      <w:r>
        <w:t xml:space="preserve"> can forge any user's token — treat it as a top-tier secret kept in</w:t>
      </w:r>
    </w:p>
    <w:p>
      <w:r>
        <w:t xml:space="preserve">    a secret store, separate from DB backups.</w:t>
      </w:r>
    </w:p>
    <w:p>
      <w:pPr>
        <w:pStyle w:val="ListBullet"/>
      </w:pPr>
      <w:r>
        <w:rPr>
          <w:b/>
        </w:rPr>
        <w:t>Bootstrap admin password</w:t>
      </w:r>
      <w:r>
        <w:t xml:space="preserve"> has </w:t>
      </w:r>
      <w:r>
        <w:rPr>
          <w:b/>
        </w:rPr>
        <w:t>no default</w:t>
      </w:r>
      <w:r>
        <w:t xml:space="preserve">: </w:t>
      </w:r>
      <w:r>
        <w:rPr>
          <w:rFonts w:ascii="Consolas" w:hAnsi="Consolas"/>
          <w:color w:val="B03060"/>
          <w:sz w:val="19"/>
        </w:rPr>
        <w:t>BootstrapRunner</w:t>
      </w:r>
      <w:r>
        <w:t xml:space="preserve"> is fail-closed — it</w:t>
      </w:r>
    </w:p>
    <w:p>
      <w:r>
        <w:t xml:space="preserve">  refuses to start if </w:t>
      </w:r>
      <w:r>
        <w:rPr>
          <w:rFonts w:ascii="Consolas" w:hAnsi="Consolas"/>
          <w:color w:val="B03060"/>
          <w:sz w:val="19"/>
        </w:rPr>
        <w:t>ERP_BOOTSTRAP_ADMIN_PASSWORD</w:t>
      </w:r>
      <w:r>
        <w:t xml:space="preserve"> is blank or a known placeholder, and</w:t>
      </w:r>
    </w:p>
    <w:p>
      <w:r>
        <w:t xml:space="preserve">  enforces a minimum length. </w:t>
      </w:r>
      <w:r>
        <w:rPr>
          <w:rFonts w:ascii="Consolas" w:hAnsi="Consolas"/>
          <w:color w:val="B03060"/>
          <w:sz w:val="19"/>
        </w:rPr>
        <w:t>ERP_BOOTSTRAP_ENABLED</w:t>
      </w:r>
      <w:r>
        <w:t xml:space="preserve"> defaults to </w:t>
      </w:r>
      <w:r>
        <w:rPr>
          <w:rFonts w:ascii="Consolas" w:hAnsi="Consolas"/>
          <w:color w:val="B03060"/>
          <w:sz w:val="19"/>
        </w:rPr>
        <w:t>false</w:t>
      </w:r>
      <w:r>
        <w:t xml:space="preserve">; it is set </w:t>
      </w:r>
      <w:r>
        <w:rPr>
          <w:rFonts w:ascii="Consolas" w:hAnsi="Consolas"/>
          <w:color w:val="B03060"/>
          <w:sz w:val="19"/>
        </w:rPr>
        <w:t>true</w:t>
      </w:r>
    </w:p>
    <w:p>
      <w:r>
        <w:t xml:space="preserve">  only for the first deploy on a fresh DB, then immediately unset (it is idempotent, so a</w:t>
      </w:r>
    </w:p>
    <w:p>
      <w:r>
        <w:t xml:space="preserve">  later restart with it </w:t>
      </w:r>
      <w:r>
        <w:rPr>
          <w:rFonts w:ascii="Consolas" w:hAnsi="Consolas"/>
          <w:color w:val="B03060"/>
          <w:sz w:val="19"/>
        </w:rPr>
        <w:t>false</w:t>
      </w:r>
      <w:r>
        <w:t xml:space="preserve"> is safe). Leaving it </w:t>
      </w:r>
      <w:r>
        <w:rPr>
          <w:rFonts w:ascii="Consolas" w:hAnsi="Consolas"/>
          <w:color w:val="B03060"/>
          <w:sz w:val="19"/>
        </w:rPr>
        <w:t>true</w:t>
      </w:r>
      <w:r>
        <w:t xml:space="preserve"> would re-attempt bootstrap on</w:t>
      </w:r>
    </w:p>
    <w:p>
      <w:r>
        <w:t xml:space="preserve">  every restart and expose the password to </w:t>
      </w:r>
      <w:r>
        <w:rPr>
          <w:rFonts w:ascii="Consolas" w:hAnsi="Consolas"/>
          <w:color w:val="B03060"/>
          <w:sz w:val="19"/>
        </w:rPr>
        <w:t>docker inspect</w:t>
      </w:r>
      <w:r>
        <w:t>.</w:t>
      </w:r>
    </w:p>
    <w:p>
      <w:pPr>
        <w:pStyle w:val="ListBullet"/>
      </w:pPr>
      <w:r>
        <w:rPr>
          <w:b/>
        </w:rPr>
        <w:t>Passwords</w:t>
      </w:r>
      <w:r>
        <w:t xml:space="preserve"> are BCrypt-hashed at cost 12; </w:t>
      </w:r>
      <w:r>
        <w:rPr>
          <w:b/>
        </w:rPr>
        <w:t>refresh tokens</w:t>
      </w:r>
      <w:r>
        <w:t xml:space="preserve"> are SHA-256-hashed at rest.</w:t>
      </w:r>
    </w:p>
    <w:p>
      <w:pPr>
        <w:pStyle w:val="ListBullet"/>
      </w:pPr>
      <w:r>
        <w:rPr>
          <w:b/>
        </w:rPr>
        <w:t>401/403</w:t>
      </w:r>
      <w:r>
        <w:t xml:space="preserve"> responses are enveloped without leaking which check failed or whether a username</w:t>
      </w:r>
    </w:p>
    <w:p>
      <w:r>
        <w:t xml:space="preserve">  exists (no enumeration). Unexpected 500s log the full stack trace server-side but return only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"An unexpected error occurred."</w:t>
      </w:r>
      <w:r>
        <w:t xml:space="preserve"> to the client (ADR-0038 D-1).</w:t>
      </w:r>
    </w:p>
    <w:p>
      <w:pPr>
        <w:pStyle w:val="ListBullet"/>
      </w:pPr>
      <w:r>
        <w:rPr>
          <w:b/>
        </w:rPr>
        <w:t>Dependency hygiene:</w:t>
      </w:r>
      <w:r>
        <w:t xml:space="preserve"> Dependabot opens weekly PRs; </w:t>
      </w:r>
      <w:r>
        <w:rPr>
          <w:rFonts w:ascii="Consolas" w:hAnsi="Consolas"/>
          <w:color w:val="B03060"/>
          <w:sz w:val="19"/>
        </w:rPr>
        <w:t>npm audit --audit-level=high</w:t>
      </w:r>
      <w:r>
        <w:t xml:space="preserve"> gates</w:t>
      </w:r>
    </w:p>
    <w:p>
      <w:r>
        <w:t xml:space="preserve">  the web CI; the OWASP dependency-check runs on demand (see</w:t>
      </w:r>
    </w:p>
    <w:p>
      <w:r>
        <w:t xml:space="preserve">  [docs/ops/security-sweep.md](../ops/security-sweep.md)).</w:t>
      </w:r>
    </w:p>
    <w:p>
      <w:r>
        <w:t>The overall security posture — what is hardened and what is deferred — is catalogued in</w:t>
      </w:r>
    </w:p>
    <w:p>
      <w:r>
        <w:t>[ADR-0038](../decisions/0038-production-hardening.md) (HTTP security headers / CSP and a JWT</w:t>
      </w:r>
    </w:p>
    <w:p>
      <w:r>
        <w:t>issuer validator are explicitly deferred there, with their conditions for revisiting).</w:t>
      </w:r>
    </w:p>
    <w:p>
      <w:r>
        <w:br/>
      </w:r>
    </w:p>
    <w:p>
      <w:pPr>
        <w:pStyle w:val="Heading1"/>
      </w:pPr>
      <w:r>
        <w:t>Deployment and Operations</w:t>
      </w:r>
    </w:p>
    <w:p>
      <w:r>
        <w:t>ERPCLEAN2 ships as a Spring Boot 3 / Java 21 backend (with the Angular bundle baked into the</w:t>
      </w:r>
    </w:p>
    <w:p>
      <w:r>
        <w:t xml:space="preserve">jar's </w:t>
      </w:r>
      <w:r>
        <w:rPr>
          <w:rFonts w:ascii="Consolas" w:hAnsi="Consolas"/>
          <w:color w:val="B03060"/>
          <w:sz w:val="19"/>
        </w:rPr>
        <w:t>static/</w:t>
      </w:r>
      <w:r>
        <w:t xml:space="preserve"> path), a PostgreSQL 15 database, and — for local development — a separate</w:t>
      </w:r>
    </w:p>
    <w:p>
      <w:r>
        <w:rPr>
          <w:rFonts w:ascii="Consolas" w:hAnsi="Consolas"/>
          <w:color w:val="B03060"/>
          <w:sz w:val="19"/>
        </w:rPr>
        <w:t>ng serve</w:t>
      </w:r>
      <w:r>
        <w:t>. This document covers the three environments, how to run locally, migration</w:t>
      </w:r>
    </w:p>
    <w:p>
      <w:r>
        <w:t>discipline, the QA and production deploys, backup/restore, observability, and CI.</w:t>
      </w:r>
    </w:p>
    <w:p>
      <w:r>
        <w:t>The operational design is recorded in [ADR-0038](../decisions/0038-production-hardening.md);</w:t>
      </w:r>
    </w:p>
    <w:p>
      <w:r>
        <w:t xml:space="preserve">the runbooks live under [docs/ops/](../ops/) and the deploy artifacts under </w:t>
      </w:r>
      <w:r>
        <w:rPr>
          <w:rFonts w:ascii="Consolas" w:hAnsi="Consolas"/>
          <w:color w:val="B03060"/>
          <w:sz w:val="19"/>
        </w:rPr>
        <w:t>infra/</w:t>
      </w:r>
      <w:r>
        <w:t>.</w:t>
      </w:r>
    </w:p>
    <w:p>
      <w:pPr>
        <w:pStyle w:val="Heading2"/>
      </w:pPr>
      <w:r>
        <w:t>1. Environments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Local dev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docker compose up -d db</w:t>
            </w:r>
            <w:r>
              <w:t xml:space="preserve"> (Postgres) + backend on host (</w:t>
            </w:r>
            <w:r>
              <w:rPr>
                <w:rFonts w:ascii="Consolas" w:hAnsi="Consolas"/>
                <w:color w:val="B03060"/>
                <w:sz w:val="19"/>
              </w:rPr>
              <w:t>mvn spring-boot:run</w:t>
            </w:r>
            <w:r>
              <w:t xml:space="preserve">, dev profile) + </w:t>
            </w:r>
            <w:r>
              <w:rPr>
                <w:rFonts w:ascii="Consolas" w:hAnsi="Consolas"/>
                <w:color w:val="B03060"/>
                <w:sz w:val="19"/>
              </w:rPr>
              <w:t>ng serve</w:t>
            </w:r>
          </w:p>
        </w:tc>
        <w:tc>
          <w:tcPr>
            <w:tcW w:type="dxa" w:w="2160"/>
          </w:tcPr>
          <w:p>
            <w:r>
              <w:t>Containerised Postgres, host port 5434</w:t>
            </w:r>
          </w:p>
        </w:tc>
        <w:tc>
          <w:tcPr>
            <w:tcW w:type="dxa" w:w="2160"/>
          </w:tcPr>
          <w:p>
            <w:r>
              <w:t>Day-to-day development; the canonical e2e environment.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QA</w:t>
            </w:r>
          </w:p>
        </w:tc>
        <w:tc>
          <w:tcPr>
            <w:tcW w:type="dxa" w:w="2160"/>
          </w:tcPr>
          <w:p>
            <w:r>
              <w:t>Single container (</w:t>
            </w:r>
            <w:r>
              <w:rPr>
                <w:rFonts w:ascii="Consolas" w:hAnsi="Consolas"/>
                <w:color w:val="B03060"/>
                <w:sz w:val="19"/>
              </w:rPr>
              <w:t>infra/qa</w:t>
            </w:r>
            <w:r>
              <w:t>): API + in-container Postgres + Angular bundle, run by supervisord</w:t>
            </w:r>
          </w:p>
        </w:tc>
        <w:tc>
          <w:tcPr>
            <w:tcW w:type="dxa" w:w="2160"/>
          </w:tcPr>
          <w:p>
            <w:r>
              <w:t>In-container Postgres, persistent volume</w:t>
            </w:r>
          </w:p>
        </w:tc>
        <w:tc>
          <w:tcPr>
            <w:tcW w:type="dxa" w:w="2160"/>
          </w:tcPr>
          <w:p>
            <w:r>
              <w:t>Release smoke / UAT.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Production</w:t>
            </w:r>
          </w:p>
        </w:tc>
        <w:tc>
          <w:tcPr>
            <w:tcW w:type="dxa" w:w="2160"/>
          </w:tcPr>
          <w:p>
            <w:r>
              <w:t>Split topology (</w:t>
            </w:r>
            <w:r>
              <w:rPr>
                <w:rFonts w:ascii="Consolas" w:hAnsi="Consolas"/>
                <w:color w:val="B03060"/>
                <w:sz w:val="19"/>
              </w:rPr>
              <w:t>infra/prod</w:t>
            </w:r>
            <w:r>
              <w:t>): separate API and Postgres containers (reference single-node compose; topology-agnostic Dockerfile)</w:t>
            </w:r>
          </w:p>
        </w:tc>
        <w:tc>
          <w:tcPr>
            <w:tcW w:type="dxa" w:w="2160"/>
          </w:tcPr>
          <w:p>
            <w:r>
              <w:t xml:space="preserve">Separate </w:t>
            </w:r>
            <w:r>
              <w:rPr>
                <w:rFonts w:ascii="Consolas" w:hAnsi="Consolas"/>
                <w:color w:val="B03060"/>
                <w:sz w:val="19"/>
              </w:rPr>
              <w:t>db</w:t>
            </w:r>
            <w:r>
              <w:t xml:space="preserve"> container with a persistent volume, or managed Postgres</w:t>
            </w:r>
          </w:p>
        </w:tc>
        <w:tc>
          <w:tcPr>
            <w:tcW w:type="dxa" w:w="2160"/>
          </w:tcPr>
          <w:p>
            <w:r>
              <w:t>Live (fenced ops decisions still open).</w:t>
            </w:r>
          </w:p>
        </w:tc>
      </w:tr>
    </w:tbl>
    <w:p/>
    <w:p>
      <w:r>
        <w:t>The QA single-container shape (coupled API + DB lifecycle, no scaling) is deliberately</w:t>
      </w:r>
    </w:p>
    <w:p>
      <w:r>
        <w:rPr>
          <w:b/>
        </w:rPr>
        <w:t>wrong for production</w:t>
      </w:r>
      <w:r>
        <w:t xml:space="preserve"> but right for QA: one image, one </w:t>
      </w:r>
      <w:r>
        <w:rPr>
          <w:rFonts w:ascii="Consolas" w:hAnsi="Consolas"/>
          <w:color w:val="B03060"/>
          <w:sz w:val="19"/>
        </w:rPr>
        <w:t>docker run</w:t>
      </w:r>
      <w:r>
        <w:t>, one volume. Production</w:t>
      </w:r>
    </w:p>
    <w:p>
      <w:r>
        <w:t>splits the lifecycles.</w:t>
      </w:r>
    </w:p>
    <w:p>
      <w:pPr>
        <w:pStyle w:val="Heading2"/>
      </w:pPr>
      <w:r>
        <w:t>2. Running locally</w:t>
      </w:r>
    </w:p>
    <w:p>
      <w:r>
        <w:t xml:space="preserve">Three processes: Postgres in Docker, the backend on the host (for hot reload), and </w:t>
      </w:r>
      <w:r>
        <w:rPr>
          <w:rFonts w:ascii="Consolas" w:hAnsi="Consolas"/>
          <w:color w:val="B03060"/>
          <w:sz w:val="19"/>
        </w:rPr>
        <w:t>ng serve</w:t>
      </w:r>
      <w:r>
        <w:t>.</w:t>
      </w:r>
    </w:p>
    <w:p>
      <w:pPr>
        <w:pStyle w:val="Heading3"/>
      </w:pPr>
      <w:r>
        <w:t>2.1 Database</w:t>
      </w:r>
    </w:p>
    <w:p>
      <w:pPr>
        <w:shd w:fill="F2F2F2"/>
      </w:pPr>
      <w:r>
        <w:rPr>
          <w:rFonts w:ascii="Consolas" w:hAnsi="Consolas"/>
          <w:sz w:val="18"/>
        </w:rPr>
        <w:t>docker compose up -d db</w:t>
      </w:r>
    </w:p>
    <w:p>
      <w:r>
        <w:t xml:space="preserve">This starts </w:t>
      </w:r>
      <w:r>
        <w:rPr>
          <w:rFonts w:ascii="Consolas" w:hAnsi="Consolas"/>
          <w:color w:val="B03060"/>
          <w:sz w:val="19"/>
        </w:rPr>
        <w:t>postgres:15-alpine</w:t>
      </w:r>
      <w:r>
        <w:t xml:space="preserve"> as container </w:t>
      </w:r>
      <w:r>
        <w:rPr>
          <w:rFonts w:ascii="Consolas" w:hAnsi="Consolas"/>
          <w:color w:val="B03060"/>
          <w:sz w:val="19"/>
        </w:rPr>
        <w:t>erp-db</w:t>
      </w:r>
      <w:r>
        <w:t xml:space="preserve">, database </w:t>
      </w:r>
      <w:r>
        <w:rPr>
          <w:rFonts w:ascii="Consolas" w:hAnsi="Consolas"/>
          <w:color w:val="B03060"/>
          <w:sz w:val="19"/>
        </w:rPr>
        <w:t>erp</w:t>
      </w:r>
      <w:r>
        <w:t>, user/password</w:t>
      </w:r>
    </w:p>
    <w:p>
      <w:r>
        <w:rPr>
          <w:rFonts w:ascii="Consolas" w:hAnsi="Consolas"/>
          <w:color w:val="B03060"/>
          <w:sz w:val="19"/>
        </w:rPr>
        <w:t>erp</w:t>
      </w:r>
      <w:r>
        <w:t>/</w:t>
      </w:r>
      <w:r>
        <w:rPr>
          <w:rFonts w:ascii="Consolas" w:hAnsi="Consolas"/>
          <w:color w:val="B03060"/>
          <w:sz w:val="19"/>
        </w:rPr>
        <w:t>erp</w:t>
      </w:r>
      <w:r>
        <w:t xml:space="preserve"> (dev defaults only — not production secrets), mapped to </w:t>
      </w:r>
      <w:r>
        <w:rPr>
          <w:b/>
        </w:rPr>
        <w:t>host port 5434</w:t>
      </w:r>
    </w:p>
    <w:p>
      <w:r>
        <w:t>(5432/5433 are taken by other local projects; the container stays on 5432 internally).</w:t>
      </w:r>
    </w:p>
    <w:p>
      <w:pPr>
        <w:pStyle w:val="Heading3"/>
      </w:pPr>
      <w:r>
        <w:t>2.2 Backend</w:t>
      </w:r>
    </w:p>
    <w:p>
      <w:pPr>
        <w:shd w:fill="F2F2F2"/>
      </w:pPr>
      <w:r>
        <w:rPr>
          <w:rFonts w:ascii="Consolas" w:hAnsi="Consolas"/>
          <w:sz w:val="18"/>
        </w:rPr>
        <w:t>cd backend</w:t>
        <w:br/>
        <w:t>SPRING_PROFILES_ACTIVE=dev ERP_API_PORT=8081 mvn spring-boot:run</w:t>
      </w:r>
    </w:p>
    <w:p>
      <w:r>
        <w:t xml:space="preserve">The dev profile uses </w:t>
      </w:r>
      <w:r>
        <w:rPr>
          <w:rFonts w:ascii="Consolas" w:hAnsi="Consolas"/>
          <w:color w:val="B03060"/>
          <w:sz w:val="19"/>
        </w:rPr>
        <w:t>dev-in-memory</w:t>
      </w:r>
      <w:r>
        <w:t xml:space="preserve"> JWT signing (fresh key each restart) and bootstraps the</w:t>
      </w:r>
    </w:p>
    <w:p>
      <w:r>
        <w:t xml:space="preserve">super-user </w:t>
      </w:r>
      <w:r>
        <w:rPr>
          <w:b/>
        </w:rPr>
        <w:t>`rootadmin` / `RootPass12345`</w:t>
      </w:r>
      <w:r>
        <w:t xml:space="preserve"> (dev only — never a production credential). The</w:t>
      </w:r>
    </w:p>
    <w:p>
      <w:r>
        <w:t xml:space="preserve">API binds </w:t>
      </w:r>
      <w:r>
        <w:rPr>
          <w:b/>
        </w:rPr>
        <w:t>port 8081</w:t>
      </w:r>
      <w:r>
        <w:t xml:space="preserve"> (</w:t>
      </w:r>
      <w:r>
        <w:rPr>
          <w:rFonts w:ascii="Consolas" w:hAnsi="Consolas"/>
          <w:color w:val="B03060"/>
          <w:sz w:val="19"/>
        </w:rPr>
        <w:t>server.port: ${ERP_API_PORT:8081}</w:t>
      </w:r>
      <w:r>
        <w:t>). Flyway runs on startup and</w:t>
      </w:r>
    </w:p>
    <w:p>
      <w:r>
        <w:t>applies all migrations.</w:t>
      </w:r>
    </w:p>
    <w:p>
      <w:r>
        <w:t xml:space="preserve">A containerised API is available opt-in via </w:t>
      </w:r>
      <w:r>
        <w:rPr>
          <w:rFonts w:ascii="Consolas" w:hAnsi="Consolas"/>
          <w:color w:val="B03060"/>
          <w:sz w:val="19"/>
        </w:rPr>
        <w:t>docker compose --profile api up --build</w:t>
      </w:r>
      <w:r>
        <w:t>, but</w:t>
      </w:r>
    </w:p>
    <w:p>
      <w:r>
        <w:t>day-to-day dev runs the API on the host for hot reload.</w:t>
      </w:r>
    </w:p>
    <w:p>
      <w:pPr>
        <w:pStyle w:val="Heading3"/>
      </w:pPr>
      <w:r>
        <w:t>2.3 Frontend</w:t>
      </w:r>
    </w:p>
    <w:p>
      <w:pPr>
        <w:shd w:fill="F2F2F2"/>
      </w:pPr>
      <w:r>
        <w:rPr>
          <w:rFonts w:ascii="Consolas" w:hAnsi="Consolas"/>
          <w:sz w:val="18"/>
        </w:rPr>
        <w:t>cd web</w:t>
        <w:br/>
        <w:t>npm install      # first time</w:t>
        <w:br/>
        <w:t>npm run start    # ng serve on :4200</w:t>
      </w:r>
    </w:p>
    <w:p>
      <w:r>
        <w:rPr>
          <w:rFonts w:ascii="Consolas" w:hAnsi="Consolas"/>
          <w:color w:val="B03060"/>
          <w:sz w:val="19"/>
        </w:rPr>
        <w:t>ng serve</w:t>
      </w:r>
      <w:r>
        <w:t xml:space="preserve"> runs on </w:t>
      </w:r>
      <w:r>
        <w:rPr>
          <w:b/>
        </w:rPr>
        <w:t>port 4200</w:t>
      </w:r>
      <w:r>
        <w:t xml:space="preserve">; its dev proxy forwards </w:t>
      </w:r>
      <w:r>
        <w:rPr>
          <w:rFonts w:ascii="Consolas" w:hAnsi="Consolas"/>
          <w:color w:val="B03060"/>
          <w:sz w:val="19"/>
        </w:rPr>
        <w:t>/api</w:t>
      </w:r>
      <w:r>
        <w:t xml:space="preserve"> to the backend on</w:t>
      </w:r>
    </w:p>
    <w:p>
      <w:r>
        <w:rPr>
          <w:b/>
        </w:rPr>
        <w:t>`http://localhost:8081`</w:t>
      </w:r>
      <w:r>
        <w:t xml:space="preserve"> (</w:t>
      </w:r>
      <w:r>
        <w:rPr>
          <w:rFonts w:ascii="Consolas" w:hAnsi="Consolas"/>
          <w:color w:val="B03060"/>
          <w:sz w:val="19"/>
        </w:rPr>
        <w:t>web/proxy.conf.json</w:t>
      </w:r>
      <w:r>
        <w:t xml:space="preserve">). Open </w:t>
      </w:r>
      <w:r>
        <w:rPr>
          <w:rFonts w:ascii="Consolas" w:hAnsi="Consolas"/>
          <w:color w:val="B03060"/>
          <w:sz w:val="19"/>
        </w:rPr>
        <w:t>http://localhost:4200</w:t>
      </w:r>
      <w:r>
        <w:t>.</w:t>
      </w:r>
    </w:p>
    <w:p>
      <w:pPr>
        <w:pStyle w:val="Heading3"/>
      </w:pPr>
      <w:r>
        <w:t>2.4 Ports and bootstrap credentials (summary)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Postgres (dev)</w:t>
            </w:r>
          </w:p>
        </w:tc>
        <w:tc>
          <w:tcPr>
            <w:tcW w:type="dxa" w:w="2880"/>
          </w:tcPr>
          <w:p>
            <w:r>
              <w:t>host 5434 → container 5432</w:t>
            </w:r>
          </w:p>
        </w:tc>
        <w:tc>
          <w:tcPr>
            <w:tcW w:type="dxa" w:w="2880"/>
          </w:tcPr>
          <w:p>
            <w:r>
              <w:t xml:space="preserve">container </w:t>
            </w:r>
            <w:r>
              <w:rPr>
                <w:rFonts w:ascii="Consolas" w:hAnsi="Consolas"/>
                <w:color w:val="B03060"/>
                <w:sz w:val="19"/>
              </w:rPr>
              <w:t>erp-db</w:t>
            </w:r>
            <w:r>
              <w:t xml:space="preserve">, db </w:t>
            </w:r>
            <w:r>
              <w:rPr>
                <w:rFonts w:ascii="Consolas" w:hAnsi="Consolas"/>
                <w:color w:val="B03060"/>
                <w:sz w:val="19"/>
              </w:rPr>
              <w:t>erp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ERP_API_PORT</w:t>
            </w:r>
            <w:r>
              <w:t xml:space="preserve">, dev bootstraps </w:t>
            </w:r>
            <w:r>
              <w:rPr>
                <w:rFonts w:ascii="Consolas" w:hAnsi="Consolas"/>
                <w:color w:val="B03060"/>
                <w:sz w:val="19"/>
              </w:rPr>
              <w:t>rootadmin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RootPass12345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ng serve</w:t>
            </w:r>
          </w:p>
        </w:tc>
        <w:tc>
          <w:tcPr>
            <w:tcW w:type="dxa" w:w="2880"/>
          </w:tcPr>
          <w:p>
            <w:r>
              <w:t>4200</w:t>
            </w:r>
          </w:p>
        </w:tc>
        <w:tc>
          <w:tcPr>
            <w:tcW w:type="dxa" w:w="2880"/>
          </w:tcPr>
          <w:p>
            <w:r>
              <w:t xml:space="preserve">proxy </w:t>
            </w:r>
            <w:r>
              <w:rPr>
                <w:rFonts w:ascii="Consolas" w:hAnsi="Consolas"/>
                <w:color w:val="B03060"/>
                <w:sz w:val="19"/>
              </w:rPr>
              <w:t>/api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:8081</w:t>
            </w:r>
          </w:p>
        </w:tc>
      </w:tr>
      <w:tr>
        <w:tc>
          <w:tcPr>
            <w:tcW w:type="dxa" w:w="2880"/>
          </w:tcPr>
          <w:p>
            <w:r>
              <w:t>Management (prod)</w:t>
            </w:r>
          </w:p>
        </w:tc>
        <w:tc>
          <w:tcPr>
            <w:tcW w:type="dxa" w:w="2880"/>
          </w:tcPr>
          <w:p>
            <w:r>
              <w:t>9090</w:t>
            </w:r>
          </w:p>
        </w:tc>
        <w:tc>
          <w:tcPr>
            <w:tcW w:type="dxa" w:w="2880"/>
          </w:tcPr>
          <w:p>
            <w:r>
              <w:t>Prometheus, internal network only</w:t>
            </w:r>
          </w:p>
        </w:tc>
      </w:tr>
    </w:tbl>
    <w:p/>
    <w:p>
      <w:pPr>
        <w:pStyle w:val="Heading2"/>
      </w:pPr>
      <w:r>
        <w:t>3. Flyway migration discipline</w:t>
      </w:r>
    </w:p>
    <w:p>
      <w:pPr>
        <w:pStyle w:val="ListBullet"/>
      </w:pPr>
      <w:r>
        <w:rPr>
          <w:b/>
        </w:rPr>
        <w:t>Flyway owns all schema.</w:t>
      </w:r>
      <w:r>
        <w:t xml:space="preserve"> Hibernate runs </w:t>
      </w:r>
      <w:r>
        <w:rPr>
          <w:rFonts w:ascii="Consolas" w:hAnsi="Consolas"/>
          <w:color w:val="B03060"/>
          <w:sz w:val="19"/>
        </w:rPr>
        <w:t>ddl-auto=validate</w:t>
      </w:r>
      <w:r>
        <w:t xml:space="preserve"> (never </w:t>
      </w:r>
      <w:r>
        <w:rPr>
          <w:rFonts w:ascii="Consolas" w:hAnsi="Consolas"/>
          <w:color w:val="B03060"/>
          <w:sz w:val="19"/>
        </w:rPr>
        <w:t>update</w:t>
      </w:r>
      <w:r>
        <w:t>) — the</w:t>
      </w:r>
    </w:p>
    <w:p>
      <w:r>
        <w:t xml:space="preserve">  schema is defined by V-prefixed migrations only (PROJECT-CONVENTIONS §3.6).</w:t>
      </w:r>
    </w:p>
    <w:p>
      <w:pPr>
        <w:pStyle w:val="ListBullet"/>
      </w:pPr>
      <w:r>
        <w:rPr>
          <w:b/>
        </w:rPr>
        <w:t>Additive after freeze.</w:t>
      </w:r>
      <w:r>
        <w:t xml:space="preserve"> The IAM baseline (V1) was edited in place while the schema was</w:t>
      </w:r>
    </w:p>
    <w:p>
      <w:r>
        <w:t xml:space="preserve">  pre-stable; after that freeze, all changes are </w:t>
      </w:r>
      <w:r>
        <w:rPr>
          <w:b/>
        </w:rPr>
        <w:t>additive</w:t>
      </w:r>
      <w:r>
        <w:t xml:space="preserve"> new migrations. The migration</w:t>
      </w:r>
    </w:p>
    <w:p>
      <w:r>
        <w:t xml:space="preserve">  head is currently around </w:t>
      </w:r>
      <w:r>
        <w:rPr>
          <w:b/>
        </w:rPr>
        <w:t>V83</w:t>
      </w:r>
      <w:r>
        <w:t>.</w:t>
      </w:r>
    </w:p>
    <w:p>
      <w:pPr>
        <w:pStyle w:val="ListBullet"/>
      </w:pPr>
      <w:r>
        <w:rPr>
          <w:b/>
        </w:rPr>
        <w:t>Never edit an applied migration.</w:t>
      </w:r>
      <w:r>
        <w:t xml:space="preserve"> A V-prefixed file that has run in any environment must</w:t>
      </w:r>
    </w:p>
    <w:p>
      <w:r>
        <w:t xml:space="preserve">  not be changed — Flyway validates checksums on startup and a restored DB confirms the schema</w:t>
      </w:r>
    </w:p>
    <w:p>
      <w:r>
        <w:t xml:space="preserve">  matches. Editing applied migrations is a backend-engineer call, never an ops call</w:t>
      </w:r>
    </w:p>
    <w:p>
      <w:r>
        <w:t xml:space="preserve">  ([backup-restore.md](../ops/backup-restore.md)).</w:t>
      </w:r>
    </w:p>
    <w:p>
      <w:pPr>
        <w:pStyle w:val="ListBullet"/>
      </w:pPr>
      <w:r>
        <w:rPr>
          <w:b/>
        </w:rPr>
        <w:t>No schema change without a migration.</w:t>
      </w:r>
      <w:r>
        <w:t xml:space="preserve"> A new permission-gated endpoint needs its</w:t>
      </w:r>
    </w:p>
    <w:p>
      <w:r>
        <w:t xml:space="preserve">  permission in a seed migration; a new transactional table needs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 + </w:t>
      </w:r>
      <w:r>
        <w:rPr>
          <w:rFonts w:ascii="Consolas" w:hAnsi="Consolas"/>
          <w:color w:val="B03060"/>
          <w:sz w:val="19"/>
        </w:rPr>
        <w:t>branch_id</w:t>
      </w:r>
    </w:p>
    <w:p>
      <w:r>
        <w:t xml:space="preserve">  and the tenant predicate.</w:t>
      </w:r>
    </w:p>
    <w:p>
      <w:pPr>
        <w:pStyle w:val="ListBullet"/>
      </w:pPr>
      <w:r>
        <w:rPr>
          <w:b/>
        </w:rPr>
        <w:t>Failed migration rollback:</w:t>
      </w:r>
      <w:r>
        <w:t xml:space="preserve"> stop the API, restore the backup taken </w:t>
      </w:r>
      <w:r>
        <w:rPr>
          <w:b/>
        </w:rPr>
        <w:t>before</w:t>
      </w:r>
      <w:r>
        <w:t xml:space="preserve"> the deploy,</w:t>
      </w:r>
    </w:p>
    <w:p>
      <w:r>
        <w:t xml:space="preserve">  fix the migration SQL, redeploy. Flyway </w:t>
      </w:r>
      <w:r>
        <w:rPr>
          <w:rFonts w:ascii="Consolas" w:hAnsi="Consolas"/>
          <w:color w:val="B03060"/>
          <w:sz w:val="19"/>
        </w:rPr>
        <w:t>validate</w:t>
      </w:r>
      <w:r>
        <w:t xml:space="preserve"> on the next startup confirms the restored</w:t>
      </w:r>
    </w:p>
    <w:p>
      <w:r>
        <w:t xml:space="preserve">  schema (see [backup-restore.md](../ops/backup-restore.md) "Rollback story").</w:t>
      </w:r>
    </w:p>
    <w:p>
      <w:pPr>
        <w:pStyle w:val="Heading2"/>
      </w:pPr>
      <w:r>
        <w:t>4. QA deployment</w:t>
      </w:r>
    </w:p>
    <w:p>
      <w:r>
        <w:t xml:space="preserve">QA is a single container on the target box (see </w:t>
      </w:r>
      <w:r>
        <w:rPr>
          <w:rFonts w:ascii="Consolas" w:hAnsi="Consolas"/>
          <w:color w:val="B03060"/>
          <w:sz w:val="19"/>
        </w:rPr>
        <w:t>infra/qa/README.md</w:t>
      </w:r>
      <w:r>
        <w:t>). After a one-time</w:t>
      </w:r>
    </w:p>
    <w:p>
      <w:r>
        <w:t>bootstrap (install Docker, clone the repo with a fine-grained read-only PAT, place</w:t>
      </w:r>
    </w:p>
    <w:p>
      <w:r>
        <w:rPr>
          <w:rFonts w:ascii="Consolas" w:hAnsi="Consolas"/>
          <w:color w:val="B03060"/>
          <w:sz w:val="19"/>
        </w:rPr>
        <w:t>infra/qa/qa.env</w:t>
      </w:r>
      <w:r>
        <w:t xml:space="preserve"> with the DB and bootstrap secrets), each release is one command from a</w:t>
      </w:r>
    </w:p>
    <w:p>
      <w:r>
        <w:t>developer machine:</w:t>
      </w:r>
    </w:p>
    <w:p>
      <w:pPr>
        <w:shd w:fill="F2F2F2"/>
      </w:pPr>
      <w:r>
        <w:rPr>
          <w:rFonts w:ascii="Consolas" w:hAnsi="Consolas"/>
          <w:sz w:val="18"/>
        </w:rPr>
        <w:t># macOS / Linux / git-bash</w:t>
        <w:br/>
        <w:t>export ERP_SSH_KEY=~/keys/qa.pem</w:t>
        <w:br/>
        <w:t>infra/qa/deploy.sh                 # deploys the branch named in infra/qa/deploy.env</w:t>
      </w:r>
    </w:p>
    <w:p>
      <w:pPr>
        <w:shd w:fill="F2F2F2"/>
      </w:pPr>
      <w:r>
        <w:rPr>
          <w:rFonts w:ascii="Consolas" w:hAnsi="Consolas"/>
          <w:sz w:val="18"/>
        </w:rPr>
        <w:t># Windows / PowerShell</w:t>
        <w:br/>
        <w:t>$env:ERP_SSH_KEY = "C:\path\to\qa.pem"</w:t>
        <w:br/>
        <w:t>infra\qa\deploy.ps1</w:t>
        <w:br/>
        <w:t>infra\qa\deploy.ps1 -Branch main   # or another branch</w:t>
      </w:r>
    </w:p>
    <w:p>
      <w:r>
        <w:t xml:space="preserve">The deploy script SSHes in, </w:t>
      </w:r>
      <w:r>
        <w:rPr>
          <w:rFonts w:ascii="Consolas" w:hAnsi="Consolas"/>
          <w:color w:val="B03060"/>
          <w:sz w:val="19"/>
        </w:rPr>
        <w:t>git pull</w:t>
      </w:r>
      <w:r>
        <w:t>s the branch, rebuilds the image, and restarts the</w:t>
      </w:r>
    </w:p>
    <w:p>
      <w:r>
        <w:t>container. The QA image runs the API, an in-container Postgres, and the Angular bundle under</w:t>
      </w:r>
    </w:p>
    <w:p>
      <w:r>
        <w:t xml:space="preserve">supervisord; it activates </w:t>
      </w:r>
      <w:r>
        <w:rPr>
          <w:rFonts w:ascii="Consolas" w:hAnsi="Consolas"/>
          <w:color w:val="B03060"/>
          <w:sz w:val="19"/>
        </w:rPr>
        <w:t>SPRING_PROFILES_ACTIVE=qa</w:t>
      </w:r>
      <w:r>
        <w:t xml:space="preserve"> (</w:t>
      </w:r>
      <w:r>
        <w:rPr>
          <w:rFonts w:ascii="Consolas" w:hAnsi="Consolas"/>
          <w:color w:val="B03060"/>
          <w:sz w:val="19"/>
        </w:rPr>
        <w:t>infra/qa/application-qa.yml</w:t>
      </w:r>
      <w:r>
        <w:t xml:space="preserve"> pins a</w:t>
      </w:r>
    </w:p>
    <w:p>
      <w:r>
        <w:t>Hikari pool of 10 and INFO logging). The container reads the JWT signing mode from</w:t>
      </w:r>
    </w:p>
    <w:p>
      <w:r>
        <w:rPr>
          <w:rFonts w:ascii="Consolas" w:hAnsi="Consolas"/>
          <w:color w:val="B03060"/>
          <w:sz w:val="19"/>
        </w:rPr>
        <w:t>ERP_JWT_SIGNING_MODE</w:t>
      </w:r>
      <w:r>
        <w:t xml:space="preserve"> (defaults to </w:t>
      </w:r>
      <w:r>
        <w:rPr>
          <w:rFonts w:ascii="Consolas" w:hAnsi="Consolas"/>
          <w:color w:val="B03060"/>
          <w:sz w:val="19"/>
        </w:rPr>
        <w:t>dev-in-memory</w:t>
      </w:r>
      <w:r>
        <w:t>).</w:t>
      </w:r>
    </w:p>
    <w:p>
      <w:pPr>
        <w:pStyle w:val="ListBullet"/>
      </w:pPr>
      <w:r>
        <w:rPr>
          <w:b/>
        </w:rPr>
        <w:t>Data-preserving deploy</w:t>
      </w:r>
      <w:r>
        <w:t xml:space="preserve"> is the default: the persistent volume survives a redeploy, so QA</w:t>
      </w:r>
    </w:p>
    <w:p>
      <w:r>
        <w:t xml:space="preserve">  data carries across releases.</w:t>
      </w:r>
    </w:p>
    <w:p>
      <w:pPr>
        <w:pStyle w:val="ListBullet"/>
      </w:pPr>
      <w:r>
        <w:rPr>
          <w:b/>
        </w:rPr>
        <w:t>Recreate / wipe:</w:t>
      </w:r>
      <w:r>
        <w:t xml:space="preserve"> stop and remove the container </w:t>
      </w:r>
      <w:r>
        <w:rPr>
          <w:b/>
        </w:rPr>
        <w:t>and</w:t>
      </w:r>
      <w:r>
        <w:t xml:space="preserve"> drop the </w:t>
      </w:r>
      <w:r>
        <w:rPr>
          <w:rFonts w:ascii="Consolas" w:hAnsi="Consolas"/>
          <w:color w:val="B03060"/>
          <w:sz w:val="19"/>
        </w:rPr>
        <w:t>erpclean2-data</w:t>
      </w:r>
      <w:r>
        <w:t xml:space="preserve"> volume,</w:t>
      </w:r>
    </w:p>
    <w:p>
      <w:r>
        <w:t xml:space="preserve">  then redeploy — the next start re-bootstraps from </w:t>
      </w:r>
      <w:r>
        <w:rPr>
          <w:rFonts w:ascii="Consolas" w:hAnsi="Consolas"/>
          <w:color w:val="B03060"/>
          <w:sz w:val="19"/>
        </w:rPr>
        <w:t>qa.env</w:t>
      </w:r>
      <w:r>
        <w:t xml:space="preserve"> on a fresh DB.</w:t>
      </w:r>
    </w:p>
    <w:p>
      <w:r>
        <w:t xml:space="preserve">The non-secret target host/user/branch live in committed </w:t>
      </w:r>
      <w:r>
        <w:rPr>
          <w:rFonts w:ascii="Consolas" w:hAnsi="Consolas"/>
          <w:color w:val="B03060"/>
          <w:sz w:val="19"/>
        </w:rPr>
        <w:t>infra/qa/deploy.env</w:t>
      </w:r>
      <w:r>
        <w:t>; the SSH key</w:t>
      </w:r>
    </w:p>
    <w:p>
      <w:r>
        <w:t>path, the GitHub PAT, and the bootstrap secrets stay out of git (</w:t>
      </w:r>
      <w:r>
        <w:rPr>
          <w:rFonts w:ascii="Consolas" w:hAnsi="Consolas"/>
          <w:color w:val="B03060"/>
          <w:sz w:val="19"/>
        </w:rPr>
        <w:t>deploy.env.local</w:t>
      </w:r>
      <w:r>
        <w:t>,</w:t>
      </w:r>
    </w:p>
    <w:p>
      <w:r>
        <w:rPr>
          <w:rFonts w:ascii="Consolas" w:hAnsi="Consolas"/>
          <w:color w:val="B03060"/>
          <w:sz w:val="19"/>
        </w:rPr>
        <w:t>qa.env</w:t>
      </w:r>
      <w:r>
        <w:t>, both gitignored).</w:t>
      </w:r>
    </w:p>
    <w:p>
      <w:pPr>
        <w:pStyle w:val="Heading2"/>
      </w:pPr>
      <w:r>
        <w:t>5. Production deployment</w:t>
      </w:r>
    </w:p>
    <w:p>
      <w:r>
        <w:t xml:space="preserve">Production uses the split topology in </w:t>
      </w:r>
      <w:r>
        <w:rPr>
          <w:rFonts w:ascii="Consolas" w:hAnsi="Consolas"/>
          <w:color w:val="B03060"/>
          <w:sz w:val="19"/>
        </w:rPr>
        <w:t>infra/prod</w:t>
      </w:r>
      <w:r>
        <w:t xml:space="preserve"> (ADR-0038 D-6). The </w:t>
      </w:r>
      <w:r>
        <w:rPr>
          <w:rFonts w:ascii="Consolas" w:hAnsi="Consolas"/>
          <w:color w:val="B03060"/>
          <w:sz w:val="19"/>
        </w:rPr>
        <w:t>infra/prod/Dockerfile</w:t>
      </w:r>
    </w:p>
    <w:p>
      <w:r>
        <w:t>is a three-stage build (Angular build → Maven package with the bundle copied into</w:t>
      </w:r>
    </w:p>
    <w:p>
      <w:r>
        <w:rPr>
          <w:rFonts w:ascii="Consolas" w:hAnsi="Consolas"/>
          <w:color w:val="B03060"/>
          <w:sz w:val="19"/>
        </w:rPr>
        <w:t>static/</w:t>
      </w:r>
      <w:r>
        <w:t xml:space="preserve"> → </w:t>
      </w:r>
      <w:r>
        <w:rPr>
          <w:rFonts w:ascii="Consolas" w:hAnsi="Consolas"/>
          <w:color w:val="B03060"/>
          <w:sz w:val="19"/>
        </w:rPr>
        <w:t>eclipse-temurin:21-jre-alpine</w:t>
      </w:r>
      <w:r>
        <w:t xml:space="preserve"> runtime) and is </w:t>
      </w:r>
      <w:r>
        <w:rPr>
          <w:b/>
        </w:rPr>
        <w:t>topology-agnostic</w:t>
      </w:r>
      <w:r>
        <w:t xml:space="preserve"> — it is the</w:t>
      </w:r>
    </w:p>
    <w:p>
      <w:r>
        <w:t xml:space="preserve">canonical artifact for any orchestrator. The </w:t>
      </w:r>
      <w:r>
        <w:rPr>
          <w:rFonts w:ascii="Consolas" w:hAnsi="Consolas"/>
          <w:color w:val="B03060"/>
          <w:sz w:val="19"/>
        </w:rPr>
        <w:t>infra/prod/docker-compose.yml</w:t>
      </w:r>
      <w:r>
        <w:t xml:space="preserve"> is a clearly</w:t>
      </w:r>
    </w:p>
    <w:p>
      <w:r>
        <w:t xml:space="preserve">labelled </w:t>
      </w:r>
      <w:r>
        <w:rPr>
          <w:b/>
        </w:rPr>
        <w:t>reference single-node topology</w:t>
      </w:r>
      <w:r>
        <w:t xml:space="preserve">: a </w:t>
      </w:r>
      <w:r>
        <w:rPr>
          <w:rFonts w:ascii="Consolas" w:hAnsi="Consolas"/>
          <w:color w:val="B03060"/>
          <w:sz w:val="19"/>
        </w:rPr>
        <w:t>db</w:t>
      </w:r>
      <w:r>
        <w:t xml:space="preserve"> (Postgres 15) service and an </w:t>
      </w:r>
      <w:r>
        <w:rPr>
          <w:rFonts w:ascii="Consolas" w:hAnsi="Consolas"/>
          <w:color w:val="B03060"/>
          <w:sz w:val="19"/>
        </w:rPr>
        <w:t>api</w:t>
      </w:r>
      <w:r>
        <w:t xml:space="preserve"> service</w:t>
      </w:r>
    </w:p>
    <w:p>
      <w:r>
        <w:t xml:space="preserve">on port 8081, both </w:t>
      </w:r>
      <w:r>
        <w:rPr>
          <w:rFonts w:ascii="Consolas" w:hAnsi="Consolas"/>
          <w:color w:val="B03060"/>
          <w:sz w:val="19"/>
        </w:rPr>
        <w:t>restart: unless-stopped</w:t>
      </w:r>
      <w:r>
        <w:t>, with healthchecks and `depends_on:</w:t>
      </w:r>
    </w:p>
    <w:p>
      <w:r>
        <w:t>service_healthy`. If the owner chooses K8s / ECS / a PaaS, the compose file is documentation</w:t>
      </w:r>
    </w:p>
    <w:p>
      <w:r>
        <w:t>and the Dockerfile is the deploy unit.</w:t>
      </w:r>
    </w:p>
    <w:p>
      <w:r>
        <w:t xml:space="preserve">Key production settings (from the prod compose / </w:t>
      </w:r>
      <w:r>
        <w:rPr>
          <w:rFonts w:ascii="Consolas" w:hAnsi="Consolas"/>
          <w:color w:val="B03060"/>
          <w:sz w:val="19"/>
        </w:rPr>
        <w:t>.env.example</w:t>
      </w:r>
      <w:r>
        <w:t>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SPRING_PROFILES_ACTIVE=prod</w:t>
      </w:r>
      <w:r>
        <w:t xml:space="preserve"> → JSON logging, pinned INFO/WARN log levels.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ERP_JWT_SIGNING_MODE=file</w:t>
      </w:r>
      <w:r>
        <w:t xml:space="preserve"> (hard-wired) → stable RS256 keys, bind-mounted read-only; tokens</w:t>
      </w:r>
    </w:p>
    <w:p>
      <w:r>
        <w:t xml:space="preserve">  survive restarts and can be shared across replicas (see [jwt-keys.md](../ops/jwt-keys.md)).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ERP_API_PORT=8081</w:t>
      </w:r>
      <w:r>
        <w:t xml:space="preserve"> everywhere (the one consistent port); the management port is 9090.</w:t>
      </w:r>
    </w:p>
    <w:p>
      <w:pPr>
        <w:pStyle w:val="ListBullet"/>
      </w:pPr>
      <w:r>
        <w:t xml:space="preserve">DB connection via </w:t>
      </w:r>
      <w:r>
        <w:rPr>
          <w:rFonts w:ascii="Consolas" w:hAnsi="Consolas"/>
          <w:color w:val="B03060"/>
          <w:sz w:val="19"/>
        </w:rPr>
        <w:t>ERP_DB_URL</w:t>
      </w:r>
      <w:r>
        <w:t xml:space="preserve"> / </w:t>
      </w:r>
      <w:r>
        <w:rPr>
          <w:rFonts w:ascii="Consolas" w:hAnsi="Consolas"/>
          <w:color w:val="B03060"/>
          <w:sz w:val="19"/>
        </w:rPr>
        <w:t>ERP_DB_USER</w:t>
      </w:r>
      <w:r>
        <w:t xml:space="preserve"> / </w:t>
      </w:r>
      <w:r>
        <w:rPr>
          <w:rFonts w:ascii="Consolas" w:hAnsi="Consolas"/>
          <w:color w:val="B03060"/>
          <w:sz w:val="19"/>
        </w:rPr>
        <w:t>ERP_DB_PASSWORD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ERP_BOOTSTRAP_ENABLED=false</w:t>
      </w:r>
      <w:r>
        <w:t xml:space="preserve"> by default; set </w:t>
      </w:r>
      <w:r>
        <w:rPr>
          <w:rFonts w:ascii="Consolas" w:hAnsi="Consolas"/>
          <w:color w:val="B03060"/>
          <w:sz w:val="19"/>
        </w:rPr>
        <w:t>true</w:t>
      </w:r>
      <w:r>
        <w:t xml:space="preserve"> </w:t>
      </w:r>
      <w:r>
        <w:rPr>
          <w:b/>
        </w:rPr>
        <w:t>only</w:t>
      </w:r>
      <w:r>
        <w:t xml:space="preserve"> for the first deploy on a</w:t>
      </w:r>
    </w:p>
    <w:p>
      <w:r>
        <w:t xml:space="preserve">  fresh DB with a strong </w:t>
      </w:r>
      <w:r>
        <w:rPr>
          <w:rFonts w:ascii="Consolas" w:hAnsi="Consolas"/>
          <w:color w:val="B03060"/>
          <w:sz w:val="19"/>
        </w:rPr>
        <w:t>ERP_BOOTSTRAP_ADMIN_PASSWORD</w:t>
      </w:r>
      <w:r>
        <w:t>, then immediately unset and restart.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ERP_API_IMAGE</w:t>
      </w:r>
      <w:r>
        <w:t xml:space="preserve"> lets a CI-built, SHA-tagged image be specified for rollback without editing</w:t>
      </w:r>
    </w:p>
    <w:p>
      <w:r>
        <w:t xml:space="preserve">  the compose file.</w:t>
      </w:r>
    </w:p>
    <w:p>
      <w:r>
        <w:t xml:space="preserve">All secrets come from a gitignored </w:t>
      </w:r>
      <w:r>
        <w:rPr>
          <w:rFonts w:ascii="Consolas" w:hAnsi="Consolas"/>
          <w:color w:val="B03060"/>
          <w:sz w:val="19"/>
        </w:rPr>
        <w:t>.env</w:t>
      </w:r>
      <w:r>
        <w:t xml:space="preserve"> (see </w:t>
      </w:r>
      <w:r>
        <w:rPr>
          <w:rFonts w:ascii="Consolas" w:hAnsi="Consolas"/>
          <w:color w:val="B03060"/>
          <w:sz w:val="19"/>
        </w:rPr>
        <w:t>infra/prod/.env.example</w:t>
      </w:r>
      <w:r>
        <w:t>) plus the bind-mounted</w:t>
      </w:r>
    </w:p>
    <w:p>
      <w:r>
        <w:t>JWT key files — the key files never enter the image. Several production decisions are explicitly</w:t>
      </w:r>
    </w:p>
    <w:p>
      <w:r>
        <w:rPr>
          <w:b/>
        </w:rPr>
        <w:t>fenced</w:t>
      </w:r>
      <w:r>
        <w:t xml:space="preserve"> pending an owner choice (host/orchestrator, managed vs self-hosted Postgres,</w:t>
      </w:r>
    </w:p>
    <w:p>
      <w:r>
        <w:t>container registry, secrets backend, TLS edge / reverse proxy, log aggregation, metrics</w:t>
      </w:r>
    </w:p>
    <w:p>
      <w:r>
        <w:t>scraping) — see ADR-0038 D-Fenced.</w:t>
      </w:r>
    </w:p>
    <w:p>
      <w:pPr>
        <w:pStyle w:val="Heading2"/>
      </w:pPr>
      <w:r>
        <w:t>6. Backup and restore</w:t>
      </w:r>
    </w:p>
    <w:p>
      <w:r>
        <w:t xml:space="preserve">PostgreSQL is the only datastore; backups use </w:t>
      </w:r>
      <w:r>
        <w:rPr>
          <w:rFonts w:ascii="Consolas" w:hAnsi="Consolas"/>
          <w:color w:val="B03060"/>
          <w:sz w:val="19"/>
        </w:rPr>
        <w:t>pg_dump</w:t>
      </w:r>
      <w:r>
        <w:t xml:space="preserve"> custom format (</w:t>
      </w:r>
      <w:r>
        <w:rPr>
          <w:rFonts w:ascii="Consolas" w:hAnsi="Consolas"/>
          <w:color w:val="B03060"/>
          <w:sz w:val="19"/>
        </w:rPr>
        <w:t>-Fc</w:t>
      </w:r>
      <w:r>
        <w:t xml:space="preserve">) and </w:t>
      </w:r>
      <w:r>
        <w:rPr>
          <w:rFonts w:ascii="Consolas" w:hAnsi="Consolas"/>
          <w:color w:val="B03060"/>
          <w:sz w:val="19"/>
        </w:rPr>
        <w:t>pg_restore</w:t>
      </w:r>
    </w:p>
    <w:p>
      <w:r>
        <w:t xml:space="preserve">(scripts in </w:t>
      </w:r>
      <w:r>
        <w:rPr>
          <w:rFonts w:ascii="Consolas" w:hAnsi="Consolas"/>
          <w:color w:val="B03060"/>
          <w:sz w:val="19"/>
        </w:rPr>
        <w:t>infra/prod/</w:t>
      </w:r>
      <w:r>
        <w:t>, runbook in [backup-restore.md](../ops/backup-restore.md)).</w:t>
      </w:r>
    </w:p>
    <w:p>
      <w:pPr>
        <w:pStyle w:val="ListBullet"/>
      </w:pPr>
      <w:r>
        <w:rPr>
          <w:b/>
        </w:rPr>
        <w:t>Backup:</w:t>
      </w:r>
      <w:r>
        <w:t xml:space="preserve"> </w:t>
      </w:r>
      <w:r>
        <w:rPr>
          <w:rFonts w:ascii="Consolas" w:hAnsi="Consolas"/>
          <w:color w:val="B03060"/>
          <w:sz w:val="19"/>
        </w:rPr>
        <w:t>infra/prod/backup.sh</w:t>
      </w:r>
      <w:r>
        <w:t xml:space="preserve"> writes a timestamped compressed </w:t>
      </w:r>
      <w:r>
        <w:rPr>
          <w:rFonts w:ascii="Consolas" w:hAnsi="Consolas"/>
          <w:color w:val="B03060"/>
          <w:sz w:val="19"/>
        </w:rPr>
        <w:t>.dump</w:t>
      </w:r>
      <w:r>
        <w:t xml:space="preserve"> to </w:t>
      </w:r>
      <w:r>
        <w:rPr>
          <w:rFonts w:ascii="Consolas" w:hAnsi="Consolas"/>
          <w:color w:val="B03060"/>
          <w:sz w:val="19"/>
        </w:rPr>
        <w:t>BACKUP_DIR</w:t>
      </w:r>
    </w:p>
    <w:p>
      <w:r>
        <w:t xml:space="preserve">  and prunes archives older than </w:t>
      </w:r>
      <w:r>
        <w:rPr>
          <w:rFonts w:ascii="Consolas" w:hAnsi="Consolas"/>
          <w:color w:val="B03060"/>
          <w:sz w:val="19"/>
        </w:rPr>
        <w:t>BACKUP_RETAIN_DAYS</w:t>
      </w:r>
      <w:r>
        <w:t xml:space="preserve"> (default 14–30). It reads connection</w:t>
      </w:r>
    </w:p>
    <w:p>
      <w:r>
        <w:t xml:space="preserve">  details from </w:t>
      </w:r>
      <w:r>
        <w:rPr>
          <w:rFonts w:ascii="Consolas" w:hAnsi="Consolas"/>
          <w:color w:val="B03060"/>
          <w:sz w:val="19"/>
        </w:rPr>
        <w:t>PGHOST</w:t>
      </w:r>
      <w:r>
        <w:t>/</w:t>
      </w:r>
      <w:r>
        <w:rPr>
          <w:rFonts w:ascii="Consolas" w:hAnsi="Consolas"/>
          <w:color w:val="B03060"/>
          <w:sz w:val="19"/>
        </w:rPr>
        <w:t>PGPORT</w:t>
      </w:r>
      <w:r>
        <w:t>/</w:t>
      </w:r>
      <w:r>
        <w:rPr>
          <w:rFonts w:ascii="Consolas" w:hAnsi="Consolas"/>
          <w:color w:val="B03060"/>
          <w:sz w:val="19"/>
        </w:rPr>
        <w:t>PGDATABASE</w:t>
      </w:r>
      <w:r>
        <w:t>/</w:t>
      </w:r>
      <w:r>
        <w:rPr>
          <w:rFonts w:ascii="Consolas" w:hAnsi="Consolas"/>
          <w:color w:val="B03060"/>
          <w:sz w:val="19"/>
        </w:rPr>
        <w:t>PGUSER</w:t>
      </w:r>
      <w:r>
        <w:t>/</w:t>
      </w:r>
      <w:r>
        <w:rPr>
          <w:rFonts w:ascii="Consolas" w:hAnsi="Consolas"/>
          <w:color w:val="B03060"/>
          <w:sz w:val="19"/>
        </w:rPr>
        <w:t>PGPASSWORD</w:t>
      </w:r>
      <w:r>
        <w:t>. Exits non-zero on failure</w:t>
      </w:r>
    </w:p>
    <w:p>
      <w:r>
        <w:t xml:space="preserve">  so a cron monitor can detect it.</w:t>
      </w:r>
    </w:p>
    <w:p>
      <w:pPr>
        <w:shd w:fill="F2F2F2"/>
      </w:pPr>
      <w:r>
        <w:rPr>
          <w:rFonts w:ascii="Consolas" w:hAnsi="Consolas"/>
          <w:sz w:val="18"/>
        </w:rPr>
        <w:t xml:space="preserve">  0 2 * * * BACKUP_DIR=/backups BACKUP_RETAIN_DAYS=14 sh infra/prod/backup.sh &gt;&gt; /var/log/erpclean2-backup.log 2&gt;&amp;1</w:t>
      </w:r>
    </w:p>
    <w:p>
      <w:pPr>
        <w:pStyle w:val="ListBullet"/>
      </w:pPr>
      <w:r>
        <w:rPr>
          <w:b/>
        </w:rPr>
        <w:t>Restore:</w:t>
      </w:r>
      <w:r>
        <w:t xml:space="preserve"> stop the API (so Flyway/Hibernate cannot write mid-restore), take a fresh</w:t>
      </w:r>
    </w:p>
    <w:p>
      <w:r>
        <w:t xml:space="preserve">  backup of the current state for forensics, then </w:t>
      </w:r>
      <w:r>
        <w:rPr>
          <w:rFonts w:ascii="Consolas" w:hAnsi="Consolas"/>
          <w:color w:val="B03060"/>
          <w:sz w:val="19"/>
        </w:rPr>
        <w:t>infra/prod/restore.sh</w:t>
      </w:r>
      <w:r>
        <w:t xml:space="preserve"> (`pg_restore --clean</w:t>
      </w:r>
    </w:p>
    <w:p>
      <w:r>
        <w:t xml:space="preserve">  --if-exists`, with a confirmation guard). Restart the API and watch the log for the Flyway</w:t>
      </w:r>
    </w:p>
    <w:p>
      <w:r>
        <w:t xml:space="preserve">  validate result.</w:t>
      </w:r>
    </w:p>
    <w:p>
      <w:pPr>
        <w:pStyle w:val="ListBullet"/>
      </w:pPr>
      <w:r>
        <w:rPr>
          <w:b/>
        </w:rPr>
        <w:t>Off-host copy:</w:t>
      </w:r>
      <w:r>
        <w:t xml:space="preserve"> the </w:t>
      </w:r>
      <w:r>
        <w:rPr>
          <w:rFonts w:ascii="Consolas" w:hAnsi="Consolas"/>
          <w:color w:val="B03060"/>
          <w:sz w:val="19"/>
        </w:rPr>
        <w:t>/backups</w:t>
      </w:r>
      <w:r>
        <w:t xml:space="preserve"> volume is on the same host as the database — keep at least</w:t>
      </w:r>
    </w:p>
    <w:p>
      <w:r>
        <w:t xml:space="preserve">  one backup off-host (S3, rsync to a second server). If the owner adopts managed Postgres,</w:t>
      </w:r>
    </w:p>
    <w:p>
      <w:r>
        <w:t xml:space="preserve">  rely on the managed snapshot facility and treat these scripts as the self-hosted fallback.</w:t>
      </w:r>
    </w:p>
    <w:p>
      <w:pPr>
        <w:pStyle w:val="Heading2"/>
      </w:pPr>
      <w:r>
        <w:t>7. Observability</w:t>
      </w:r>
    </w:p>
    <w:p>
      <w:pPr>
        <w:pStyle w:val="ListBullet"/>
      </w:pPr>
      <w:r>
        <w:rPr>
          <w:b/>
        </w:rPr>
        <w:t>Health probes</w:t>
      </w:r>
      <w:r>
        <w:t xml:space="preserve"> (ADR-0038 D-4). The actuator exposes </w:t>
      </w:r>
      <w:r>
        <w:rPr>
          <w:rFonts w:ascii="Consolas" w:hAnsi="Consolas"/>
          <w:color w:val="B03060"/>
          <w:sz w:val="19"/>
        </w:rPr>
        <w:t>health,info</w:t>
      </w:r>
      <w:r>
        <w:t xml:space="preserve"> on the main port with a</w:t>
      </w:r>
    </w:p>
    <w:p>
      <w:r>
        <w:t xml:space="preserve">  readiness/liveness split: readiness includes </w:t>
      </w:r>
      <w:r>
        <w:rPr>
          <w:rFonts w:ascii="Consolas" w:hAnsi="Consolas"/>
          <w:color w:val="B03060"/>
          <w:sz w:val="19"/>
        </w:rPr>
        <w:t>db</w:t>
      </w:r>
      <w:r>
        <w:t xml:space="preserve"> + </w:t>
      </w:r>
      <w:r>
        <w:rPr>
          <w:rFonts w:ascii="Consolas" w:hAnsi="Consolas"/>
          <w:color w:val="B03060"/>
          <w:sz w:val="19"/>
        </w:rPr>
        <w:t>diskSpace</w:t>
      </w:r>
      <w:r>
        <w:t xml:space="preserve">; liveness is </w:t>
      </w:r>
      <w:r>
        <w:rPr>
          <w:rFonts w:ascii="Consolas" w:hAnsi="Consolas"/>
          <w:color w:val="B03060"/>
          <w:sz w:val="19"/>
        </w:rPr>
        <w:t>ping</w:t>
      </w:r>
      <w:r>
        <w:t>. The</w:t>
      </w:r>
    </w:p>
    <w:p>
      <w:r>
        <w:t xml:space="preserve">  container </w:t>
      </w:r>
      <w:r>
        <w:rPr>
          <w:rFonts w:ascii="Consolas" w:hAnsi="Consolas"/>
          <w:color w:val="B03060"/>
          <w:sz w:val="19"/>
        </w:rPr>
        <w:t>HEALTHCHECK</w:t>
      </w:r>
      <w:r>
        <w:t xml:space="preserve"> targets </w:t>
      </w:r>
      <w:r>
        <w:rPr>
          <w:rFonts w:ascii="Consolas" w:hAnsi="Consolas"/>
          <w:color w:val="B03060"/>
          <w:sz w:val="19"/>
        </w:rPr>
        <w:t>/actuator/health/liveness</w:t>
      </w:r>
      <w:r>
        <w:t xml:space="preserve"> on 8081 (a DB outage should not</w:t>
      </w:r>
    </w:p>
    <w:p>
      <w:r>
        <w:t xml:space="preserve">  trigger a container restart — that is the orchestrator's concern via </w:t>
      </w:r>
      <w:r>
        <w:rPr>
          <w:rFonts w:ascii="Consolas" w:hAnsi="Consolas"/>
          <w:color w:val="B03060"/>
          <w:sz w:val="19"/>
        </w:rPr>
        <w:t>depends_on</w:t>
      </w:r>
      <w:r>
        <w:t>); the</w:t>
      </w:r>
    </w:p>
    <w:p>
      <w:r>
        <w:t xml:space="preserve">  compose </w:t>
      </w:r>
      <w:r>
        <w:rPr>
          <w:rFonts w:ascii="Consolas" w:hAnsi="Consolas"/>
          <w:color w:val="B03060"/>
          <w:sz w:val="19"/>
        </w:rPr>
        <w:t>api</w:t>
      </w:r>
      <w:r>
        <w:t xml:space="preserve"> healthcheck polls </w:t>
      </w:r>
      <w:r>
        <w:rPr>
          <w:rFonts w:ascii="Consolas" w:hAnsi="Consolas"/>
          <w:color w:val="B03060"/>
          <w:sz w:val="19"/>
        </w:rPr>
        <w:t>/actuator/health/readiness</w:t>
      </w:r>
      <w:r>
        <w:t xml:space="preserve">. </w:t>
      </w:r>
      <w:r>
        <w:rPr>
          <w:rFonts w:ascii="Consolas" w:hAnsi="Consolas"/>
          <w:color w:val="B03060"/>
          <w:sz w:val="19"/>
        </w:rPr>
        <w:t>start-period</w:t>
      </w:r>
      <w:r>
        <w:t xml:space="preserve"> allows for</w:t>
      </w:r>
    </w:p>
    <w:p>
      <w:r>
        <w:t xml:space="preserve">  Flyway migration time at startup.</w:t>
      </w:r>
    </w:p>
    <w:p>
      <w:pPr>
        <w:pStyle w:val="ListBullet"/>
      </w:pPr>
      <w:r>
        <w:rPr>
          <w:b/>
        </w:rPr>
        <w:t>Metrics</w:t>
      </w:r>
      <w:r>
        <w:t xml:space="preserve"> (ADR-0038 D-5). Micrometer + Prometheus exposes </w:t>
      </w:r>
      <w:r>
        <w:rPr>
          <w:rFonts w:ascii="Consolas" w:hAnsi="Consolas"/>
          <w:color w:val="B03060"/>
          <w:sz w:val="19"/>
        </w:rPr>
        <w:t>/actuator/prometheus</w:t>
      </w:r>
      <w:r>
        <w:t xml:space="preserve"> on a</w:t>
      </w:r>
    </w:p>
    <w:p>
      <w:r>
        <w:t xml:space="preserve">  </w:t>
      </w:r>
      <w:r>
        <w:rPr>
          <w:b/>
        </w:rPr>
        <w:t>separate management port 9090</w:t>
      </w:r>
      <w:r>
        <w:t>, reachable only on the internal container network — never</w:t>
      </w:r>
    </w:p>
    <w:p>
      <w:r>
        <w:t xml:space="preserve">  bound to the host edge — so metrics (memory, bean names, tenant counts) are not exposed</w:t>
      </w:r>
    </w:p>
    <w:p>
      <w:r>
        <w:t xml:space="preserve">  unauthenticated over the public port. Custom metrics include outbox dispatch + FAILED-event</w:t>
      </w:r>
    </w:p>
    <w:p>
      <w:r>
        <w:t xml:space="preserve">  counters (tagged by bounded </w:t>
      </w:r>
      <w:r>
        <w:rPr>
          <w:rFonts w:ascii="Consolas" w:hAnsi="Consolas"/>
          <w:color w:val="B03060"/>
          <w:sz w:val="19"/>
        </w:rPr>
        <w:t>event_type</w:t>
      </w:r>
      <w:r>
        <w:t>, so a poison-event loop is immediately visible) and</w:t>
      </w:r>
    </w:p>
    <w:p>
      <w:r>
        <w:t xml:space="preserve">  Hikari pool saturation; JVM, GC, and HTTP timing metrics come free.</w:t>
      </w:r>
    </w:p>
    <w:p>
      <w:pPr>
        <w:pStyle w:val="ListBullet"/>
      </w:pPr>
      <w:r>
        <w:rPr>
          <w:b/>
        </w:rPr>
        <w:t>Structured logging</w:t>
      </w:r>
      <w:r>
        <w:t xml:space="preserve"> (ADR-0038 D-3). The </w:t>
      </w:r>
      <w:r>
        <w:rPr>
          <w:rFonts w:ascii="Consolas" w:hAnsi="Consolas"/>
          <w:color w:val="B03060"/>
          <w:sz w:val="19"/>
        </w:rPr>
        <w:t>prod</w:t>
      </w:r>
      <w:r>
        <w:t xml:space="preserve"> profile emits </w:t>
      </w:r>
      <w:r>
        <w:rPr>
          <w:b/>
        </w:rPr>
        <w:t>JSON to stdout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logstash-logback-encoder</w:t>
      </w:r>
      <w:r>
        <w:t>), 12-factor-compliant and ingestible by any aggregator; dev/test</w:t>
      </w:r>
    </w:p>
    <w:p>
      <w:r>
        <w:t xml:space="preserve">  use a plain-text pattern. Both include the MDC fields.</w:t>
      </w:r>
    </w:p>
    <w:p>
      <w:pPr>
        <w:pStyle w:val="ListBullet"/>
      </w:pPr>
      <w:r>
        <w:rPr>
          <w:b/>
        </w:rPr>
        <w:t>Correlation id</w:t>
      </w:r>
      <w:r>
        <w:t xml:space="preserve"> (ADR-0038 D-2). </w:t>
      </w:r>
      <w:r>
        <w:rPr>
          <w:rFonts w:ascii="Consolas" w:hAnsi="Consolas"/>
          <w:color w:val="B03060"/>
          <w:sz w:val="19"/>
        </w:rPr>
        <w:t>JwtRequestContextFilter</w:t>
      </w:r>
      <w:r>
        <w:t xml:space="preserve"> puts </w:t>
      </w:r>
      <w:r>
        <w:rPr>
          <w:rFonts w:ascii="Consolas" w:hAnsi="Consolas"/>
          <w:color w:val="B03060"/>
          <w:sz w:val="19"/>
        </w:rPr>
        <w:t>requestId</w:t>
      </w:r>
      <w:r>
        <w:t xml:space="preserve">, </w:t>
      </w:r>
      <w:r>
        <w:rPr>
          <w:rFonts w:ascii="Consolas" w:hAnsi="Consolas"/>
          <w:color w:val="B03060"/>
          <w:sz w:val="19"/>
        </w:rPr>
        <w:t>userId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username</w:t>
      </w:r>
      <w:r>
        <w:t xml:space="preserve">, </w:t>
      </w:r>
      <w:r>
        <w:rPr>
          <w:rFonts w:ascii="Consolas" w:hAnsi="Consolas"/>
          <w:color w:val="B03060"/>
          <w:sz w:val="19"/>
        </w:rPr>
        <w:t>companyId</w:t>
      </w:r>
      <w:r>
        <w:t xml:space="preserve">, and </w:t>
      </w:r>
      <w:r>
        <w:rPr>
          <w:rFonts w:ascii="Consolas" w:hAnsi="Consolas"/>
          <w:color w:val="B03060"/>
          <w:sz w:val="19"/>
        </w:rPr>
        <w:t>branchId</w:t>
      </w:r>
      <w:r>
        <w:t xml:space="preserve"> into the SLF4J MDC, so every log line is traceable to</w:t>
      </w:r>
    </w:p>
    <w:p>
      <w:r>
        <w:t xml:space="preserve">  a request and tenant. The </w:t>
      </w:r>
      <w:r>
        <w:rPr>
          <w:rFonts w:ascii="Consolas" w:hAnsi="Consolas"/>
          <w:color w:val="B03060"/>
          <w:sz w:val="19"/>
        </w:rPr>
        <w:t>requestId</w:t>
      </w:r>
      <w:r>
        <w:t xml:space="preserve"> is taken from an inbound </w:t>
      </w:r>
      <w:r>
        <w:rPr>
          <w:rFonts w:ascii="Consolas" w:hAnsi="Consolas"/>
          <w:color w:val="B03060"/>
          <w:sz w:val="19"/>
        </w:rPr>
        <w:t>X-Request-Id</w:t>
      </w:r>
      <w:r>
        <w:t xml:space="preserve"> (or generated)</w:t>
      </w:r>
    </w:p>
    <w:p>
      <w:r>
        <w:t xml:space="preserve">  and echoed in the response header. MDC is cleared per request. Known limitation: async outbox</w:t>
      </w:r>
    </w:p>
    <w:p>
      <w:r>
        <w:t xml:space="preserve">  / scheduled handlers run on different threads and do not inherit the MDC.</w:t>
      </w:r>
    </w:p>
    <w:p>
      <w:pPr>
        <w:pStyle w:val="ListBullet"/>
      </w:pPr>
      <w:r>
        <w:rPr>
          <w:b/>
        </w:rPr>
        <w:t>Exception logging</w:t>
      </w:r>
      <w:r>
        <w:t xml:space="preserve"> (ADR-0038 D-1). Unexpected 500s are logged with the full stack trace</w:t>
      </w:r>
    </w:p>
    <w:p>
      <w:r>
        <w:t xml:space="preserve">  server-side; the client still receives only </w:t>
      </w:r>
      <w:r>
        <w:rPr>
          <w:rFonts w:ascii="Consolas" w:hAnsi="Consolas"/>
          <w:color w:val="B03060"/>
          <w:sz w:val="19"/>
        </w:rPr>
        <w:t>"An unexpected error occurred."</w:t>
      </w:r>
      <w:r>
        <w:t>. Filter-level</w:t>
      </w:r>
    </w:p>
    <w:p>
      <w:r>
        <w:t xml:space="preserve">  401/403 denials are normal flow and are not logged as errors.</w:t>
      </w:r>
    </w:p>
    <w:p>
      <w:pPr>
        <w:pStyle w:val="Heading2"/>
      </w:pPr>
      <w:r>
        <w:t>8. Continuous integration</w:t>
      </w:r>
    </w:p>
    <w:p>
      <w:r>
        <w:t xml:space="preserve">Two GitHub Actions workflows under </w:t>
      </w:r>
      <w:r>
        <w:rPr>
          <w:rFonts w:ascii="Consolas" w:hAnsi="Consolas"/>
          <w:color w:val="B03060"/>
          <w:sz w:val="19"/>
        </w:rPr>
        <w:t>.github/workflows</w:t>
      </w:r>
      <w:r>
        <w:t>, both triggered on push to</w:t>
      </w:r>
    </w:p>
    <w:p>
      <w:r>
        <w:rPr>
          <w:rFonts w:ascii="Consolas" w:hAnsi="Consolas"/>
          <w:color w:val="B03060"/>
          <w:sz w:val="19"/>
        </w:rPr>
        <w:t>main</w:t>
      </w:r>
      <w:r>
        <w:t>/</w:t>
      </w:r>
      <w:r>
        <w:rPr>
          <w:rFonts w:ascii="Consolas" w:hAnsi="Consolas"/>
          <w:color w:val="B03060"/>
          <w:sz w:val="19"/>
        </w:rPr>
        <w:t>develop</w:t>
      </w:r>
      <w:r>
        <w:t>/</w:t>
      </w:r>
      <w:r>
        <w:rPr>
          <w:rFonts w:ascii="Consolas" w:hAnsi="Consolas"/>
          <w:color w:val="B03060"/>
          <w:sz w:val="19"/>
        </w:rPr>
        <w:t>feat/**</w:t>
      </w:r>
      <w:r>
        <w:t xml:space="preserve"> and on PRs to </w:t>
      </w:r>
      <w:r>
        <w:rPr>
          <w:rFonts w:ascii="Consolas" w:hAnsi="Consolas"/>
          <w:color w:val="B03060"/>
          <w:sz w:val="19"/>
        </w:rPr>
        <w:t>main</w:t>
      </w:r>
      <w:r>
        <w:t>/</w:t>
      </w:r>
      <w:r>
        <w:rPr>
          <w:rFonts w:ascii="Consolas" w:hAnsi="Consolas"/>
          <w:color w:val="B03060"/>
          <w:sz w:val="19"/>
        </w:rPr>
        <w:t>develop</w:t>
      </w:r>
      <w:r>
        <w:t>.</w:t>
      </w:r>
    </w:p>
    <w:p>
      <w:pPr>
        <w:pStyle w:val="Heading3"/>
      </w:pPr>
      <w:r>
        <w:t>8.1 Backend CI — `backend-ci.yml` (ADR-0038 D-8)</w:t>
      </w:r>
    </w:p>
    <w:p>
      <w:pPr>
        <w:pStyle w:val="ListBullet"/>
      </w:pPr>
      <w:r>
        <w:rPr>
          <w:b/>
        </w:rPr>
        <w:t>`fast-check` (REQUIRED):</w:t>
      </w:r>
      <w:r>
        <w:t xml:space="preserve"> </w:t>
      </w:r>
      <w:r>
        <w:rPr>
          <w:rFonts w:ascii="Consolas" w:hAnsi="Consolas"/>
          <w:color w:val="B03060"/>
          <w:sz w:val="19"/>
        </w:rPr>
        <w:t>mvn -B -ntp clean test</w:t>
      </w:r>
      <w:r>
        <w:t xml:space="preserve"> — compile + surefire unit tests +</w:t>
      </w:r>
    </w:p>
    <w:p>
      <w:r>
        <w:t xml:space="preserve">  ArchUnit gates (</w:t>
      </w:r>
      <w:r>
        <w:rPr>
          <w:rFonts w:ascii="Consolas" w:hAnsi="Consolas"/>
          <w:color w:val="B03060"/>
          <w:sz w:val="19"/>
        </w:rPr>
        <w:t>ModuleBoundaryTest</w:t>
      </w:r>
      <w:r>
        <w:t xml:space="preserve">, </w:t>
      </w:r>
      <w:r>
        <w:rPr>
          <w:rFonts w:ascii="Consolas" w:hAnsi="Consolas"/>
          <w:color w:val="B03060"/>
          <w:sz w:val="19"/>
        </w:rPr>
        <w:t>EndpointAuthorizationTest</w:t>
      </w:r>
      <w:r>
        <w:t>). No Docker; fast (~2–3</w:t>
      </w:r>
    </w:p>
    <w:p>
      <w:r>
        <w:t xml:space="preserve">  min). This is the PR gate, so RBAC-gate and module-boundary regressions are caught</w:t>
      </w:r>
    </w:p>
    <w:p>
      <w:r>
        <w:t xml:space="preserve">  immediately.</w:t>
      </w:r>
    </w:p>
    <w:p>
      <w:pPr>
        <w:pStyle w:val="ListBullet"/>
      </w:pPr>
      <w:r>
        <w:rPr>
          <w:b/>
        </w:rPr>
        <w:t>`integration-test` (observe-only):</w:t>
      </w:r>
      <w:r>
        <w:t xml:space="preserve"> </w:t>
      </w:r>
      <w:r>
        <w:rPr>
          <w:rFonts w:ascii="Consolas" w:hAnsi="Consolas"/>
          <w:color w:val="B03060"/>
          <w:sz w:val="19"/>
        </w:rPr>
        <w:t>mvn -B -ntp clean verify</w:t>
      </w:r>
      <w:r>
        <w:t xml:space="preserve"> — the full ~98 Testcontainers</w:t>
      </w:r>
    </w:p>
    <w:p>
      <w:r>
        <w:t xml:space="preserve">  Postgres integration tests on a Linux runner (</w:t>
      </w:r>
      <w:r>
        <w:rPr>
          <w:rFonts w:ascii="Consolas" w:hAnsi="Consolas"/>
          <w:color w:val="B03060"/>
          <w:sz w:val="19"/>
        </w:rPr>
        <w:t>TESTCONTAINERS_RYUK_DISABLED=true</w:t>
      </w:r>
      <w:r>
        <w:t>, singleton</w:t>
      </w:r>
    </w:p>
    <w:p>
      <w:r>
        <w:t xml:space="preserve">  container). Marked </w:t>
      </w:r>
      <w:r>
        <w:rPr>
          <w:rFonts w:ascii="Consolas" w:hAnsi="Consolas"/>
          <w:color w:val="B03060"/>
          <w:sz w:val="19"/>
        </w:rPr>
        <w:t>continue-on-error: true</w:t>
      </w:r>
      <w:r>
        <w:t xml:space="preserve"> until proven stable across 5+ runs, then promoted</w:t>
      </w:r>
    </w:p>
    <w:p>
      <w:r>
        <w:t xml:space="preserve">  to required. </w:t>
      </w:r>
      <w:r>
        <w:rPr>
          <w:rFonts w:ascii="Consolas" w:hAnsi="Consolas"/>
          <w:color w:val="B03060"/>
          <w:sz w:val="19"/>
        </w:rPr>
        <w:t>clean</w:t>
      </w:r>
      <w:r>
        <w:t xml:space="preserve"> is deliberate — an incremental compile gave a false green in a prior wave.</w:t>
      </w:r>
    </w:p>
    <w:p>
      <w:r>
        <w:t xml:space="preserve">  Failsafe reports are uploaded on failure.</w:t>
      </w:r>
    </w:p>
    <w:p>
      <w:pPr>
        <w:pStyle w:val="Heading3"/>
      </w:pPr>
      <w:r>
        <w:t>8.2 Web CI — `web-ci.yml`</w:t>
      </w:r>
    </w:p>
    <w:p>
      <w:pPr>
        <w:pStyle w:val="ListBullet"/>
      </w:pPr>
      <w:r>
        <w:rPr>
          <w:b/>
        </w:rPr>
        <w:t>`build-and-test`:</w:t>
      </w:r>
      <w:r>
        <w:t xml:space="preserve"> </w:t>
      </w:r>
      <w:r>
        <w:rPr>
          <w:rFonts w:ascii="Consolas" w:hAnsi="Consolas"/>
          <w:color w:val="B03060"/>
          <w:sz w:val="19"/>
        </w:rPr>
        <w:t>npm ci</w:t>
      </w:r>
      <w:r>
        <w:t xml:space="preserve"> → </w:t>
      </w:r>
      <w:r>
        <w:rPr>
          <w:rFonts w:ascii="Consolas" w:hAnsi="Consolas"/>
          <w:color w:val="B03060"/>
          <w:sz w:val="19"/>
        </w:rPr>
        <w:t>npm run build</w:t>
      </w:r>
      <w:r>
        <w:t xml:space="preserve"> (production, must be zero errors) →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npm test</w:t>
      </w:r>
      <w:r>
        <w:t xml:space="preserve"> (Vitest unit specs including the axe a11y gate) → `npm audit --omit=dev</w:t>
      </w:r>
    </w:p>
    <w:p>
      <w:r>
        <w:t xml:space="preserve">  --audit-level=high` (CVSS-7+ gate, mirroring the Maven threshold).</w:t>
      </w:r>
    </w:p>
    <w:p>
      <w:pPr>
        <w:pStyle w:val="ListBullet"/>
      </w:pPr>
      <w:r>
        <w:rPr>
          <w:b/>
        </w:rPr>
        <w:t>`e2e` (manual):</w:t>
      </w:r>
      <w:r>
        <w:t xml:space="preserve"> Playwright is wired but not auto-triggered (</w:t>
      </w:r>
      <w:r>
        <w:rPr>
          <w:rFonts w:ascii="Consolas" w:hAnsi="Consolas"/>
          <w:color w:val="B03060"/>
          <w:sz w:val="19"/>
        </w:rPr>
        <w:t>if: false</w:t>
      </w:r>
      <w:r>
        <w:t>) — it needs a</w:t>
      </w:r>
    </w:p>
    <w:p>
      <w:r>
        <w:t xml:space="preserve">  running backend; run it via </w:t>
      </w:r>
      <w:r>
        <w:rPr>
          <w:rFonts w:ascii="Consolas" w:hAnsi="Consolas"/>
          <w:color w:val="B03060"/>
          <w:sz w:val="19"/>
        </w:rPr>
        <w:t>workflow_dispatch</w:t>
      </w:r>
      <w:r>
        <w:t xml:space="preserve"> or locally.</w:t>
      </w:r>
    </w:p>
    <w:p>
      <w:r>
        <w:t>The identity-discipline static gate (</w:t>
      </w:r>
      <w:r>
        <w:rPr>
          <w:rFonts w:ascii="Consolas" w:hAnsi="Consolas"/>
          <w:color w:val="B03060"/>
          <w:sz w:val="19"/>
        </w:rPr>
        <w:t>npm run c1</w:t>
      </w:r>
      <w:r>
        <w:t>) and the full testing pyramid are described</w:t>
      </w:r>
    </w:p>
    <w:p>
      <w:r>
        <w:t>in [07-testing.md](07-testing.md). The dependency-CVE runbook (OWASP dependency-check,</w:t>
      </w:r>
    </w:p>
    <w:p>
      <w:r>
        <w:t>Dependabot, the fenced weekly scan) is in [docs/ops/security-sweep.md](../ops/security-sweep.md).</w:t>
      </w:r>
    </w:p>
    <w:p>
      <w:r>
        <w:br/>
      </w:r>
    </w:p>
    <w:p>
      <w:pPr>
        <w:pStyle w:val="Heading1"/>
      </w:pPr>
      <w:r>
        <w:t>Engineering Conventions</w:t>
      </w:r>
    </w:p>
    <w:p>
      <w:r>
        <w:t>These are the invariants every contributor follows. They are the substrate the whole system</w:t>
      </w:r>
    </w:p>
    <w:p>
      <w:r>
        <w:t>rests on; breaking one is a defect, not a style choice. The authoritative sources are</w:t>
      </w:r>
    </w:p>
    <w:p>
      <w:r>
        <w:t>[PROJECT-CONVENTIONS.md](../../PROJECT-CONVENTIONS.md) (stack + backend discipline) and</w:t>
      </w:r>
    </w:p>
    <w:p>
      <w:r>
        <w:t>[docs/frontend/CONVENTIONS.md](../frontend/CONVENTIONS.md) (Angular). This document summarises</w:t>
      </w:r>
    </w:p>
    <w:p>
      <w:r>
        <w:t>both and the cross-cutting C-series conventions (C1–C9) used as automated gates.</w:t>
      </w:r>
    </w:p>
    <w:p>
      <w:pPr>
        <w:pStyle w:val="Heading2"/>
      </w:pPr>
      <w:r>
        <w:t>1. The fixed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Spring Boot 3.3 · Java 21 · Maven · Hibernate 6 · Flyway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PostgreSQL 15+</w:t>
            </w:r>
            <w:r>
              <w:t xml:space="preserve"> (single engine — not DB-agnostic)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Angular 21 · standalone components (no NgModules) · TypeScript strict · signals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In-house JWT (RS256), refresh-token rotation, RBAC by permission</w:t>
            </w:r>
          </w:p>
        </w:tc>
      </w:tr>
    </w:tbl>
    <w:p/>
    <w:p>
      <w:r>
        <w:t xml:space="preserve">PostgreSQL is deliberate, not incidental: use </w:t>
      </w:r>
      <w:r>
        <w:rPr>
          <w:rFonts w:ascii="Consolas" w:hAnsi="Consolas"/>
          <w:color w:val="B03060"/>
          <w:sz w:val="19"/>
        </w:rPr>
        <w:t>JSONB</w:t>
      </w:r>
      <w:r>
        <w:t xml:space="preserve"> for audit payloads and flexible</w:t>
      </w:r>
    </w:p>
    <w:p>
      <w:r>
        <w:t xml:space="preserve">attributes, </w:t>
      </w:r>
      <w:r>
        <w:rPr>
          <w:rFonts w:ascii="Consolas" w:hAnsi="Consolas"/>
          <w:color w:val="B03060"/>
          <w:sz w:val="19"/>
        </w:rPr>
        <w:t>BIGINT GENERATED ... AS IDENTITY</w:t>
      </w:r>
      <w:r>
        <w:t xml:space="preserve"> or sequences for keys, partial/expression</w:t>
      </w:r>
    </w:p>
    <w:p>
      <w:r>
        <w:t xml:space="preserve">indexes, </w:t>
      </w:r>
      <w:r>
        <w:rPr>
          <w:rFonts w:ascii="Consolas" w:hAnsi="Consolas"/>
          <w:color w:val="B03060"/>
          <w:sz w:val="19"/>
        </w:rPr>
        <w:t>gen_random_uuid()</w:t>
      </w:r>
      <w:r>
        <w:t>. Prefer the boring, well-understood Postgres feature. JPQL /</w:t>
      </w:r>
    </w:p>
    <w:p>
      <w:r>
        <w:rPr>
          <w:rFonts w:ascii="Consolas" w:hAnsi="Consolas"/>
          <w:color w:val="B03060"/>
          <w:sz w:val="19"/>
        </w:rPr>
        <w:t>CriteriaBuilder</w:t>
      </w:r>
      <w:r>
        <w:t xml:space="preserve"> for normal queries; native SQL only for reports and bulk paths, kept behind</w:t>
      </w:r>
    </w:p>
    <w:p>
      <w:r>
        <w:t>clearly-named repository methods.</w:t>
      </w:r>
    </w:p>
    <w:p>
      <w:pPr>
        <w:pStyle w:val="Heading2"/>
      </w:pPr>
      <w:r>
        <w:t>2. Backend layout — modular monolith</w:t>
      </w:r>
    </w:p>
    <w:p>
      <w:r>
        <w:t xml:space="preserve">Base package </w:t>
      </w:r>
      <w:r>
        <w:rPr>
          <w:rFonts w:ascii="Consolas" w:hAnsi="Consolas"/>
          <w:color w:val="B03060"/>
          <w:sz w:val="19"/>
        </w:rPr>
        <w:t>com.erp</w:t>
      </w:r>
      <w:r>
        <w:t xml:space="preserve">. Boundaries are enforced by </w:t>
      </w:r>
      <w:r>
        <w:rPr>
          <w:rFonts w:ascii="Consolas" w:hAnsi="Consolas"/>
          <w:color w:val="B03060"/>
          <w:sz w:val="19"/>
        </w:rPr>
        <w:t>ModuleBoundaryTest</w:t>
      </w:r>
      <w:r>
        <w:t xml:space="preserve"> (ArchUnit), not by</w:t>
      </w:r>
    </w:p>
    <w:p>
      <w:r>
        <w:t>convention alone.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com.erp.api..</w:t>
      </w:r>
      <w:r>
        <w:t xml:space="preserve"> — REST controllers, flat, one per resource.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com.erp.modules.&lt;name&gt;..</w:t>
      </w:r>
      <w:r>
        <w:t xml:space="preserve"> — </w:t>
      </w:r>
      <w:r>
        <w:rPr>
          <w:rFonts w:ascii="Consolas" w:hAnsi="Consolas"/>
          <w:color w:val="B03060"/>
          <w:sz w:val="19"/>
        </w:rPr>
        <w:t>domain</w:t>
      </w:r>
      <w:r>
        <w:t xml:space="preserve"> (</w:t>
      </w:r>
      <w:r>
        <w:rPr>
          <w:rFonts w:ascii="Consolas" w:hAnsi="Consolas"/>
          <w:color w:val="B03060"/>
          <w:sz w:val="19"/>
        </w:rPr>
        <w:t>entity</w:t>
      </w:r>
      <w:r>
        <w:t xml:space="preserve"> / </w:t>
      </w:r>
      <w:r>
        <w:rPr>
          <w:rFonts w:ascii="Consolas" w:hAnsi="Consolas"/>
          <w:color w:val="B03060"/>
          <w:sz w:val="19"/>
        </w:rPr>
        <w:t>dto</w:t>
      </w:r>
      <w:r>
        <w:t xml:space="preserve"> / </w:t>
      </w:r>
      <w:r>
        <w:rPr>
          <w:rFonts w:ascii="Consolas" w:hAnsi="Consolas"/>
          <w:color w:val="B03060"/>
          <w:sz w:val="19"/>
        </w:rPr>
        <w:t>enums</w:t>
      </w:r>
      <w:r>
        <w:t xml:space="preserve"> / </w:t>
      </w:r>
      <w:r>
        <w:rPr>
          <w:rFonts w:ascii="Consolas" w:hAnsi="Consolas"/>
          <w:color w:val="B03060"/>
          <w:sz w:val="19"/>
        </w:rPr>
        <w:t>event</w:t>
      </w:r>
      <w:r>
        <w:t xml:space="preserve">), </w:t>
      </w:r>
      <w:r>
        <w:rPr>
          <w:rFonts w:ascii="Consolas" w:hAnsi="Consolas"/>
          <w:color w:val="B03060"/>
          <w:sz w:val="19"/>
        </w:rPr>
        <w:t>service</w:t>
      </w:r>
    </w:p>
    <w:p>
      <w:r>
        <w:t xml:space="preserve">  (interface </w:t>
      </w:r>
      <w:r>
        <w:rPr>
          <w:rFonts w:ascii="Consolas" w:hAnsi="Consolas"/>
          <w:color w:val="B03060"/>
          <w:sz w:val="19"/>
        </w:rPr>
        <w:t>Xxx</w:t>
      </w:r>
      <w:r>
        <w:t xml:space="preserve"> + class </w:t>
      </w:r>
      <w:r>
        <w:rPr>
          <w:rFonts w:ascii="Consolas" w:hAnsi="Consolas"/>
          <w:color w:val="B03060"/>
          <w:sz w:val="19"/>
        </w:rPr>
        <w:t>XxxImpl</w:t>
      </w:r>
      <w:r>
        <w:t xml:space="preserve">, </w:t>
      </w:r>
      <w:r>
        <w:rPr>
          <w:rFonts w:ascii="Consolas" w:hAnsi="Consolas"/>
          <w:color w:val="B03060"/>
          <w:sz w:val="19"/>
        </w:rPr>
        <w:t>@Transactional</w:t>
      </w:r>
      <w:r>
        <w:t xml:space="preserve"> at public methods), </w:t>
      </w:r>
      <w:r>
        <w:rPr>
          <w:rFonts w:ascii="Consolas" w:hAnsi="Consolas"/>
          <w:color w:val="B03060"/>
          <w:sz w:val="19"/>
        </w:rPr>
        <w:t>repository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com.erp.platform..</w:t>
      </w:r>
      <w:r>
        <w:t xml:space="preserve"> — cross-cutting spine: </w:t>
      </w:r>
      <w:r>
        <w:rPr>
          <w:rFonts w:ascii="Consolas" w:hAnsi="Consolas"/>
          <w:color w:val="B03060"/>
          <w:sz w:val="19"/>
        </w:rPr>
        <w:t>security</w:t>
      </w:r>
      <w:r>
        <w:t xml:space="preserve">, </w:t>
      </w:r>
      <w:r>
        <w:rPr>
          <w:rFonts w:ascii="Consolas" w:hAnsi="Consolas"/>
          <w:color w:val="B03060"/>
          <w:sz w:val="19"/>
        </w:rPr>
        <w:t>iam</w:t>
      </w:r>
      <w:r>
        <w:t xml:space="preserve">, </w:t>
      </w:r>
      <w:r>
        <w:rPr>
          <w:rFonts w:ascii="Consolas" w:hAnsi="Consolas"/>
          <w:color w:val="B03060"/>
          <w:sz w:val="19"/>
        </w:rPr>
        <w:t>company</w:t>
      </w:r>
      <w:r>
        <w:t xml:space="preserve">, </w:t>
      </w:r>
      <w:r>
        <w:rPr>
          <w:rFonts w:ascii="Consolas" w:hAnsi="Consolas"/>
          <w:color w:val="B03060"/>
          <w:sz w:val="19"/>
        </w:rPr>
        <w:t>audit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sequence</w:t>
      </w:r>
      <w:r>
        <w:t xml:space="preserve">, </w:t>
      </w:r>
      <w:r>
        <w:rPr>
          <w:rFonts w:ascii="Consolas" w:hAnsi="Consolas"/>
          <w:color w:val="B03060"/>
          <w:sz w:val="19"/>
        </w:rPr>
        <w:t>events</w:t>
      </w:r>
      <w:r>
        <w:t xml:space="preserve">, </w:t>
      </w:r>
      <w:r>
        <w:rPr>
          <w:rFonts w:ascii="Consolas" w:hAnsi="Consolas"/>
          <w:color w:val="B03060"/>
          <w:sz w:val="19"/>
        </w:rPr>
        <w:t>common</w:t>
      </w:r>
      <w:r>
        <w:t>.</w:t>
      </w:r>
    </w:p>
    <w:p>
      <w:r>
        <w:rPr>
          <w:b/>
        </w:rPr>
        <w:t>Layering (enforced):</w:t>
      </w:r>
      <w:r>
        <w:t xml:space="preserve"> controller → service → repository → domain. Controllers may </w:t>
      </w:r>
      <w:r>
        <w:rPr>
          <w:b/>
        </w:rPr>
        <w:t>not</w:t>
      </w:r>
    </w:p>
    <w:p>
      <w:r>
        <w:t xml:space="preserve">touch repositories. Modules communicate only via </w:t>
      </w:r>
      <w:r>
        <w:rPr>
          <w:rFonts w:ascii="Consolas" w:hAnsi="Consolas"/>
          <w:color w:val="B03060"/>
          <w:sz w:val="19"/>
        </w:rPr>
        <w:t>..domain.dto..</w:t>
      </w:r>
      <w:r>
        <w:t xml:space="preserve"> / </w:t>
      </w:r>
      <w:r>
        <w:rPr>
          <w:rFonts w:ascii="Consolas" w:hAnsi="Consolas"/>
          <w:color w:val="B03060"/>
          <w:sz w:val="19"/>
        </w:rPr>
        <w:t>..domain.enums..</w:t>
      </w:r>
      <w:r>
        <w:t xml:space="preserve"> and the</w:t>
      </w:r>
    </w:p>
    <w:p>
      <w:r>
        <w:t>outbox — never by importing another module's entity or service. If a needed dependency breaks</w:t>
      </w:r>
    </w:p>
    <w:p>
      <w:r>
        <w:t>the rule, the design is wrong; fix it. A rule change needs an ADR. The platform security/audit</w:t>
      </w:r>
    </w:p>
    <w:p>
      <w:r>
        <w:t xml:space="preserve">spine is the one allowed cross-module importer of IAM repositories (e.g. </w:t>
      </w:r>
      <w:r>
        <w:rPr>
          <w:rFonts w:ascii="Consolas" w:hAnsi="Consolas"/>
          <w:color w:val="B03060"/>
          <w:sz w:val="19"/>
        </w:rPr>
        <w:t>PermissionResolver</w:t>
      </w:r>
      <w:r>
        <w:t>,</w:t>
      </w:r>
    </w:p>
    <w:p>
      <w:r>
        <w:rPr>
          <w:rFonts w:ascii="Consolas" w:hAnsi="Consolas"/>
          <w:color w:val="B03060"/>
          <w:sz w:val="19"/>
        </w:rPr>
        <w:t>ScopeGuard</w:t>
      </w:r>
      <w:r>
        <w:t>) — an explicit, documented exception.</w:t>
      </w:r>
    </w:p>
    <w:p>
      <w:pPr>
        <w:pStyle w:val="Heading2"/>
      </w:pPr>
      <w:r>
        <w:t>3. The `ApiResponse&lt;T&gt;` envelope (C2)</w:t>
      </w:r>
    </w:p>
    <w:p>
      <w:r>
        <w:t xml:space="preserve">Every REST response is wrapped in </w:t>
      </w:r>
      <w:r>
        <w:rPr>
          <w:rFonts w:ascii="Consolas" w:hAnsi="Consolas"/>
          <w:color w:val="B03060"/>
          <w:sz w:val="19"/>
        </w:rPr>
        <w:t>ApiResponse&lt;T&gt;</w:t>
      </w:r>
      <w:r>
        <w:t xml:space="preserve"> (</w:t>
      </w:r>
      <w:r>
        <w:rPr>
          <w:rFonts w:ascii="Consolas" w:hAnsi="Consolas"/>
          <w:color w:val="B03060"/>
          <w:sz w:val="19"/>
        </w:rPr>
        <w:t>data</w:t>
      </w:r>
      <w:r>
        <w:t xml:space="preserve">, </w:t>
      </w:r>
      <w:r>
        <w:rPr>
          <w:rFonts w:ascii="Consolas" w:hAnsi="Consolas"/>
          <w:color w:val="B03060"/>
          <w:sz w:val="19"/>
        </w:rPr>
        <w:t>errors[]</w:t>
      </w:r>
      <w:r>
        <w:t xml:space="preserve">, </w:t>
      </w:r>
      <w:r>
        <w:rPr>
          <w:rFonts w:ascii="Consolas" w:hAnsi="Consolas"/>
          <w:color w:val="B03060"/>
          <w:sz w:val="19"/>
        </w:rPr>
        <w:t>meta</w:t>
      </w:r>
      <w:r>
        <w:t>):</w:t>
      </w:r>
    </w:p>
    <w:p>
      <w:pPr>
        <w:pStyle w:val="ListBullet"/>
      </w:pPr>
      <w:r>
        <w:rPr>
          <w:b/>
        </w:rPr>
        <w:t>Backend:</w:t>
      </w:r>
      <w:r>
        <w:t xml:space="preserve"> controllers return the raw </w:t>
      </w:r>
      <w:r>
        <w:rPr>
          <w:rFonts w:ascii="Consolas" w:hAnsi="Consolas"/>
          <w:color w:val="B03060"/>
          <w:sz w:val="19"/>
        </w:rPr>
        <w:t>T</w:t>
      </w:r>
      <w:r>
        <w:t>; a response interceptor wraps it automatically.</w:t>
      </w:r>
    </w:p>
    <w:p>
      <w:r>
        <w:t xml:space="preserve">  Never leak internal exception text into </w:t>
      </w:r>
      <w:r>
        <w:rPr>
          <w:rFonts w:ascii="Consolas" w:hAnsi="Consolas"/>
          <w:color w:val="B03060"/>
          <w:sz w:val="19"/>
        </w:rPr>
        <w:t>errors[]</w:t>
      </w:r>
      <w:r>
        <w:t xml:space="preserve"> — user-safe strings only.</w:t>
      </w:r>
    </w:p>
    <w:p>
      <w:pPr>
        <w:pStyle w:val="ListBullet"/>
      </w:pPr>
      <w:r>
        <w:rPr>
          <w:b/>
        </w:rPr>
        <w:t>Web:</w:t>
      </w:r>
      <w:r>
        <w:t xml:space="preserve"> an HTTP interceptor (</w:t>
      </w:r>
      <w:r>
        <w:rPr>
          <w:rFonts w:ascii="Consolas" w:hAnsi="Consolas"/>
          <w:color w:val="B03060"/>
          <w:sz w:val="19"/>
        </w:rPr>
        <w:t>apiResponseInterceptor</w:t>
      </w:r>
      <w:r>
        <w:t xml:space="preserve">) </w:t>
      </w:r>
      <w:r>
        <w:rPr>
          <w:b/>
        </w:rPr>
        <w:t>auto-unwraps</w:t>
      </w:r>
      <w:r>
        <w:t xml:space="preserve"> the envelope, so</w:t>
      </w:r>
    </w:p>
    <w:p>
      <w:r>
        <w:t xml:space="preserve">  services and components never see </w:t>
      </w:r>
      <w:r>
        <w:rPr>
          <w:rFonts w:ascii="Consolas" w:hAnsi="Consolas"/>
          <w:color w:val="B03060"/>
          <w:sz w:val="19"/>
        </w:rPr>
        <w:t>ApiResponse&lt;T&gt;</w:t>
      </w:r>
      <w:r>
        <w:t xml:space="preserve"> — a plain </w:t>
      </w:r>
      <w:r>
        <w:rPr>
          <w:rFonts w:ascii="Consolas" w:hAnsi="Consolas"/>
          <w:color w:val="B03060"/>
          <w:sz w:val="19"/>
        </w:rPr>
        <w:t>http.get&lt;T&gt;()</w:t>
      </w:r>
      <w:r>
        <w:t xml:space="preserve"> returns the</w:t>
      </w:r>
    </w:p>
    <w:p>
      <w:r>
        <w:t xml:space="preserve">  unwrapped value.</w:t>
      </w:r>
    </w:p>
    <w:p>
      <w:pPr>
        <w:pStyle w:val="ListBullet"/>
      </w:pPr>
      <w:r>
        <w:rPr>
          <w:b/>
        </w:rPr>
        <w:t>Paginated lists opt OUT</w:t>
      </w:r>
      <w:r>
        <w:t xml:space="preserve"> of unwrapping (set </w:t>
      </w:r>
      <w:r>
        <w:rPr>
          <w:rFonts w:ascii="Consolas" w:hAnsi="Consolas"/>
          <w:color w:val="B03060"/>
          <w:sz w:val="19"/>
        </w:rPr>
        <w:t>SKIP_UNWRAP</w:t>
      </w:r>
      <w:r>
        <w:t xml:space="preserve">) to keep </w:t>
      </w:r>
      <w:r>
        <w:rPr>
          <w:rFonts w:ascii="Consolas" w:hAnsi="Consolas"/>
          <w:color w:val="B03060"/>
          <w:sz w:val="19"/>
        </w:rPr>
        <w:t>meta</w:t>
      </w:r>
      <w:r>
        <w:t>, typing the call</w:t>
      </w:r>
    </w:p>
    <w:p>
      <w:r>
        <w:t xml:space="preserve">  as </w:t>
      </w:r>
      <w:r>
        <w:rPr>
          <w:rFonts w:ascii="Consolas" w:hAnsi="Consolas"/>
          <w:color w:val="B03060"/>
          <w:sz w:val="19"/>
        </w:rPr>
        <w:t>http.get&lt;ApiResponse&lt;T[]&gt;&gt;(...)</w:t>
      </w:r>
      <w:r>
        <w:t xml:space="preserve"> and mapping to </w:t>
      </w:r>
      <w:r>
        <w:rPr>
          <w:rFonts w:ascii="Consolas" w:hAnsi="Consolas"/>
          <w:color w:val="B03060"/>
          <w:sz w:val="19"/>
        </w:rPr>
        <w:t>{ rows, meta }</w:t>
      </w:r>
      <w:r>
        <w:t xml:space="preserve">. </w:t>
      </w:r>
      <w:r>
        <w:rPr>
          <w:rFonts w:ascii="Consolas" w:hAnsi="Consolas"/>
          <w:color w:val="B03060"/>
          <w:sz w:val="19"/>
        </w:rPr>
        <w:t>PageMeta</w:t>
      </w:r>
      <w:r>
        <w:t xml:space="preserve"> is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{ page, size, totalElements, totalPages, hasNext }</w:t>
      </w:r>
      <w:r>
        <w:t>.</w:t>
      </w:r>
    </w:p>
    <w:p>
      <w:pPr>
        <w:pStyle w:val="Heading2"/>
      </w:pPr>
      <w:r>
        <w:t>4. Identity discipline (C1 — the headline)</w:t>
      </w:r>
    </w:p>
    <w:p>
      <w:r>
        <w:t>Every externally exposed entity carries two identifiers:</w:t>
      </w:r>
    </w:p>
    <w:p>
      <w:pPr>
        <w:pStyle w:val="ListBullet"/>
      </w:pPr>
      <w:r>
        <w:t xml:space="preserve">numeric </w:t>
      </w:r>
      <w:r>
        <w:rPr>
          <w:rFonts w:ascii="Consolas" w:hAnsi="Consolas"/>
          <w:color w:val="B03060"/>
          <w:sz w:val="19"/>
        </w:rPr>
        <w:t>id</w:t>
      </w:r>
      <w:r>
        <w:t xml:space="preserve"> (</w:t>
      </w:r>
      <w:r>
        <w:rPr>
          <w:rFonts w:ascii="Consolas" w:hAnsi="Consolas"/>
          <w:color w:val="B03060"/>
          <w:sz w:val="19"/>
        </w:rPr>
        <w:t>BIGINT</w:t>
      </w:r>
      <w:r>
        <w:t>) — for body-level FK joins, and</w:t>
      </w:r>
    </w:p>
    <w:p>
      <w:pPr>
        <w:pStyle w:val="ListBullet"/>
      </w:pPr>
      <w:r>
        <w:t xml:space="preserve">a stable external </w:t>
      </w:r>
      <w:r>
        <w:rPr>
          <w:rFonts w:ascii="Consolas" w:hAnsi="Consolas"/>
          <w:color w:val="B03060"/>
          <w:sz w:val="19"/>
        </w:rPr>
        <w:t>uid</w:t>
      </w:r>
      <w:r>
        <w:t xml:space="preserve"> (string, ULID) — the canonical external reference.</w:t>
      </w:r>
    </w:p>
    <w:p>
      <w:r>
        <w:t>The rules:</w:t>
      </w:r>
    </w:p>
    <w:p>
      <w:pPr>
        <w:pStyle w:val="ListBullet"/>
      </w:pPr>
      <w:r>
        <w:rPr>
          <w:b/>
        </w:rPr>
        <w:t>URLs address by uid:</w:t>
      </w:r>
      <w:r>
        <w:t xml:space="preserve"> </w:t>
      </w:r>
      <w:r>
        <w:rPr>
          <w:rFonts w:ascii="Consolas" w:hAnsi="Consolas"/>
          <w:color w:val="B03060"/>
          <w:sz w:val="19"/>
        </w:rPr>
        <w:t>/api/v1/&lt;resource&gt;/uid/{uid}</w:t>
      </w:r>
      <w:r>
        <w:t xml:space="preserve">. A numeric </w:t>
      </w:r>
      <w:r>
        <w:rPr>
          <w:rFonts w:ascii="Consolas" w:hAnsi="Consolas"/>
          <w:color w:val="B03060"/>
          <w:sz w:val="19"/>
        </w:rPr>
        <w:t>id</w:t>
      </w:r>
      <w:r>
        <w:t xml:space="preserve"> never appears in a</w:t>
      </w:r>
    </w:p>
    <w:p>
      <w:r>
        <w:t xml:space="preserve">  URL path — not in a service call, not in a </w:t>
      </w:r>
      <w:r>
        <w:rPr>
          <w:rFonts w:ascii="Consolas" w:hAnsi="Consolas"/>
          <w:color w:val="B03060"/>
          <w:sz w:val="19"/>
        </w:rPr>
        <w:t>routerLink</w:t>
      </w:r>
      <w:r>
        <w:t>.</w:t>
      </w:r>
    </w:p>
    <w:p>
      <w:pPr>
        <w:pStyle w:val="ListBullet"/>
      </w:pPr>
      <w:r>
        <w:rPr>
          <w:b/>
        </w:rPr>
        <w:t>Bodies use `id` for FK refs</w:t>
      </w:r>
      <w:r>
        <w:t xml:space="preserve"> (</w:t>
      </w:r>
      <w:r>
        <w:rPr>
          <w:rFonts w:ascii="Consolas" w:hAnsi="Consolas"/>
          <w:color w:val="B03060"/>
          <w:sz w:val="19"/>
        </w:rPr>
        <w:t>companyId: string</w:t>
      </w:r>
      <w:r>
        <w:t xml:space="preserve">) and </w:t>
      </w:r>
      <w:r>
        <w:rPr>
          <w:rFonts w:ascii="Consolas" w:hAnsi="Consolas"/>
          <w:color w:val="B03060"/>
          <w:sz w:val="19"/>
        </w:rPr>
        <w:t>uid</w:t>
      </w:r>
      <w:r>
        <w:t xml:space="preserve"> for lookups (</w:t>
      </w:r>
      <w:r>
        <w:rPr>
          <w:rFonts w:ascii="Consolas" w:hAnsi="Consolas"/>
          <w:color w:val="B03060"/>
          <w:sz w:val="19"/>
        </w:rPr>
        <w:t>companyUid</w:t>
      </w:r>
      <w:r>
        <w:t>).</w:t>
      </w:r>
    </w:p>
    <w:p>
      <w:r>
        <w:t xml:space="preserve">  Mirror the backend DTO exactly.</w:t>
      </w:r>
    </w:p>
    <w:p>
      <w:pPr>
        <w:pStyle w:val="ListBullet"/>
      </w:pPr>
      <w:r>
        <w:rPr>
          <w:b/>
        </w:rPr>
        <w:t>Long / BigDecimal fields serialise as JSON strings</w:t>
      </w:r>
      <w:r>
        <w:t xml:space="preserve"> globally (configured once on the</w:t>
      </w:r>
    </w:p>
    <w:p>
      <w:r>
        <w:t xml:space="preserve">  backend) so 64-bit ids and money survive JavaScript. The web side types every id field as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string</w:t>
      </w:r>
      <w:r>
        <w:t>.</w:t>
      </w:r>
    </w:p>
    <w:p>
      <w:pPr>
        <w:pStyle w:val="ListBullet"/>
      </w:pPr>
      <w:r>
        <w:rPr>
          <w:b/>
        </w:rPr>
        <w:t>A uid is a machine identifier — never shown to or hand-typed by a user.</w:t>
      </w:r>
      <w:r>
        <w:t xml:space="preserve"> Resources are</w:t>
      </w:r>
    </w:p>
    <w:p>
      <w:r>
        <w:t xml:space="preserve">  chosen by human name/code via the shared </w:t>
      </w:r>
      <w:r>
        <w:rPr>
          <w:rFonts w:ascii="Consolas" w:hAnsi="Consolas"/>
          <w:color w:val="B03060"/>
          <w:sz w:val="19"/>
        </w:rPr>
        <w:t>&lt;app-uid-picker&gt;</w:t>
      </w:r>
      <w:r>
        <w:t>; the bound value is the uid. A</w:t>
      </w:r>
    </w:p>
    <w:p>
      <w:r>
        <w:t xml:space="preserve">  free-text uid input (or a raw numeric-id text box) is a violation.</w:t>
      </w:r>
    </w:p>
    <w:p>
      <w:r>
        <w:rPr>
          <w:b/>
        </w:rPr>
        <w:t>C1 static gate:</w:t>
      </w:r>
      <w:r>
        <w:t xml:space="preserve"> </w:t>
      </w:r>
      <w:r>
        <w:rPr>
          <w:rFonts w:ascii="Consolas" w:hAnsi="Consolas"/>
          <w:color w:val="B03060"/>
          <w:sz w:val="19"/>
        </w:rPr>
        <w:t>npm run c1</w:t>
      </w:r>
      <w:r>
        <w:t xml:space="preserve"> (</w:t>
      </w:r>
      <w:r>
        <w:rPr>
          <w:rFonts w:ascii="Consolas" w:hAnsi="Consolas"/>
          <w:color w:val="B03060"/>
          <w:sz w:val="19"/>
        </w:rPr>
        <w:t>web/scripts/c1-check.mjs</w:t>
      </w:r>
      <w:r>
        <w:t>) statically checks the frontend</w:t>
      </w:r>
    </w:p>
    <w:p>
      <w:r>
        <w:t>for C1 violations — uids leaking into the UI, hand-typed uid/id inputs, numeric ids in URLs. It</w:t>
      </w:r>
    </w:p>
    <w:p>
      <w:r>
        <w:t xml:space="preserve">is part of the verification routine alongside </w:t>
      </w:r>
      <w:r>
        <w:rPr>
          <w:rFonts w:ascii="Consolas" w:hAnsi="Consolas"/>
          <w:color w:val="B03060"/>
          <w:sz w:val="19"/>
        </w:rPr>
        <w:t>npm run build</w:t>
      </w:r>
      <w:r>
        <w:t xml:space="preserve"> and </w:t>
      </w:r>
      <w:r>
        <w:rPr>
          <w:rFonts w:ascii="Consolas" w:hAnsi="Consolas"/>
          <w:color w:val="B03060"/>
          <w:sz w:val="19"/>
        </w:rPr>
        <w:t>npm test</w:t>
      </w:r>
      <w:r>
        <w:t>.</w:t>
      </w:r>
    </w:p>
    <w:p>
      <w:pPr>
        <w:pStyle w:val="Heading2"/>
      </w:pPr>
      <w:r>
        <w:t>5. RBAC by permission code (C3)</w:t>
      </w:r>
    </w:p>
    <w:p>
      <w:r>
        <w:t xml:space="preserve">The atomic unit is a </w:t>
      </w:r>
      <w:r>
        <w:rPr>
          <w:b/>
        </w:rPr>
        <w:t>permission</w:t>
      </w:r>
      <w:r>
        <w:t xml:space="preserve"> (</w:t>
      </w:r>
      <w:r>
        <w:rPr>
          <w:rFonts w:ascii="Consolas" w:hAnsi="Consolas"/>
          <w:color w:val="B03060"/>
          <w:sz w:val="19"/>
        </w:rPr>
        <w:t>Permission</w:t>
      </w:r>
      <w:r>
        <w:t xml:space="preserve">, table </w:t>
      </w:r>
      <w:r>
        <w:rPr>
          <w:rFonts w:ascii="Consolas" w:hAnsi="Consolas"/>
          <w:color w:val="B03060"/>
          <w:sz w:val="19"/>
        </w:rPr>
        <w:t>permission</w:t>
      </w:r>
      <w:r>
        <w:t>, dot-separated codes like</w:t>
      </w:r>
    </w:p>
    <w:p>
      <w:r>
        <w:rPr>
          <w:rFonts w:ascii="Consolas" w:hAnsi="Consolas"/>
          <w:color w:val="B03060"/>
          <w:sz w:val="19"/>
        </w:rPr>
        <w:t>SALES_INVOICE.POST</w:t>
      </w:r>
      <w:r>
        <w:t xml:space="preserve">). Roles are bundles of permissions.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gates reference</w:t>
      </w:r>
    </w:p>
    <w:p>
      <w:r>
        <w:rPr>
          <w:b/>
        </w:rPr>
        <w:t>permission codes, never role names</w:t>
      </w:r>
      <w:r>
        <w:t xml:space="preserve">, via the </w:t>
      </w:r>
      <w:r>
        <w:rPr>
          <w:rFonts w:ascii="Consolas" w:hAnsi="Consolas"/>
          <w:color w:val="B03060"/>
          <w:sz w:val="19"/>
        </w:rPr>
        <w:t>@perm</w:t>
      </w:r>
      <w:r>
        <w:t xml:space="preserve"> bean:</w:t>
      </w:r>
    </w:p>
    <w:p>
      <w:pPr>
        <w:shd w:fill="F2F2F2"/>
      </w:pPr>
      <w:r>
        <w:rPr>
          <w:rFonts w:ascii="Consolas" w:hAnsi="Consolas"/>
          <w:sz w:val="18"/>
        </w:rPr>
        <w:t>@PreAuthorize("@perm.has('AGENT.VIEW')")                          // create / list</w:t>
        <w:br/>
        <w:t>@PreAuthorize("@perm.scoped(#uid,'activity','CRM.ACTIVITY.MANAGE')") // target by uid + scope</w:t>
      </w:r>
    </w:p>
    <w:p>
      <w:r>
        <w:t>Permissions are seeded via Flyway; a new permission-gated endpoint must have its code in a seed</w:t>
      </w:r>
    </w:p>
    <w:p>
      <w:r>
        <w:t xml:space="preserve">migration. The frontend gates with the </w:t>
      </w:r>
      <w:r>
        <w:rPr>
          <w:b/>
        </w:rPr>
        <w:t>exact same codes</w:t>
      </w:r>
      <w:r>
        <w:t xml:space="preserve"> —</w:t>
      </w:r>
    </w:p>
    <w:p>
      <w:r>
        <w:rPr>
          <w:rFonts w:ascii="Consolas" w:hAnsi="Consolas"/>
          <w:color w:val="B03060"/>
          <w:sz w:val="19"/>
        </w:rPr>
        <w:t>SessionStore.hasPermission(code)</w:t>
      </w:r>
      <w:r>
        <w:t xml:space="preserve"> (root → always true), </w:t>
      </w:r>
      <w:r>
        <w:rPr>
          <w:rFonts w:ascii="Consolas" w:hAnsi="Consolas"/>
          <w:color w:val="B03060"/>
          <w:sz w:val="19"/>
        </w:rPr>
        <w:t>requirePermission(code)</w:t>
      </w:r>
      <w:r>
        <w:t xml:space="preserve"> route</w:t>
      </w:r>
    </w:p>
    <w:p>
      <w:r>
        <w:t xml:space="preserve">guards, and </w:t>
      </w:r>
      <w:r>
        <w:rPr>
          <w:rFonts w:ascii="Consolas" w:hAnsi="Consolas"/>
          <w:color w:val="B03060"/>
          <w:sz w:val="19"/>
        </w:rPr>
        <w:t>@if (canX())</w:t>
      </w:r>
      <w:r>
        <w:t xml:space="preserve"> on action buttons. Never invent a code on the web side; mirror the</w:t>
      </w:r>
    </w:p>
    <w:p>
      <w:r>
        <w:t xml:space="preserve">controller. </w:t>
      </w:r>
      <w:r>
        <w:rPr>
          <w:rFonts w:ascii="Consolas" w:hAnsi="Consolas"/>
          <w:color w:val="B03060"/>
          <w:sz w:val="19"/>
        </w:rPr>
        <w:t>EndpointAuthorizationTest</w:t>
      </w:r>
      <w:r>
        <w:t xml:space="preserve"> fails the build if any handler under </w:t>
      </w:r>
      <w:r>
        <w:rPr>
          <w:rFonts w:ascii="Consolas" w:hAnsi="Consolas"/>
          <w:color w:val="B03060"/>
          <w:sz w:val="19"/>
        </w:rPr>
        <w:t>com.erp.api</w:t>
      </w:r>
      <w:r>
        <w:t xml:space="preserve"> lacks</w:t>
      </w:r>
    </w:p>
    <w:p>
      <w:r>
        <w:t>a gate (allowlist = exactly 4 public endpoints). See [04-security.md](04-security.md).</w:t>
      </w:r>
    </w:p>
    <w:p>
      <w:pPr>
        <w:pStyle w:val="Heading2"/>
      </w:pPr>
      <w:r>
        <w:t>6. Multi-company / multi-branch (C7)</w:t>
      </w:r>
    </w:p>
    <w:p>
      <w:r>
        <w:t xml:space="preserve">Every transactional table carries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 + </w:t>
      </w:r>
      <w:r>
        <w:rPr>
          <w:rFonts w:ascii="Consolas" w:hAnsi="Consolas"/>
          <w:color w:val="B03060"/>
          <w:sz w:val="19"/>
        </w:rPr>
        <w:t>branch_id</w:t>
      </w:r>
      <w:r>
        <w:t xml:space="preserve">. </w:t>
      </w:r>
      <w:r>
        <w:rPr>
          <w:rFonts w:ascii="Consolas" w:hAnsi="Consolas"/>
          <w:color w:val="B03060"/>
          <w:sz w:val="19"/>
        </w:rPr>
        <w:t>RequestContext</w:t>
      </w:r>
      <w:r>
        <w:t xml:space="preserve"> sets the current</w:t>
      </w:r>
    </w:p>
    <w:p>
      <w:r>
        <w:t xml:space="preserve">user / company / branch from the JWT plus the </w:t>
      </w:r>
      <w:r>
        <w:rPr>
          <w:rFonts w:ascii="Consolas" w:hAnsi="Consolas"/>
          <w:color w:val="B03060"/>
          <w:sz w:val="19"/>
        </w:rPr>
        <w:t>X-Branch-Uid</w:t>
      </w:r>
      <w:r>
        <w:t xml:space="preserve"> override header (branch can be</w:t>
      </w:r>
    </w:p>
    <w:p>
      <w:r>
        <w:t>switched without re-login). Repository base interfaces inject the company/branch predicate</w:t>
      </w:r>
    </w:p>
    <w:p>
      <w:r>
        <w:t>automatically — a finder that bypasses the base interface is a tenant-isolation bug. Global IAM</w:t>
      </w:r>
    </w:p>
    <w:p>
      <w:r>
        <w:t>admin tables are the deliberate exception, isolated by service-layer scope checks instead. See</w:t>
      </w:r>
    </w:p>
    <w:p>
      <w:r>
        <w:t>[04-security.md](04-security.md) §3.</w:t>
      </w:r>
    </w:p>
    <w:p>
      <w:pPr>
        <w:pStyle w:val="Heading2"/>
      </w:pPr>
      <w:r>
        <w:t>7. Persistence discipline (C9)</w:t>
      </w:r>
    </w:p>
    <w:p>
      <w:pPr>
        <w:pStyle w:val="ListBullet"/>
      </w:pPr>
      <w:r>
        <w:rPr>
          <w:b/>
        </w:rPr>
        <w:t>Flyway for all schema</w:t>
      </w:r>
      <w:r>
        <w:t xml:space="preserve">; </w:t>
      </w:r>
      <w:r>
        <w:rPr>
          <w:rFonts w:ascii="Consolas" w:hAnsi="Consolas"/>
          <w:color w:val="B03060"/>
          <w:sz w:val="19"/>
        </w:rPr>
        <w:t>ddl-auto=validate</w:t>
      </w:r>
      <w:r>
        <w:t xml:space="preserve"> (never </w:t>
      </w:r>
      <w:r>
        <w:rPr>
          <w:rFonts w:ascii="Consolas" w:hAnsi="Consolas"/>
          <w:color w:val="B03060"/>
          <w:sz w:val="19"/>
        </w:rPr>
        <w:t>update</w:t>
      </w:r>
      <w:r>
        <w:t>). Additive migrations after the</w:t>
      </w:r>
    </w:p>
    <w:p>
      <w:r>
        <w:t xml:space="preserve">  baseline freeze; the head is around V83. Never edit an applied migration.</w:t>
      </w:r>
    </w:p>
    <w:p>
      <w:pPr>
        <w:pStyle w:val="ListBullet"/>
      </w:pPr>
      <w:r>
        <w:rPr>
          <w:b/>
        </w:rPr>
        <w:t>Optimistic locking</w:t>
      </w:r>
      <w:r>
        <w:t xml:space="preserve"> (</w:t>
      </w:r>
      <w:r>
        <w:rPr>
          <w:rFonts w:ascii="Consolas" w:hAnsi="Consolas"/>
          <w:color w:val="B03060"/>
          <w:sz w:val="19"/>
        </w:rPr>
        <w:t>@Version</w:t>
      </w:r>
      <w:r>
        <w:t>) on transactional aggregates.</w:t>
      </w:r>
    </w:p>
    <w:p>
      <w:pPr>
        <w:pStyle w:val="ListBullet"/>
      </w:pPr>
      <w:r>
        <w:rPr>
          <w:b/>
        </w:rPr>
        <w:t>Append-only posting tables</w:t>
      </w:r>
      <w:r>
        <w:t xml:space="preserve"> (e.g. </w:t>
      </w:r>
      <w:r>
        <w:rPr>
          <w:rFonts w:ascii="Consolas" w:hAnsi="Consolas"/>
          <w:color w:val="B03060"/>
          <w:sz w:val="19"/>
        </w:rPr>
        <w:t>stock_move</w:t>
      </w:r>
      <w:r>
        <w:t xml:space="preserve">, GL postings, </w:t>
      </w:r>
      <w:r>
        <w:rPr>
          <w:rFonts w:ascii="Consolas" w:hAnsi="Consolas"/>
          <w:color w:val="B03060"/>
          <w:sz w:val="19"/>
        </w:rPr>
        <w:t>audit_log</w:t>
      </w:r>
      <w:r>
        <w:t>) — corrections are</w:t>
      </w:r>
    </w:p>
    <w:p>
      <w:r>
        <w:t xml:space="preserve">  </w:t>
      </w:r>
      <w:r>
        <w:rPr>
          <w:b/>
        </w:rPr>
        <w:t>new postings</w:t>
      </w:r>
      <w:r>
        <w:t>, never updates. The GL is append-only: a posted journal is corrected by a</w:t>
      </w:r>
    </w:p>
    <w:p>
      <w:r>
        <w:t xml:space="preserve">  reversing or adjusting entry, not by editing the original.</w:t>
      </w:r>
    </w:p>
    <w:p>
      <w:pPr>
        <w:pStyle w:val="ListBullet"/>
      </w:pPr>
      <w:r>
        <w:rPr>
          <w:b/>
        </w:rPr>
        <w:t>Soft-delete masters</w:t>
      </w:r>
      <w:r>
        <w:t xml:space="preserve"> via a </w:t>
      </w:r>
      <w:r>
        <w:rPr>
          <w:rFonts w:ascii="Consolas" w:hAnsi="Consolas"/>
          <w:color w:val="B03060"/>
          <w:sz w:val="19"/>
        </w:rPr>
        <w:t>status</w:t>
      </w:r>
      <w:r>
        <w:t xml:space="preserve"> enum (</w:t>
      </w:r>
      <w:r>
        <w:rPr>
          <w:rFonts w:ascii="Consolas" w:hAnsi="Consolas"/>
          <w:color w:val="B03060"/>
          <w:sz w:val="19"/>
        </w:rPr>
        <w:t>ACTIVE</w:t>
      </w:r>
      <w:r>
        <w:t xml:space="preserve"> / </w:t>
      </w:r>
      <w:r>
        <w:rPr>
          <w:rFonts w:ascii="Consolas" w:hAnsi="Consolas"/>
          <w:color w:val="B03060"/>
          <w:sz w:val="19"/>
        </w:rPr>
        <w:t>INACTIVE</w:t>
      </w:r>
      <w:r>
        <w:t xml:space="preserve"> / </w:t>
      </w:r>
      <w:r>
        <w:rPr>
          <w:rFonts w:ascii="Consolas" w:hAnsi="Consolas"/>
          <w:color w:val="B03060"/>
          <w:sz w:val="19"/>
        </w:rPr>
        <w:t>ARCHIVED</w:t>
      </w:r>
      <w:r>
        <w:t>), not hard</w:t>
      </w:r>
    </w:p>
    <w:p>
      <w:r>
        <w:t xml:space="preserve">  deletes.</w:t>
      </w:r>
    </w:p>
    <w:p>
      <w:pPr>
        <w:pStyle w:val="Heading2"/>
      </w:pPr>
      <w:r>
        <w:t>8. Cross-module side effects = transactional outbox (C-outbox)</w:t>
      </w:r>
    </w:p>
    <w:p>
      <w:r>
        <w:t xml:space="preserve">Write a </w:t>
      </w:r>
      <w:r>
        <w:rPr>
          <w:rFonts w:ascii="Consolas" w:hAnsi="Consolas"/>
          <w:color w:val="B03060"/>
          <w:sz w:val="19"/>
        </w:rPr>
        <w:t>domain_event</w:t>
      </w:r>
      <w:r>
        <w:t xml:space="preserve"> row in the </w:t>
      </w:r>
      <w:r>
        <w:rPr>
          <w:b/>
        </w:rPr>
        <w:t>same DB transaction</w:t>
      </w:r>
      <w:r>
        <w:t xml:space="preserve"> as the business write; a scheduled</w:t>
      </w:r>
    </w:p>
    <w:p>
      <w:r>
        <w:t>poller dispatches it asynchronously. Never call directly into another module's service for a</w:t>
      </w:r>
    </w:p>
    <w:p>
      <w:r>
        <w:t xml:space="preserve">side effect, and never use Spring's in-memory </w:t>
      </w:r>
      <w:r>
        <w:rPr>
          <w:rFonts w:ascii="Consolas" w:hAnsi="Consolas"/>
          <w:color w:val="B03060"/>
          <w:sz w:val="19"/>
        </w:rPr>
        <w:t>ApplicationEventPublisher</w:t>
      </w:r>
      <w:r>
        <w:t xml:space="preserve"> for cross-module</w:t>
      </w:r>
    </w:p>
    <w:p>
      <w:r>
        <w:t>events (they are lost on crash). The outbox gives at-least-once delivery with crash durability.</w:t>
      </w:r>
    </w:p>
    <w:p>
      <w:pPr>
        <w:pStyle w:val="Heading2"/>
      </w:pPr>
      <w:r>
        <w:t>9. Coding standards</w:t>
      </w:r>
    </w:p>
    <w:p>
      <w:pPr>
        <w:pStyle w:val="ListBullet"/>
      </w:pPr>
      <w:r>
        <w:rPr>
          <w:b/>
        </w:rPr>
        <w:t>Java:</w:t>
      </w:r>
      <w:r>
        <w:t xml:space="preserve"> Google Java Style; </w:t>
      </w:r>
      <w:r>
        <w:rPr>
          <w:rFonts w:ascii="Consolas" w:hAnsi="Consolas"/>
          <w:color w:val="B03060"/>
          <w:sz w:val="19"/>
        </w:rPr>
        <w:t>final</w:t>
      </w:r>
      <w:r>
        <w:t xml:space="preserve"> where reasonable; records for DTOs (</w:t>
      </w:r>
      <w:r>
        <w:rPr>
          <w:rFonts w:ascii="Consolas" w:hAnsi="Consolas"/>
          <w:color w:val="B03060"/>
          <w:sz w:val="19"/>
        </w:rPr>
        <w:t>*Dto</w:t>
      </w:r>
      <w:r>
        <w:t xml:space="preserve"> suffix).</w:t>
      </w:r>
    </w:p>
    <w:p>
      <w:r>
        <w:t xml:space="preserve">  </w:t>
      </w:r>
      <w:r>
        <w:rPr>
          <w:b/>
        </w:rPr>
        <w:t>Lombok</w:t>
      </w:r>
      <w:r>
        <w:t xml:space="preserve"> </w:t>
      </w:r>
      <w:r>
        <w:rPr>
          <w:rFonts w:ascii="Consolas" w:hAnsi="Consolas"/>
          <w:color w:val="B03060"/>
          <w:sz w:val="19"/>
        </w:rPr>
        <w:t>@Getter @Setter</w:t>
      </w:r>
      <w:r>
        <w:t xml:space="preserve"> on JPA entities (never </w:t>
      </w:r>
      <w:r>
        <w:rPr>
          <w:rFonts w:ascii="Consolas" w:hAnsi="Consolas"/>
          <w:color w:val="B03060"/>
          <w:sz w:val="19"/>
        </w:rPr>
        <w:t>@Data</w:t>
      </w:r>
      <w:r>
        <w:t xml:space="preserve"> / </w:t>
      </w:r>
      <w:r>
        <w:rPr>
          <w:rFonts w:ascii="Consolas" w:hAnsi="Consolas"/>
          <w:color w:val="B03060"/>
          <w:sz w:val="19"/>
        </w:rPr>
        <w:t>@EqualsAndHashCode</w:t>
      </w:r>
      <w:r>
        <w:t xml:space="preserve"> / </w:t>
      </w:r>
      <w:r>
        <w:rPr>
          <w:rFonts w:ascii="Consolas" w:hAnsi="Consolas"/>
          <w:color w:val="B03060"/>
          <w:sz w:val="19"/>
        </w:rPr>
        <w:t>@ToString</w:t>
      </w:r>
    </w:p>
    <w:p>
      <w:r>
        <w:t xml:space="preserve">  — they break JPA identity and lazy loading). Hand-write constructors and behaviour methods</w:t>
      </w:r>
    </w:p>
    <w:p>
      <w:r>
        <w:t xml:space="preserve">  (invariants, state transitions); Lombok generates only plain accessors.</w:t>
      </w:r>
    </w:p>
    <w:p>
      <w:pPr>
        <w:pStyle w:val="ListBullet"/>
      </w:pPr>
      <w:r>
        <w:rPr>
          <w:b/>
        </w:rPr>
        <w:t>TypeScript:</w:t>
      </w:r>
      <w:r>
        <w:t xml:space="preserve"> strict; no </w:t>
      </w:r>
      <w:r>
        <w:rPr>
          <w:rFonts w:ascii="Consolas" w:hAnsi="Consolas"/>
          <w:color w:val="B03060"/>
          <w:sz w:val="19"/>
        </w:rPr>
        <w:t>any</w:t>
      </w:r>
      <w:r>
        <w:t xml:space="preserve"> without a justification comment; ESLint + Prettier.</w:t>
      </w:r>
    </w:p>
    <w:p>
      <w:pPr>
        <w:pStyle w:val="ListBullet"/>
      </w:pPr>
      <w:r>
        <w:rPr>
          <w:b/>
        </w:rPr>
        <w:t>Commits:</w:t>
      </w:r>
      <w:r>
        <w:t xml:space="preserve"> Conventional Commits; one logical change per PR; mandatory review.</w:t>
      </w:r>
    </w:p>
    <w:p>
      <w:pPr>
        <w:pStyle w:val="Heading2"/>
      </w:pPr>
      <w:r>
        <w:t>10. Frontend conventions</w:t>
      </w:r>
    </w:p>
    <w:p>
      <w:r>
        <w:t>Grounded in the shipped Angular 21 app — mirror the exemplars, do not invent patterns.</w:t>
      </w:r>
    </w:p>
    <w:p>
      <w:pPr>
        <w:pStyle w:val="ListBullet"/>
      </w:pPr>
      <w:r>
        <w:rPr>
          <w:b/>
        </w:rPr>
        <w:t>Standalone + signals.</w:t>
      </w:r>
      <w:r>
        <w:t xml:space="preserve"> No NgModules; providers in </w:t>
      </w:r>
      <w:r>
        <w:rPr>
          <w:rFonts w:ascii="Consolas" w:hAnsi="Consolas"/>
          <w:color w:val="B03060"/>
          <w:sz w:val="19"/>
        </w:rPr>
        <w:t>app.config.ts</w:t>
      </w:r>
      <w:r>
        <w:t xml:space="preserve">. </w:t>
      </w:r>
      <w:r>
        <w:rPr>
          <w:rFonts w:ascii="Consolas" w:hAnsi="Consolas"/>
          <w:color w:val="B03060"/>
          <w:sz w:val="19"/>
        </w:rPr>
        <w:t>signal&lt;T&gt;()</w:t>
      </w:r>
      <w:r>
        <w:t xml:space="preserve"> for</w:t>
      </w:r>
    </w:p>
    <w:p>
      <w:r>
        <w:t xml:space="preserve">  mutable state, </w:t>
      </w:r>
      <w:r>
        <w:rPr>
          <w:rFonts w:ascii="Consolas" w:hAnsi="Consolas"/>
          <w:color w:val="B03060"/>
          <w:sz w:val="19"/>
        </w:rPr>
        <w:t>computed()</w:t>
      </w:r>
      <w:r>
        <w:t xml:space="preserve"> for derived; RxJS only for HTTP streams + debounced search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toObservable</w:t>
      </w:r>
      <w:r>
        <w:t xml:space="preserve"> + </w:t>
      </w:r>
      <w:r>
        <w:rPr>
          <w:rFonts w:ascii="Consolas" w:hAnsi="Consolas"/>
          <w:color w:val="B03060"/>
          <w:sz w:val="19"/>
        </w:rPr>
        <w:t>takeUntilDestroyed</w:t>
      </w:r>
      <w:r>
        <w:t>).</w:t>
      </w:r>
    </w:p>
    <w:p>
      <w:pPr>
        <w:pStyle w:val="ListBullet"/>
      </w:pPr>
      <w:r>
        <w:rPr>
          <w:b/>
        </w:rPr>
        <w:t>Forms:</w:t>
      </w:r>
      <w:r>
        <w:t xml:space="preserve"> </w:t>
      </w:r>
      <w:r>
        <w:rPr>
          <w:rFonts w:ascii="Consolas" w:hAnsi="Consolas"/>
          <w:color w:val="B03060"/>
          <w:sz w:val="19"/>
        </w:rPr>
        <w:t>FormsModule</w:t>
      </w:r>
      <w:r>
        <w:t xml:space="preserve"> + </w:t>
      </w:r>
      <w:r>
        <w:rPr>
          <w:rFonts w:ascii="Consolas" w:hAnsi="Consolas"/>
          <w:color w:val="B03060"/>
          <w:sz w:val="19"/>
        </w:rPr>
        <w:t>[(ngModel)]</w:t>
      </w:r>
      <w:r>
        <w:t xml:space="preserve"> two-way to signals (no ReactiveForms). Validation is</w:t>
      </w:r>
    </w:p>
    <w:p>
      <w:r>
        <w:t xml:space="preserve">  imperative in the submit handler, setting a </w:t>
      </w:r>
      <w:r>
        <w:rPr>
          <w:rFonts w:ascii="Consolas" w:hAnsi="Consolas"/>
          <w:color w:val="B03060"/>
          <w:sz w:val="19"/>
        </w:rPr>
        <w:t>formError</w:t>
      </w:r>
      <w:r>
        <w:t xml:space="preserve"> signal rendered in </w:t>
      </w:r>
      <w:r>
        <w:rPr>
          <w:rFonts w:ascii="Consolas" w:hAnsi="Consolas"/>
          <w:color w:val="B03060"/>
          <w:sz w:val="19"/>
        </w:rPr>
        <w:t>&lt;p role="alert"&gt;</w:t>
      </w:r>
      <w:r>
        <w:t>.</w:t>
      </w:r>
    </w:p>
    <w:p>
      <w:pPr>
        <w:pStyle w:val="ListBullet"/>
      </w:pPr>
      <w:r>
        <w:rPr>
          <w:b/>
        </w:rPr>
        <w:t>Control flow:</w:t>
      </w:r>
      <w:r>
        <w:t xml:space="preserve"> </w:t>
      </w:r>
      <w:r>
        <w:rPr>
          <w:rFonts w:ascii="Consolas" w:hAnsi="Consolas"/>
          <w:color w:val="B03060"/>
          <w:sz w:val="19"/>
        </w:rPr>
        <w:t>@if</w:t>
      </w:r>
      <w:r>
        <w:t xml:space="preserve"> / </w:t>
      </w:r>
      <w:r>
        <w:rPr>
          <w:rFonts w:ascii="Consolas" w:hAnsi="Consolas"/>
          <w:color w:val="B03060"/>
          <w:sz w:val="19"/>
        </w:rPr>
        <w:t>@for (...; track x.uid)</w:t>
      </w:r>
      <w:r>
        <w:t xml:space="preserve"> / </w:t>
      </w:r>
      <w:r>
        <w:rPr>
          <w:rFonts w:ascii="Consolas" w:hAnsi="Consolas"/>
          <w:color w:val="B03060"/>
          <w:sz w:val="19"/>
        </w:rPr>
        <w:t>@switch</w:t>
      </w:r>
      <w:r>
        <w:t xml:space="preserve"> — never </w:t>
      </w:r>
      <w:r>
        <w:rPr>
          <w:rFonts w:ascii="Consolas" w:hAnsi="Consolas"/>
          <w:color w:val="B03060"/>
          <w:sz w:val="19"/>
        </w:rPr>
        <w:t>*ngIf</w:t>
      </w:r>
      <w:r>
        <w:t>/</w:t>
      </w:r>
      <w:r>
        <w:rPr>
          <w:rFonts w:ascii="Consolas" w:hAnsi="Consolas"/>
          <w:color w:val="B03060"/>
          <w:sz w:val="19"/>
        </w:rPr>
        <w:t>*ngFor</w:t>
      </w:r>
      <w:r>
        <w:t>.</w:t>
      </w:r>
    </w:p>
    <w:p>
      <w:pPr>
        <w:pStyle w:val="ListBullet"/>
      </w:pPr>
      <w:r>
        <w:rPr>
          <w:b/>
        </w:rPr>
        <w:t>Routing:</w:t>
      </w:r>
      <w:r>
        <w:t xml:space="preserve"> </w:t>
      </w:r>
      <w:r>
        <w:rPr>
          <w:rFonts w:ascii="Consolas" w:hAnsi="Consolas"/>
          <w:color w:val="B03060"/>
          <w:sz w:val="19"/>
        </w:rPr>
        <w:t>withComponentInputBinding()</w:t>
      </w:r>
      <w:r>
        <w:t xml:space="preserve"> — bind </w:t>
      </w:r>
      <w:r>
        <w:rPr>
          <w:rFonts w:ascii="Consolas" w:hAnsi="Consolas"/>
          <w:color w:val="B03060"/>
          <w:sz w:val="19"/>
        </w:rPr>
        <w:t>:uid</w:t>
      </w:r>
      <w:r>
        <w:t xml:space="preserve"> to </w:t>
      </w:r>
      <w:r>
        <w:rPr>
          <w:rFonts w:ascii="Consolas" w:hAnsi="Consolas"/>
          <w:color w:val="B03060"/>
          <w:sz w:val="19"/>
        </w:rPr>
        <w:t>input.required&lt;string&gt;()</w:t>
      </w:r>
      <w:r>
        <w:t>. URL</w:t>
      </w:r>
    </w:p>
    <w:p>
      <w:r>
        <w:t xml:space="preserve">  shapes: list </w:t>
      </w:r>
      <w:r>
        <w:rPr>
          <w:rFonts w:ascii="Consolas" w:hAnsi="Consolas"/>
          <w:color w:val="B03060"/>
          <w:sz w:val="19"/>
        </w:rPr>
        <w:t>'&lt;feature&gt;'</w:t>
      </w:r>
      <w:r>
        <w:t xml:space="preserve">, detail </w:t>
      </w:r>
      <w:r>
        <w:rPr>
          <w:rFonts w:ascii="Consolas" w:hAnsi="Consolas"/>
          <w:color w:val="B03060"/>
          <w:sz w:val="19"/>
        </w:rPr>
        <w:t>'&lt;feature&gt;/uid/:uid'</w:t>
      </w:r>
      <w:r>
        <w:t xml:space="preserve">, create </w:t>
      </w:r>
      <w:r>
        <w:rPr>
          <w:rFonts w:ascii="Consolas" w:hAnsi="Consolas"/>
          <w:color w:val="B03060"/>
          <w:sz w:val="19"/>
        </w:rPr>
        <w:t>'&lt;feature&gt;/create'</w:t>
      </w:r>
      <w:r>
        <w:t>. Route</w:t>
      </w:r>
    </w:p>
    <w:p>
      <w:r>
        <w:t xml:space="preserve">  guard </w:t>
      </w:r>
      <w:r>
        <w:rPr>
          <w:rFonts w:ascii="Consolas" w:hAnsi="Consolas"/>
          <w:color w:val="B03060"/>
          <w:sz w:val="19"/>
        </w:rPr>
        <w:t>requirePermission('CODE')</w:t>
      </w:r>
      <w:r>
        <w:t>.</w:t>
      </w:r>
    </w:p>
    <w:p>
      <w:pPr>
        <w:pStyle w:val="ListBullet"/>
      </w:pPr>
      <w:r>
        <w:rPr>
          <w:b/>
        </w:rPr>
        <w:t>Four-state screens (C4):</w:t>
      </w:r>
      <w:r>
        <w:t xml:space="preserve"> every list/detail renders four states via </w:t>
      </w:r>
      <w:r>
        <w:rPr>
          <w:rFonts w:ascii="Consolas" w:hAnsi="Consolas"/>
          <w:color w:val="B03060"/>
          <w:sz w:val="19"/>
        </w:rPr>
        <w:t>@switch (state())</w:t>
      </w:r>
      <w:r>
        <w:t xml:space="preserve"> —</w:t>
      </w:r>
    </w:p>
    <w:p>
      <w:r>
        <w:t xml:space="preserve">  </w:t>
      </w:r>
      <w:r>
        <w:rPr>
          <w:b/>
        </w:rPr>
        <w:t>loading</w:t>
      </w:r>
      <w:r>
        <w:t xml:space="preserve"> (spinner + </w:t>
      </w:r>
      <w:r>
        <w:rPr>
          <w:rFonts w:ascii="Consolas" w:hAnsi="Consolas"/>
          <w:color w:val="B03060"/>
          <w:sz w:val="19"/>
        </w:rPr>
        <w:t>aria-live</w:t>
      </w:r>
      <w:r>
        <w:t xml:space="preserve">), </w:t>
      </w:r>
      <w:r>
        <w:rPr>
          <w:b/>
        </w:rPr>
        <w:t>empty</w:t>
      </w:r>
      <w:r>
        <w:t xml:space="preserve"> (message), </w:t>
      </w:r>
      <w:r>
        <w:rPr>
          <w:b/>
        </w:rPr>
        <w:t>error</w:t>
      </w:r>
      <w:r>
        <w:t xml:space="preserve"> (</w:t>
      </w:r>
      <w:r>
        <w:rPr>
          <w:rFonts w:ascii="Consolas" w:hAnsi="Consolas"/>
          <w:color w:val="B03060"/>
          <w:sz w:val="19"/>
        </w:rPr>
        <w:t>role="alert"</w:t>
      </w:r>
      <w:r>
        <w:t>), and</w:t>
      </w:r>
    </w:p>
    <w:p>
      <w:r>
        <w:t xml:space="preserve">  </w:t>
      </w:r>
      <w:r>
        <w:rPr>
          <w:b/>
        </w:rPr>
        <w:t>forbidden</w:t>
      </w:r>
      <w:r>
        <w:t xml:space="preserve"> ("no permission"). This is a hard requirement, asserted in e2e.</w:t>
      </w:r>
    </w:p>
    <w:p>
      <w:pPr>
        <w:pStyle w:val="ListBullet"/>
      </w:pPr>
      <w:r>
        <w:rPr>
          <w:b/>
        </w:rPr>
        <w:t>Pagination (C5):</w:t>
      </w:r>
      <w:r>
        <w:t xml:space="preserve"> every paginated list uses the shared </w:t>
      </w:r>
      <w:r>
        <w:rPr>
          <w:rFonts w:ascii="Consolas" w:hAnsi="Consolas"/>
          <w:color w:val="B03060"/>
          <w:sz w:val="19"/>
        </w:rPr>
        <w:t>&lt;app-paginator&gt;</w:t>
      </w:r>
      <w:r>
        <w:t xml:space="preserve"> —</w:t>
      </w:r>
    </w:p>
    <w:p>
      <w:r>
        <w:t xml:space="preserve">  first / previous / page-numbers / next / last (it self-hides when </w:t>
      </w:r>
      <w:r>
        <w:rPr>
          <w:rFonts w:ascii="Consolas" w:hAnsi="Consolas"/>
          <w:color w:val="B03060"/>
          <w:sz w:val="19"/>
        </w:rPr>
        <w:t>totalPages &lt;= 1</w:t>
      </w:r>
      <w:r>
        <w:t>). Never</w:t>
      </w:r>
    </w:p>
    <w:p>
      <w:r>
        <w:t xml:space="preserve">  roll your own prev/next.</w:t>
      </w:r>
    </w:p>
    <w:p>
      <w:pPr>
        <w:pStyle w:val="ListBullet"/>
      </w:pPr>
      <w:r>
        <w:rPr>
          <w:b/>
        </w:rPr>
        <w:t>Resource references (C1):</w:t>
      </w:r>
      <w:r>
        <w:t xml:space="preserve"> captured only via </w:t>
      </w:r>
      <w:r>
        <w:rPr>
          <w:rFonts w:ascii="Consolas" w:hAnsi="Consolas"/>
          <w:color w:val="B03060"/>
          <w:sz w:val="19"/>
        </w:rPr>
        <w:t>&lt;app-uid-picker&gt;</w:t>
      </w:r>
      <w:r>
        <w:t xml:space="preserve"> (a </w:t>
      </w:r>
      <w:r>
        <w:rPr>
          <w:rFonts w:ascii="Consolas" w:hAnsi="Consolas"/>
          <w:color w:val="B03060"/>
          <w:sz w:val="19"/>
        </w:rPr>
        <w:t>ControlValueAccessor</w:t>
      </w:r>
    </w:p>
    <w:p>
      <w:r>
        <w:t xml:space="preserve">  bound to the uid) — the user picks by name, never types a uid.</w:t>
      </w:r>
    </w:p>
    <w:p>
      <w:pPr>
        <w:pStyle w:val="ListBullet"/>
      </w:pPr>
      <w:r>
        <w:rPr>
          <w:b/>
        </w:rPr>
        <w:t>Shared, append-only files:</w:t>
      </w:r>
      <w:r>
        <w:t xml:space="preserve"> </w:t>
      </w:r>
      <w:r>
        <w:rPr>
          <w:rFonts w:ascii="Consolas" w:hAnsi="Consolas"/>
          <w:color w:val="B03060"/>
          <w:sz w:val="19"/>
        </w:rPr>
        <w:t>features/admin/admin.routes.ts</w:t>
      </w:r>
      <w:r>
        <w:t xml:space="preserve"> (route blocks),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layout/shell/shell.component.ts</w:t>
      </w:r>
      <w:r>
        <w:t xml:space="preserve"> (nav items into the right group) — append only, never</w:t>
      </w:r>
    </w:p>
    <w:p>
      <w:r>
        <w:t xml:space="preserve">  reorder; they are high-conflict files.</w:t>
      </w:r>
    </w:p>
    <w:p>
      <w:pPr>
        <w:pStyle w:val="ListBullet"/>
      </w:pPr>
      <w:r>
        <w:rPr>
          <w:b/>
        </w:rPr>
        <w:t>Money / dates (C8):</w:t>
      </w:r>
      <w:r>
        <w:t xml:space="preserve"> money is a string on the wire, rendered </w:t>
      </w:r>
      <w:r>
        <w:rPr>
          <w:rFonts w:ascii="Consolas" w:hAnsi="Consolas"/>
          <w:color w:val="B03060"/>
          <w:sz w:val="19"/>
        </w:rPr>
        <w:t>CUR 1,234.56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{{ row.currency }} {{ +row.amount | number:'1.2-2' }}</w:t>
      </w:r>
      <w:r>
        <w:t xml:space="preserve">); dates are ISO </w:t>
      </w:r>
      <w:r>
        <w:rPr>
          <w:rFonts w:ascii="Consolas" w:hAnsi="Consolas"/>
          <w:color w:val="B03060"/>
          <w:sz w:val="19"/>
        </w:rPr>
        <w:t>yyyy-MM-dd</w:t>
      </w:r>
      <w:r>
        <w:t>.</w:t>
      </w:r>
    </w:p>
    <w:p>
      <w:pPr>
        <w:pStyle w:val="ListBullet"/>
      </w:pPr>
      <w:r>
        <w:rPr>
          <w:b/>
        </w:rPr>
        <w:t>Accessibility (C6):</w:t>
      </w:r>
      <w:r>
        <w:t xml:space="preserve"> WCAG 2.1 AA. </w:t>
      </w:r>
      <w:r>
        <w:rPr>
          <w:rFonts w:ascii="Consolas" w:hAnsi="Consolas"/>
          <w:color w:val="B03060"/>
          <w:sz w:val="19"/>
        </w:rPr>
        <w:t>scope="col"</w:t>
      </w:r>
      <w:r>
        <w:t xml:space="preserve"> on </w:t>
      </w:r>
      <w:r>
        <w:rPr>
          <w:rFonts w:ascii="Consolas" w:hAnsi="Consolas"/>
          <w:color w:val="B03060"/>
          <w:sz w:val="19"/>
        </w:rPr>
        <w:t>&lt;th&gt;</w:t>
      </w:r>
      <w:r>
        <w:t>, visually-hidden captions,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aria-label</w:t>
      </w:r>
      <w:r>
        <w:t xml:space="preserve"> on icon links, icons </w:t>
      </w:r>
      <w:r>
        <w:rPr>
          <w:rFonts w:ascii="Consolas" w:hAnsi="Consolas"/>
          <w:color w:val="B03060"/>
          <w:sz w:val="19"/>
        </w:rPr>
        <w:t>aria-hidden</w:t>
      </w:r>
      <w:r>
        <w:t xml:space="preserve">. axe-core runs in CI (within </w:t>
      </w:r>
      <w:r>
        <w:rPr>
          <w:rFonts w:ascii="Consolas" w:hAnsi="Consolas"/>
          <w:color w:val="B03060"/>
          <w:sz w:val="19"/>
        </w:rPr>
        <w:t>npm test</w:t>
      </w:r>
      <w:r>
        <w:t>) and</w:t>
      </w:r>
    </w:p>
    <w:p>
      <w:r>
        <w:t xml:space="preserve">  in e2e; new serious/critical violations fail the build.</w:t>
      </w:r>
    </w:p>
    <w:p>
      <w:pPr>
        <w:pStyle w:val="Heading2"/>
      </w:pPr>
      <w:r>
        <w:t>11. The C-series conventions at a glance</w:t>
      </w:r>
    </w:p>
    <w:p>
      <w:r>
        <w:t>These are the conventions enforced as first-class automated gates (unit, e2e, and the C1 static</w:t>
      </w:r>
    </w:p>
    <w:p>
      <w:r>
        <w:t>check). Full detail in [docs/testing/test-cases/24-conventions-cross-cutting.md](../testing/test-cases/24-conventions-cross-cutting.md).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Convention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C1</w:t>
            </w:r>
          </w:p>
        </w:tc>
        <w:tc>
          <w:tcPr>
            <w:tcW w:type="dxa" w:w="4320"/>
          </w:tcPr>
          <w:p>
            <w:r>
              <w:t>Identity: uid only in the URL path; never shown / hand-typed; resources chosen via picker; no numeric id in a URL.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ApiResponse&lt;T&gt;</w:t>
            </w:r>
            <w:r>
              <w:t xml:space="preserve"> envelope (auto-wrap server-side, auto-unwrap client-side).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C3</w:t>
            </w:r>
          </w:p>
        </w:tc>
        <w:tc>
          <w:tcPr>
            <w:tcW w:type="dxa" w:w="4320"/>
          </w:tcPr>
          <w:p>
            <w:r>
              <w:t>RBAC by permission code, never role name; gates mirror the backend codes.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C4</w:t>
            </w:r>
          </w:p>
        </w:tc>
        <w:tc>
          <w:tcPr>
            <w:tcW w:type="dxa" w:w="4320"/>
          </w:tcPr>
          <w:p>
            <w:r>
              <w:t>Four-state screens (loading / empty / error / forbidden).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C5</w:t>
            </w:r>
          </w:p>
        </w:tc>
        <w:tc>
          <w:tcPr>
            <w:tcW w:type="dxa" w:w="4320"/>
          </w:tcPr>
          <w:p>
            <w:r>
              <w:t>Pagination controls (first / prev / numbers / next / last).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C6</w:t>
            </w:r>
          </w:p>
        </w:tc>
        <w:tc>
          <w:tcPr>
            <w:tcW w:type="dxa" w:w="4320"/>
          </w:tcPr>
          <w:p>
            <w:r>
              <w:t>WCAG 2.1 AA / axe — no new serious/critical violations.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C7</w:t>
            </w:r>
          </w:p>
        </w:tc>
        <w:tc>
          <w:tcPr>
            <w:tcW w:type="dxa" w:w="4320"/>
          </w:tcPr>
          <w:p>
            <w:r>
              <w:t>Multi-company + multi-branch isolation.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C8</w:t>
            </w:r>
          </w:p>
        </w:tc>
        <w:tc>
          <w:tcPr>
            <w:tcW w:type="dxa" w:w="4320"/>
          </w:tcPr>
          <w:p>
            <w:r>
              <w:t>Money (</w:t>
            </w:r>
            <w:r>
              <w:rPr>
                <w:rFonts w:ascii="Consolas" w:hAnsi="Consolas"/>
                <w:color w:val="B03060"/>
                <w:sz w:val="19"/>
              </w:rPr>
              <w:t>CUR 1,234.56</w:t>
            </w:r>
            <w:r>
              <w:t>) and date (ISO) formatting.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C9</w:t>
            </w:r>
          </w:p>
        </w:tc>
        <w:tc>
          <w:tcPr>
            <w:tcW w:type="dxa" w:w="4320"/>
          </w:tcPr>
          <w:p>
            <w:r>
              <w:t>Soft-delete / archive for masters; append-only postings for ledgers.</w:t>
            </w:r>
          </w:p>
        </w:tc>
      </w:tr>
    </w:tbl>
    <w:p/>
    <w:p>
      <w:r>
        <w:br/>
      </w:r>
    </w:p>
    <w:p>
      <w:pPr>
        <w:pStyle w:val="Heading1"/>
      </w:pPr>
      <w:r>
        <w:t>Testing</w:t>
      </w:r>
    </w:p>
    <w:p>
      <w:r>
        <w:t>ERPCLEAN2 is verified by a layered test pyramid — JUnit unit tests, Testcontainers</w:t>
      </w:r>
    </w:p>
    <w:p>
      <w:r>
        <w:t>integration tests, Vitest web unit tests (including an axe a11y gate), Playwright e2e</w:t>
      </w:r>
    </w:p>
    <w:p>
      <w:r>
        <w:t>(with axe), and a static identity-discipline gate — backed by a 1,150-case manual/automated</w:t>
      </w:r>
    </w:p>
    <w:p>
      <w:r>
        <w:t>test-case suite. This document describes each level, how to run it, and how findings flow into</w:t>
      </w:r>
    </w:p>
    <w:p>
      <w:r>
        <w:t>the issues register.</w:t>
      </w:r>
    </w:p>
    <w:p>
      <w:r>
        <w:t>The execution strategy is in</w:t>
      </w:r>
    </w:p>
    <w:p>
      <w:r>
        <w:t>[docs/testing/TESTING-STRATEGY.md](../testing/TESTING-STRATEGY.md); the per-module cases are in</w:t>
      </w:r>
    </w:p>
    <w:p>
      <w:r>
        <w:t>[docs/testing/test-cases/](../testing/test-cases/).</w:t>
      </w:r>
    </w:p>
    <w:p>
      <w:pPr>
        <w:pStyle w:val="Heading2"/>
      </w:pPr>
      <w:r>
        <w:t>1. The test pyramid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Run</w:t>
            </w:r>
          </w:p>
        </w:tc>
      </w:tr>
      <w:tr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JUnit (surefire)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backend/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mvn test</w:t>
            </w:r>
          </w:p>
        </w:tc>
      </w:tr>
      <w:tr>
        <w:tc>
          <w:tcPr>
            <w:tcW w:type="dxa" w:w="1728"/>
          </w:tcPr>
          <w:p>
            <w:r>
              <w:t>Architecture gates</w:t>
            </w:r>
          </w:p>
        </w:tc>
        <w:tc>
          <w:tcPr>
            <w:tcW w:type="dxa" w:w="1728"/>
          </w:tcPr>
          <w:p>
            <w:r>
              <w:t>ArchUnit (surefire)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backend/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mvn test</w:t>
            </w:r>
          </w:p>
        </w:tc>
      </w:tr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Spring + Testcontainers Postgres (failsafe)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backend/</w:t>
            </w:r>
          </w:p>
        </w:tc>
        <w:tc>
          <w:tcPr>
            <w:tcW w:type="dxa" w:w="1728"/>
          </w:tcPr>
          <w:p>
            <w:r>
              <w:t>~98 ITs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mvn verify</w:t>
            </w:r>
          </w:p>
        </w:tc>
      </w:tr>
      <w:tr>
        <w:tc>
          <w:tcPr>
            <w:tcW w:type="dxa" w:w="1728"/>
          </w:tcPr>
          <w:p>
            <w:r>
              <w:t>Web unit</w:t>
            </w:r>
          </w:p>
        </w:tc>
        <w:tc>
          <w:tcPr>
            <w:tcW w:type="dxa" w:w="1728"/>
          </w:tcPr>
          <w:p>
            <w:r>
              <w:t>Vitest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web/</w:t>
            </w:r>
          </w:p>
        </w:tc>
        <w:tc>
          <w:tcPr>
            <w:tcW w:type="dxa" w:w="1728"/>
          </w:tcPr>
          <w:p>
            <w:r>
              <w:t>678 specs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npm test</w:t>
            </w:r>
          </w:p>
        </w:tc>
      </w:tr>
      <w:tr>
        <w:tc>
          <w:tcPr>
            <w:tcW w:type="dxa" w:w="1728"/>
          </w:tcPr>
          <w:p>
            <w:r>
              <w:t>Web a11y</w:t>
            </w:r>
          </w:p>
        </w:tc>
        <w:tc>
          <w:tcPr>
            <w:tcW w:type="dxa" w:w="1728"/>
          </w:tcPr>
          <w:p>
            <w:r>
              <w:t>jest-axe (inside Vitest)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web/</w:t>
            </w:r>
          </w:p>
        </w:tc>
        <w:tc>
          <w:tcPr>
            <w:tcW w:type="dxa" w:w="1728"/>
          </w:tcPr>
          <w:p>
            <w:r>
              <w:t>(within the 678)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npm test</w:t>
            </w:r>
          </w:p>
        </w:tc>
      </w:tr>
      <w:tr>
        <w:tc>
          <w:tcPr>
            <w:tcW w:type="dxa" w:w="1728"/>
          </w:tcPr>
          <w:p>
            <w:r>
              <w:t>C1 static gate</w:t>
            </w:r>
          </w:p>
        </w:tc>
        <w:tc>
          <w:tcPr>
            <w:tcW w:type="dxa" w:w="1728"/>
          </w:tcPr>
          <w:p>
            <w:r>
              <w:t>Node script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web/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npm run c1</w:t>
            </w:r>
          </w:p>
        </w:tc>
      </w:tr>
      <w:tr>
        <w:tc>
          <w:tcPr>
            <w:tcW w:type="dxa" w:w="1728"/>
          </w:tcPr>
          <w:p>
            <w:r>
              <w:t>System e2e</w:t>
            </w:r>
          </w:p>
        </w:tc>
        <w:tc>
          <w:tcPr>
            <w:tcW w:type="dxa" w:w="1728"/>
          </w:tcPr>
          <w:p>
            <w:r>
              <w:t>Playwright + axe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web/e2e/</w:t>
            </w:r>
          </w:p>
        </w:tc>
        <w:tc>
          <w:tcPr>
            <w:tcW w:type="dxa" w:w="1728"/>
          </w:tcPr>
          <w:p>
            <w:r>
              <w:t>data-driven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B03060"/>
                <w:sz w:val="19"/>
              </w:rPr>
              <w:t>npm run e2e</w:t>
            </w:r>
          </w:p>
        </w:tc>
      </w:tr>
    </w:tbl>
    <w:p/>
    <w:p>
      <w:r>
        <w:t>The pyramid widens upward in coverage and downward in speed: the surefire layer is the fast PR</w:t>
      </w:r>
    </w:p>
    <w:p>
      <w:r>
        <w:t>gate; the Testcontainers ITs and Playwright e2e are the slower, higher-fidelity layers.</w:t>
      </w:r>
    </w:p>
    <w:p>
      <w:pPr>
        <w:pStyle w:val="Heading2"/>
      </w:pPr>
      <w:r>
        <w:t>2. Backend — unit and architecture gates</w:t>
      </w:r>
    </w:p>
    <w:p>
      <w:pPr>
        <w:shd w:fill="F2F2F2"/>
      </w:pPr>
      <w:r>
        <w:rPr>
          <w:rFonts w:ascii="Consolas" w:hAnsi="Consolas"/>
          <w:sz w:val="18"/>
        </w:rPr>
        <w:t>cd backend</w:t>
        <w:br/>
        <w:t>mvn test          # compile + surefire: JUnit unit tests + ArchUnit gates</w:t>
      </w:r>
    </w:p>
    <w:p>
      <w:r>
        <w:t xml:space="preserve">Two ArchUnit gates run in this fast phase and </w:t>
      </w:r>
      <w:r>
        <w:rPr>
          <w:b/>
        </w:rPr>
        <w:t>fail the build</w:t>
      </w:r>
      <w:r>
        <w:t xml:space="preserve"> on violation:</w:t>
      </w:r>
    </w:p>
    <w:p>
      <w:pPr>
        <w:pStyle w:val="ListBullet"/>
      </w:pPr>
      <w:r>
        <w:rPr>
          <w:b/>
        </w:rPr>
        <w:t>`ModuleBoundaryTest`</w:t>
      </w:r>
      <w:r>
        <w:t xml:space="preserve"> — enforces the modular-monolith layering: controllers may not touch</w:t>
      </w:r>
    </w:p>
    <w:p>
      <w:r>
        <w:t xml:space="preserve">  repositories; a module does not import another module's entity/service; cross-module</w:t>
      </w:r>
    </w:p>
    <w:p>
      <w:r>
        <w:t xml:space="preserve">  communication is via DTOs/enums and the outbox only.</w:t>
      </w:r>
    </w:p>
    <w:p>
      <w:pPr>
        <w:pStyle w:val="ListBullet"/>
      </w:pPr>
      <w:r>
        <w:rPr>
          <w:b/>
        </w:rPr>
        <w:t>`EndpointAuthorizationTest`</w:t>
      </w:r>
      <w:r>
        <w:t xml:space="preserve"> — scans every </w:t>
      </w:r>
      <w:r>
        <w:rPr>
          <w:rFonts w:ascii="Consolas" w:hAnsi="Consolas"/>
          <w:color w:val="B03060"/>
          <w:sz w:val="19"/>
        </w:rPr>
        <w:t>@RestController</w:t>
      </w:r>
      <w:r>
        <w:t xml:space="preserve"> under </w:t>
      </w:r>
      <w:r>
        <w:rPr>
          <w:rFonts w:ascii="Consolas" w:hAnsi="Consolas"/>
          <w:color w:val="B03060"/>
          <w:sz w:val="19"/>
        </w:rPr>
        <w:t>com.erp.api</w:t>
      </w:r>
      <w:r>
        <w:t xml:space="preserve"> and fails</w:t>
      </w:r>
    </w:p>
    <w:p>
      <w:r>
        <w:t xml:space="preserve">  if any handler lacks a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gate. The public-endpoint allowlist is exactly 4</w:t>
      </w:r>
    </w:p>
    <w:p>
      <w:r>
        <w:t xml:space="preserve">  endpoints (see [04-security.md](04-security.md) §5). This makes deny-by-default a build</w:t>
      </w:r>
    </w:p>
    <w:p>
      <w:r>
        <w:t xml:space="preserve">  guarantee.</w:t>
      </w:r>
    </w:p>
    <w:p>
      <w:r>
        <w:t xml:space="preserve">This is the </w:t>
      </w:r>
      <w:r>
        <w:rPr>
          <w:b/>
        </w:rPr>
        <w:t>required</w:t>
      </w:r>
      <w:r>
        <w:t xml:space="preserve"> gate in </w:t>
      </w:r>
      <w:r>
        <w:rPr>
          <w:rFonts w:ascii="Consolas" w:hAnsi="Consolas"/>
          <w:color w:val="B03060"/>
          <w:sz w:val="19"/>
        </w:rPr>
        <w:t>backend-ci.yml</w:t>
      </w:r>
      <w:r>
        <w:t xml:space="preserve">'s </w:t>
      </w:r>
      <w:r>
        <w:rPr>
          <w:rFonts w:ascii="Consolas" w:hAnsi="Consolas"/>
          <w:color w:val="B03060"/>
          <w:sz w:val="19"/>
        </w:rPr>
        <w:t>fast-check</w:t>
      </w:r>
      <w:r>
        <w:t xml:space="preserve"> job — fast, no Docker.</w:t>
      </w:r>
    </w:p>
    <w:p>
      <w:pPr>
        <w:pStyle w:val="Heading2"/>
      </w:pPr>
      <w:r>
        <w:t>3. Backend — integration tests (Testcontainers)</w:t>
      </w:r>
    </w:p>
    <w:p>
      <w:pPr>
        <w:shd w:fill="F2F2F2"/>
      </w:pPr>
      <w:r>
        <w:rPr>
          <w:rFonts w:ascii="Consolas" w:hAnsi="Consolas"/>
          <w:sz w:val="18"/>
        </w:rPr>
        <w:t>cd backend</w:t>
        <w:br/>
        <w:t>mvn verify        # surefire + failsafe: ~98 Spring + Testcontainers Postgres ITs</w:t>
      </w:r>
    </w:p>
    <w:p>
      <w:r>
        <w:t xml:space="preserve">The ITs boot a full Spring context against a </w:t>
      </w:r>
      <w:r>
        <w:rPr>
          <w:b/>
        </w:rPr>
        <w:t>real PostgreSQL 15</w:t>
      </w:r>
      <w:r>
        <w:t xml:space="preserve"> container, so they exercise</w:t>
      </w:r>
    </w:p>
    <w:p>
      <w:r>
        <w:t>Flyway migrations, the tenant predicate, RBAC gates, the outbox, and HTTP-level filter behaviour</w:t>
      </w:r>
    </w:p>
    <w:p>
      <w:r>
        <w:t>(e.g. the branch-override 403 path that service-level tests cannot see — ADR-0003 D-2).</w:t>
      </w:r>
    </w:p>
    <w:p>
      <w:pPr>
        <w:pStyle w:val="ListBullet"/>
      </w:pPr>
      <w:r>
        <w:t xml:space="preserve">A </w:t>
      </w:r>
      <w:r>
        <w:rPr>
          <w:b/>
        </w:rPr>
        <w:t>singleton container per JVM</w:t>
      </w:r>
      <w:r>
        <w:t xml:space="preserve"> with </w:t>
      </w:r>
      <w:r>
        <w:rPr>
          <w:b/>
        </w:rPr>
        <w:t>Ryuk disabled</w:t>
      </w:r>
      <w:r>
        <w:t xml:space="preserve"> (</w:t>
      </w:r>
      <w:r>
        <w:rPr>
          <w:rFonts w:ascii="Consolas" w:hAnsi="Consolas"/>
          <w:color w:val="B03060"/>
          <w:sz w:val="19"/>
        </w:rPr>
        <w:t>PostgresIntegrationTest</w:t>
      </w:r>
      <w:r>
        <w:t xml:space="preserve"> /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testcontainers.properties</w:t>
      </w:r>
      <w:r>
        <w:t>) — required on Windows/Docker-Desktop, harmless on Linux CI.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B03060"/>
          <w:sz w:val="19"/>
        </w:rPr>
        <w:t>@Scheduled</w:t>
      </w:r>
      <w:r>
        <w:t xml:space="preserve"> outbox poller is disabled in ITs (</w:t>
      </w:r>
      <w:r>
        <w:rPr>
          <w:rFonts w:ascii="Consolas" w:hAnsi="Consolas"/>
          <w:color w:val="B03060"/>
          <w:sz w:val="19"/>
        </w:rPr>
        <w:t>erp.outbox.scheduling-enabled=false</w:t>
      </w:r>
      <w:r>
        <w:t>) so</w:t>
      </w:r>
    </w:p>
    <w:p>
      <w:r>
        <w:t xml:space="preserve">  it does not race assertions; </w:t>
      </w:r>
      <w:r>
        <w:rPr>
          <w:rFonts w:ascii="Consolas" w:hAnsi="Consolas"/>
          <w:color w:val="B03060"/>
          <w:sz w:val="19"/>
        </w:rPr>
        <w:t>@DynamicPropertySource</w:t>
      </w:r>
      <w:r>
        <w:t xml:space="preserve"> overrides the datasource; </w:t>
      </w:r>
      <w:r>
        <w:rPr>
          <w:rFonts w:ascii="Consolas" w:hAnsi="Consolas"/>
          <w:color w:val="B03060"/>
          <w:sz w:val="19"/>
        </w:rPr>
        <w:t>MailStubConfig</w:t>
      </w:r>
    </w:p>
    <w:p>
      <w:r>
        <w:t xml:space="preserve">  stubs the mail sender; bootstrap is disabled by the test properties.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clean verify</w:t>
      </w:r>
      <w:r>
        <w:t xml:space="preserve"> is the source of truth — an incremental compile gave a false green in a prior</w:t>
      </w:r>
    </w:p>
    <w:p>
      <w:r>
        <w:t xml:space="preserve">  wave; always run the clean build before trusting a green.</w:t>
      </w:r>
    </w:p>
    <w:p>
      <w:r>
        <w:t xml:space="preserve">In CI this is </w:t>
      </w:r>
      <w:r>
        <w:rPr>
          <w:rFonts w:ascii="Consolas" w:hAnsi="Consolas"/>
          <w:color w:val="B03060"/>
          <w:sz w:val="19"/>
        </w:rPr>
        <w:t>backend-ci.yml</w:t>
      </w:r>
      <w:r>
        <w:t xml:space="preserve">'s </w:t>
      </w:r>
      <w:r>
        <w:rPr>
          <w:rFonts w:ascii="Consolas" w:hAnsi="Consolas"/>
          <w:color w:val="B03060"/>
          <w:sz w:val="19"/>
        </w:rPr>
        <w:t>integration-test</w:t>
      </w:r>
      <w:r>
        <w:t xml:space="preserve"> job (observe-only until proven stable, then</w:t>
      </w:r>
    </w:p>
    <w:p>
      <w:r>
        <w:t>promoted to required).</w:t>
      </w:r>
    </w:p>
    <w:p>
      <w:pPr>
        <w:pStyle w:val="Heading2"/>
      </w:pPr>
      <w:r>
        <w:t>4. Web — unit and a11y</w:t>
      </w:r>
    </w:p>
    <w:p>
      <w:pPr>
        <w:shd w:fill="F2F2F2"/>
      </w:pPr>
      <w:r>
        <w:rPr>
          <w:rFonts w:ascii="Consolas" w:hAnsi="Consolas"/>
          <w:sz w:val="18"/>
        </w:rPr>
        <w:t>cd web</w:t>
        <w:br/>
        <w:t>npm test                          # Vitest, 678 specs, includes the jest-axe a11y gate</w:t>
        <w:br/>
        <w:t>npx vitest run &lt;path-to-spec&gt;     # a single spec</w:t>
        <w:br/>
        <w:t>npm run build                     # type-check + bundle, must be zero errors</w:t>
      </w:r>
    </w:p>
    <w:p>
      <w:r>
        <w:t xml:space="preserve">Each feature ships a </w:t>
      </w:r>
      <w:r>
        <w:rPr>
          <w:rFonts w:ascii="Consolas" w:hAnsi="Consolas"/>
          <w:color w:val="B03060"/>
          <w:sz w:val="19"/>
        </w:rPr>
        <w:t>*-list.component.spec.ts</w:t>
      </w:r>
      <w:r>
        <w:t xml:space="preserve"> covering the standard cases: load-once,</w:t>
      </w:r>
    </w:p>
    <w:p>
      <w:r>
        <w:rPr>
          <w:rFonts w:ascii="Consolas" w:hAnsi="Consolas"/>
          <w:color w:val="B03060"/>
          <w:sz w:val="19"/>
        </w:rPr>
        <w:t>isEmpty</w:t>
      </w:r>
      <w:r>
        <w:t xml:space="preserve">, the validation guard, the success payload, and </w:t>
      </w:r>
      <w:r>
        <w:rPr>
          <w:rFonts w:ascii="Consolas" w:hAnsi="Consolas"/>
          <w:color w:val="B03060"/>
          <w:sz w:val="19"/>
        </w:rPr>
        <w:t>403 → 'forbidden'</w:t>
      </w:r>
      <w:r>
        <w:t>. The axe a11y</w:t>
      </w:r>
    </w:p>
    <w:p>
      <w:r>
        <w:t>checks run inside Vitest, so accessibility regressions fail the same command.</w:t>
      </w:r>
    </w:p>
    <w:p>
      <w:pPr>
        <w:pStyle w:val="Heading2"/>
      </w:pPr>
      <w:r>
        <w:t>5. The C1 static gate</w:t>
      </w:r>
    </w:p>
    <w:p>
      <w:pPr>
        <w:shd w:fill="F2F2F2"/>
      </w:pPr>
      <w:r>
        <w:rPr>
          <w:rFonts w:ascii="Consolas" w:hAnsi="Consolas"/>
          <w:sz w:val="18"/>
        </w:rPr>
        <w:t>cd web</w:t>
        <w:br/>
        <w:t>npm run c1        # web/scripts/c1-check.mjs</w:t>
      </w:r>
    </w:p>
    <w:p>
      <w:r>
        <w:t>This statically enforces identity discipline (convention C1, [06-conventions.md](06-conventions.md)</w:t>
      </w:r>
    </w:p>
    <w:p>
      <w:r>
        <w:t xml:space="preserve">§4): uids must not leak into the UI, resources must be chosen via </w:t>
      </w:r>
      <w:r>
        <w:rPr>
          <w:rFonts w:ascii="Consolas" w:hAnsi="Consolas"/>
          <w:color w:val="B03060"/>
          <w:sz w:val="19"/>
        </w:rPr>
        <w:t>&lt;app-uid-picker&gt;</w:t>
      </w:r>
      <w:r>
        <w:t xml:space="preserve"> (no</w:t>
      </w:r>
    </w:p>
    <w:p>
      <w:r>
        <w:t>free-text uid/id inputs), and no numeric id may appear in a URL path. It is a fast, dependency-free</w:t>
      </w:r>
    </w:p>
    <w:p>
      <w:r>
        <w:t xml:space="preserve">check run alongside </w:t>
      </w:r>
      <w:r>
        <w:rPr>
          <w:rFonts w:ascii="Consolas" w:hAnsi="Consolas"/>
          <w:color w:val="B03060"/>
          <w:sz w:val="19"/>
        </w:rPr>
        <w:t>npm run build</w:t>
      </w:r>
      <w:r>
        <w:t xml:space="preserve"> and </w:t>
      </w:r>
      <w:r>
        <w:rPr>
          <w:rFonts w:ascii="Consolas" w:hAnsi="Consolas"/>
          <w:color w:val="B03060"/>
          <w:sz w:val="19"/>
        </w:rPr>
        <w:t>npm test</w:t>
      </w:r>
      <w:r>
        <w:t>.</w:t>
      </w:r>
    </w:p>
    <w:p>
      <w:pPr>
        <w:pStyle w:val="Heading2"/>
      </w:pPr>
      <w:r>
        <w:t>6. System e2e — Playwright + axe</w:t>
      </w:r>
    </w:p>
    <w:p>
      <w:pPr>
        <w:shd w:fill="F2F2F2"/>
      </w:pPr>
      <w:r>
        <w:rPr>
          <w:rFonts w:ascii="Consolas" w:hAnsi="Consolas"/>
          <w:sz w:val="18"/>
        </w:rPr>
        <w:t># Bring-up (local is the canonical e2e environment)</w:t>
        <w:br/>
        <w:t>docker compose up -d db</w:t>
        <w:br/>
        <w:t>cd backend &amp;&amp; SPRING_PROFILES_ACTIVE=dev ERP_API_PORT=8081 mvn spring-boot:run</w:t>
        <w:br/>
        <w:t>cd web &amp;&amp; npm run e2e:install                # Chromium, first time only</w:t>
        <w:br/>
        <w:t>node e2e/full-coverage-drive.js             # seed volume data via the API</w:t>
        <w:br/>
        <w:br/>
        <w:t># Run (Playwright auto-starts ng serve on :4200)</w:t>
        <w:br/>
        <w:t>cd web &amp;&amp; ROOT_PASS=RootPass12345 npm run e2e</w:t>
      </w:r>
    </w:p>
    <w:p>
      <w:r>
        <w:t>The suite (</w:t>
      </w:r>
      <w:r>
        <w:rPr>
          <w:rFonts w:ascii="Consolas" w:hAnsi="Consolas"/>
          <w:color w:val="B03060"/>
          <w:sz w:val="19"/>
        </w:rPr>
        <w:t>web/e2e/</w:t>
      </w:r>
      <w:r>
        <w:t>) is layered so coverage is broad and failures are unambiguous: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L1 Auth &amp; RBAC</w:t>
            </w:r>
          </w:p>
        </w:tc>
        <w:tc>
          <w:tcPr>
            <w:tcW w:type="dxa" w:w="4320"/>
          </w:tcPr>
          <w:p>
            <w:r>
              <w:t>Login per role; nav visibility per permission; forbidden-route handling; cross-tenant denial.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L2 Route smoke</w:t>
            </w:r>
          </w:p>
        </w:tc>
        <w:tc>
          <w:tcPr>
            <w:tcW w:type="dxa" w:w="4320"/>
          </w:tcPr>
          <w:p>
            <w:r>
              <w:t>Every admin route loads (no error state, heading visible, no console error / API 5xx) + axe scan. Data-driven from the route list.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L3 Conventions</w:t>
            </w:r>
          </w:p>
        </w:tc>
        <w:tc>
          <w:tcPr>
            <w:tcW w:type="dxa" w:w="4320"/>
          </w:tcPr>
          <w:p>
            <w:r>
              <w:t>C1 (uid never shown, picker used), C4 (four-state), C5 (pagination), C6 (axe), C8 (money/date).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L4 Lifecycle flows</w:t>
            </w:r>
          </w:p>
        </w:tc>
        <w:tc>
          <w:tcPr>
            <w:tcW w:type="dxa" w:w="4320"/>
          </w:tcPr>
          <w:p>
            <w:r>
              <w:t>The create → action → state journeys per module, grounded in the per-module test-case docs.</w:t>
            </w:r>
          </w:p>
        </w:tc>
      </w:tr>
    </w:tbl>
    <w:p/>
    <w:p>
      <w:r>
        <w:t xml:space="preserve">Assertions navigate by </w:t>
      </w:r>
      <w:r>
        <w:rPr>
          <w:b/>
        </w:rPr>
        <w:t>route</w:t>
      </w:r>
      <w:r>
        <w:t xml:space="preserve"> and interact by </w:t>
      </w:r>
      <w:r>
        <w:rPr>
          <w:b/>
        </w:rPr>
        <w:t>accessible role/label/placeholder</w:t>
      </w:r>
      <w:r>
        <w:t xml:space="preserve"> — never</w:t>
      </w:r>
    </w:p>
    <w:p>
      <w:r>
        <w:t>by uid. The C1 gate asserts no ULID/numeric-id text appears in a visible cell and that resource</w:t>
      </w:r>
    </w:p>
    <w:p>
      <w:r>
        <w:t>selectors are pickers, not free-text uid inputs. axe runs on representative screens; serious /</w:t>
      </w:r>
    </w:p>
    <w:p>
      <w:r>
        <w:t xml:space="preserve">critical violations fail. Each Playwright test maps back to a </w:t>
      </w:r>
      <w:r>
        <w:rPr>
          <w:rFonts w:ascii="Consolas" w:hAnsi="Consolas"/>
          <w:color w:val="B03060"/>
          <w:sz w:val="19"/>
        </w:rPr>
        <w:t>TC-&lt;DOMAIN&gt;-NNN</w:t>
      </w:r>
      <w:r>
        <w:t xml:space="preserve"> id so coverage is</w:t>
      </w:r>
    </w:p>
    <w:p>
      <w:r>
        <w:t xml:space="preserve">traceable. Playwright e2e is wired into </w:t>
      </w:r>
      <w:r>
        <w:rPr>
          <w:rFonts w:ascii="Consolas" w:hAnsi="Consolas"/>
          <w:color w:val="B03060"/>
          <w:sz w:val="19"/>
        </w:rPr>
        <w:t>web-ci.yml</w:t>
      </w:r>
      <w:r>
        <w:t xml:space="preserve"> but not auto-triggered (it needs a running</w:t>
      </w:r>
    </w:p>
    <w:p>
      <w:r>
        <w:t xml:space="preserve">backend) — run it locally or via </w:t>
      </w:r>
      <w:r>
        <w:rPr>
          <w:rFonts w:ascii="Consolas" w:hAnsi="Consolas"/>
          <w:color w:val="B03060"/>
          <w:sz w:val="19"/>
        </w:rPr>
        <w:t>workflow_dispatch</w:t>
      </w:r>
      <w:r>
        <w:t>.</w:t>
      </w:r>
    </w:p>
    <w:p>
      <w:pPr>
        <w:pStyle w:val="Heading2"/>
      </w:pPr>
      <w:r>
        <w:t>7. The test-case suite (1,150 cases)</w:t>
      </w:r>
    </w:p>
    <w:p>
      <w:r>
        <w:t xml:space="preserve">[docs/testing/test-cases/](../testing/test-cases/) holds </w:t>
      </w:r>
      <w:r>
        <w:rPr>
          <w:b/>
        </w:rPr>
        <w:t>1,150 cases across 25 documents</w:t>
      </w:r>
      <w:r>
        <w:t xml:space="preserve"> —</w:t>
      </w:r>
    </w:p>
    <w:p>
      <w:r>
        <w:t>one per module plus a strategy doc, an RBAC matrix, and a cross-cutting conventions doc. They</w:t>
      </w:r>
    </w:p>
    <w:p>
      <w:r>
        <w:t>were authored from the real code (controllers, routes, DTOs, enums, migrations) and</w:t>
      </w:r>
    </w:p>
    <w:p>
      <w:r>
        <w:rPr>
          <w:b/>
        </w:rPr>
        <w:t>adversarially verified</w:t>
      </w:r>
      <w:r>
        <w:t>: a second pass grep-confirmed every cited endpoint, permission code,</w:t>
      </w:r>
    </w:p>
    <w:p>
      <w:r>
        <w:t>enum value, and route. Each is the best per-module reference for screens, routes, permissions,</w:t>
      </w:r>
    </w:p>
    <w:p>
      <w:r>
        <w:t>fields, status lifecycles, and flows.</w:t>
      </w:r>
    </w:p>
    <w:p>
      <w:r>
        <w:t xml:space="preserve">The cases are </w:t>
      </w:r>
      <w:r>
        <w:rPr>
          <w:b/>
        </w:rPr>
        <w:t>UI-first</w:t>
      </w:r>
      <w:r>
        <w:t>: written to drive automated Playwright e2e (navigate by route, pick by</w:t>
      </w:r>
    </w:p>
    <w:p>
      <w:r>
        <w:t>name, assert four-state + pagination + axe + RBAC) and to double as manual UAT scripts. Start with</w:t>
      </w:r>
    </w:p>
    <w:p>
      <w:r>
        <w:t>[00 — Test Strategy &amp; Environment](../testing/test-cases/00-test-strategy-and-environment.md) for</w:t>
      </w:r>
    </w:p>
    <w:p>
      <w:r>
        <w:t>the environment matrix (all user/branch/entity types), the ID scheme, and the C1–C9 convention</w:t>
      </w:r>
    </w:p>
    <w:p>
      <w:r>
        <w:t>charter; the [README](../testing/test-cases/README.md) has the full catalogue and case counts.</w:t>
      </w:r>
    </w:p>
    <w:p>
      <w:pPr>
        <w:pStyle w:val="Heading2"/>
      </w:pPr>
      <w:r>
        <w:t>8. Issues register</w:t>
      </w:r>
    </w:p>
    <w:p>
      <w:r>
        <w:t>Findings flow into [docs/testing/ISSUES-REGISTER.md](../testing/ISSUES-REGISTER.md) (and</w:t>
      </w:r>
    </w:p>
    <w:p>
      <w:r>
        <w:t xml:space="preserve">[ISSUES.md](../testing/ISSUES.md)). Every e2e failure is triaged into </w:t>
      </w:r>
      <w:r>
        <w:rPr>
          <w:b/>
        </w:rPr>
        <w:t>real app defect</w:t>
      </w:r>
      <w:r>
        <w:t xml:space="preserve"> vs</w:t>
      </w:r>
    </w:p>
    <w:p>
      <w:r>
        <w:rPr>
          <w:b/>
        </w:rPr>
        <w:t>spec defect</w:t>
      </w:r>
      <w:r>
        <w:t xml:space="preserve"> (a flaw in the test): real defects are logged with id, severity, module, the</w:t>
      </w:r>
    </w:p>
    <w:p>
      <w:r>
        <w:rPr>
          <w:rFonts w:ascii="Consolas" w:hAnsi="Consolas"/>
          <w:color w:val="B03060"/>
          <w:sz w:val="19"/>
        </w:rPr>
        <w:t>TC-</w:t>
      </w:r>
      <w:r>
        <w:t>/spec that found it, route, role, steps, expected vs actual, and evidence</w:t>
      </w:r>
    </w:p>
    <w:p>
      <w:r>
        <w:t>(screenshot/trace); spec defects are fixed in the spec, not logged as product issues. Severity is</w:t>
      </w:r>
    </w:p>
    <w:p>
      <w:r>
        <w:t>P1 (blocking — cannot complete a core flow / 500 / auth broken), P2 (major), or P3 (minor).</w:t>
      </w:r>
    </w:p>
    <w:p>
      <w:r>
        <w:rPr>
          <w:b/>
        </w:rPr>
        <w:t>Release gate:</w:t>
      </w:r>
      <w:r>
        <w:t xml:space="preserve"> e2e L1+L2 fully green, L4 P1 flows green, and no open P1 in the issues register.</w:t>
      </w:r>
    </w:p>
    <w:p>
      <w:r>
        <w:t>Authoring the test-case suite already surfaced concrete defects to confirm when running — for</w:t>
      </w:r>
    </w:p>
    <w:p>
      <w:r>
        <w:t xml:space="preserve">example the POS permission prefix mismatch (controllers check </w:t>
      </w:r>
      <w:r>
        <w:rPr>
          <w:rFonts w:ascii="Consolas" w:hAnsi="Consolas"/>
          <w:color w:val="B03060"/>
          <w:sz w:val="19"/>
        </w:rPr>
        <w:t>POS.*</w:t>
      </w:r>
      <w:r>
        <w:t xml:space="preserve"> while the migration seeds</w:t>
      </w:r>
    </w:p>
    <w:p>
      <w:r>
        <w:rPr>
          <w:rFonts w:ascii="Consolas" w:hAnsi="Consolas"/>
          <w:color w:val="B03060"/>
          <w:sz w:val="19"/>
        </w:rPr>
        <w:t>SALES.POS.*</w:t>
      </w:r>
      <w:r>
        <w:t>, so the exact-match resolver denies every non-root user), hardcoded POS tender, and</w:t>
      </w:r>
    </w:p>
    <w:p>
      <w:r>
        <w:t>several create-path 500s. These are catalogued in the</w:t>
      </w:r>
    </w:p>
    <w:p>
      <w:r>
        <w:t>[test-cases README](../testing/test-cases/README.md).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