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brief, calm welcome ("Your workspace is ready"). The home page does </w:t>
      </w:r>
      <w:r>
        <w:rPr>
          <w:b/>
        </w:rPr>
        <w:t>not</w:t>
      </w:r>
      <w:r>
        <w:t xml:space="preserve"> repeat the menu — use the sidebar on the left to reach your work. (Personalised shortcuts on this page are planned for a future release.)</w:t>
      </w:r>
    </w:p>
    <w:p>
      <w:r>
        <w:t>The home page never requires a permission and never loads business data, so it is always safe to land on; this is why the system uses it as the silent redirect target for screens you cannot access.</w:t>
      </w:r>
    </w:p>
    <w:p>
      <w:r>
        <w:br/>
      </w:r>
    </w:p>
    <w:p>
      <w:pPr>
        <w:pStyle w:val="Heading2"/>
      </w:pPr>
      <w:r>
        <w:t>The Branch Switcher</w:t>
      </w:r>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pPr>
        <w:pStyle w:val="Heading2"/>
      </w:pPr>
      <w:r>
        <w:t>Organisation, Companies, and Branches</w:t>
      </w:r>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Your view is limited to companies within your active organisation and, for non-admin users, to companies you are scoped to act in.</w:t>
      </w:r>
    </w:p>
    <w:p>
      <w:r>
        <w:t>The Companies screen is intentionally lean: it lets you create a company (code and name), rename it inline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pPr>
        <w:pStyle w:val="Heading2"/>
      </w:pPr>
      <w:r>
        <w:t>Users</w:t>
      </w:r>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After creating the account you must also assign the user to at least one branch and grant them at least one role; a user with no branches and no roles can log in but will see no menu and have no active branch.</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Branches</w:t>
      </w:r>
      <w:r>
        <w:t xml:space="preserve"> (a link that opens the user's detail page at </w:t>
      </w:r>
      <w:r>
        <w:rPr>
          <w:rFonts w:ascii="Consolas" w:hAnsi="Consolas"/>
          <w:color w:val="B03060"/>
          <w:sz w:val="19"/>
        </w:rPr>
        <w:t>/admin/users/uid/&lt;uid&gt;</w:t>
      </w:r>
      <w:r>
        <w:t>). Root accounts do not show a Disable action.</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detail page</w:t>
      </w:r>
    </w:p>
    <w:p>
      <w:r>
        <w:t xml:space="preserve">Click </w:t>
      </w:r>
      <w:r>
        <w:rPr>
          <w:b/>
        </w:rPr>
        <w:t>Branches</w:t>
      </w:r>
      <w:r>
        <w:t xml:space="preserve"> on a user's row to open their detail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two management panels: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br/>
      </w:r>
    </w:p>
    <w:p>
      <w:pPr>
        <w:pStyle w:val="Heading2"/>
      </w:pPr>
      <w:r>
        <w:t>Roles</w:t>
      </w:r>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ROLE.MANAGE</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pPr>
        <w:pStyle w:val="Heading2"/>
      </w:pPr>
      <w:r>
        <w:t>Assigning Roles to Users</w:t>
      </w:r>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detail page. The </w:t>
      </w:r>
      <w:r>
        <w:rPr>
          <w:b/>
        </w:rPr>
        <w:t>Role Assignments</w:t>
      </w:r>
      <w:r>
        <w:t xml:space="preserve"> panel on </w:t>
      </w:r>
      <w:r>
        <w:rPr>
          <w:rFonts w:ascii="Consolas" w:hAnsi="Consolas"/>
          <w:color w:val="B03060"/>
          <w:sz w:val="19"/>
        </w:rPr>
        <w:t>/admin/users/uid/&lt;uid&gt;</w:t>
      </w:r>
      <w:r>
        <w:t xml:space="preserve"> (reached via </w:t>
      </w:r>
      <w:r>
        <w:rPr>
          <w:b/>
        </w:rPr>
        <w:t>Branches</w:t>
      </w:r>
      <w:r>
        <w:t xml:space="preserve"> on the user's row) has the same </w:t>
      </w:r>
      <w:r>
        <w:rPr>
          <w:b/>
        </w:rPr>
        <w:t>Grant Role</w:t>
      </w:r>
      <w:r>
        <w:t xml:space="preserve"> form (Role, Company, optional Branch) and a per-row </w:t>
      </w:r>
      <w:r>
        <w:rPr>
          <w:b/>
        </w:rPr>
        <w:t>Revoke</w:t>
      </w:r>
      <w:r>
        <w:t xml:space="preserve"> action, scoped to that single user.</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detail page (</w:t>
      </w:r>
      <w:r>
        <w:rPr>
          <w:rFonts w:ascii="Consolas" w:hAnsi="Consolas"/>
          <w:color w:val="B03060"/>
          <w:sz w:val="19"/>
        </w:rPr>
        <w:t>/admin/users/uid/&lt;uid&gt;</w:t>
      </w:r>
      <w:r>
        <w:t xml:space="preserve">) by clicking </w:t>
      </w:r>
      <w:r>
        <w:rPr>
          <w:b/>
        </w:rPr>
        <w:t>Branches</w:t>
      </w:r>
      <w:r>
        <w:t xml:space="preserve"> on the user's row in the </w:t>
      </w:r>
      <w:r>
        <w:rPr>
          <w:b/>
        </w:rPr>
        <w:t>Administration › Users</w:t>
      </w:r>
      <w:r>
        <w:t xml:space="preserve"> (</w:t>
      </w:r>
      <w:r>
        <w:rPr>
          <w:rFonts w:ascii="Consolas" w:hAnsi="Consolas"/>
          <w:color w:val="B03060"/>
          <w:sz w:val="19"/>
        </w:rPr>
        <w:t>/admin/users</w:t>
      </w:r>
      <w:r>
        <w:t>) list.</w:t>
      </w:r>
    </w:p>
    <w:p>
      <w:pPr>
        <w:pStyle w:val="Heading3"/>
      </w:pPr>
      <w:r>
        <w:t>Assigning a user to a branch</w:t>
      </w:r>
    </w:p>
    <w:p>
      <w:pPr>
        <w:pStyle w:val="ListNumber"/>
      </w:pPr>
      <w:r>
        <w:t xml:space="preserve">On the user detail page, find the </w:t>
      </w:r>
      <w:r>
        <w:rPr>
          <w:b/>
        </w:rPr>
        <w:t>Branch Assignments</w:t>
      </w:r>
      <w:r>
        <w:t xml:space="preserve"> panel.</w:t>
      </w:r>
    </w:p>
    <w:p>
      <w:pPr>
        <w:pStyle w:val="ListNumber"/>
      </w:pPr>
      <w:r>
        <w:t xml:space="preserve">Choose the </w:t>
      </w:r>
      <w:r>
        <w:rPr>
          <w:b/>
        </w:rPr>
        <w:t>Company</w:t>
      </w:r>
      <w:r>
        <w:t xml:space="preserve"> by name (only companies you are active in are shown).</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pPr>
        <w:pStyle w:val="Heading2"/>
      </w:pPr>
      <w:r>
        <w:t>Audit Trail</w:t>
      </w:r>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pPr>
        <w:pStyle w:val="Heading2"/>
      </w:pPr>
      <w:r>
        <w:t>Key Concepts Reference</w:t>
      </w:r>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pPr>
        <w:pStyle w:val="Heading2"/>
      </w:pPr>
      <w:r>
        <w:t>Suppliers</w:t>
      </w:r>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pPr>
        <w:pStyle w:val="Heading2"/>
      </w:pPr>
      <w:r>
        <w:t>Other Parties</w:t>
      </w:r>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pPr>
        <w:pStyle w:val="Heading2"/>
      </w:pPr>
      <w:r>
        <w:t>Sales Agents</w:t>
      </w:r>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pPr>
        <w:pStyle w:val="Heading2"/>
      </w:pPr>
      <w:r>
        <w:t>Products</w:t>
      </w:r>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pPr>
        <w:pStyle w:val="Heading3"/>
      </w:pPr>
      <w:r>
        <w:t>Product prices</w:t>
      </w:r>
    </w:p>
    <w:p>
      <w:r>
        <w:t xml:space="preserve">A </w:t>
      </w:r>
      <w:r>
        <w:rPr>
          <w:b/>
        </w:rPr>
        <w:t>product price</w:t>
      </w:r>
      <w:r>
        <w:t xml:space="preserve"> is the selling price of this product on a specific price list. A price must be set on a price list before the product can be sold at that list's rate. You can maintain different prices on different lists — for example, a higher retail price and a lower wholesale price for the same product.</w:t>
      </w:r>
    </w:p>
    <w:p>
      <w:r>
        <w:t>You can set a selling price for this product on each of your price lists.</w:t>
      </w:r>
    </w:p>
    <w:p>
      <w:pPr>
        <w:pStyle w:val="ListNumber"/>
      </w:pPr>
      <w:r>
        <w:t xml:space="preserve">In the </w:t>
      </w:r>
      <w:r>
        <w:rPr>
          <w:b/>
        </w:rPr>
        <w:t>Prices</w:t>
      </w:r>
      <w:r>
        <w:t xml:space="preserve"> panel, select the </w:t>
      </w:r>
      <w:r>
        <w:rPr>
          <w:b/>
        </w:rPr>
        <w:t>Price list</w:t>
      </w:r>
      <w:r>
        <w:t xml:space="preserve"> by its code and name.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t xml:space="preserve">Setting a price on a price list that already has a price for this product overwrites the existing price. To remove a price, click </w:t>
      </w:r>
      <w:r>
        <w:rPr>
          <w:b/>
        </w:rPr>
        <w:t>Remove</w:t>
      </w:r>
      <w:r>
        <w:t xml:space="preserve"> on the row.</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r>
        <w:t xml:space="preserve">The product </w:t>
      </w:r>
      <w:r>
        <w:rPr>
          <w:rFonts w:ascii="Consolas" w:hAnsi="Consolas"/>
          <w:color w:val="B03060"/>
          <w:sz w:val="19"/>
        </w:rPr>
        <w:t>PROD-0034 — Sugar 1kg</w:t>
      </w:r>
      <w:r>
        <w:t xml:space="preserve"> is now available for sale at the correct retail price and will appear in stock movements tracked in kilograms.</w:t>
      </w:r>
    </w:p>
    <w:p>
      <w:r>
        <w:br/>
      </w:r>
    </w:p>
    <w:p>
      <w:pPr>
        <w:pStyle w:val="Heading2"/>
      </w:pPr>
      <w:r>
        <w:t>Units of Measure</w:t>
      </w:r>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Create</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Pricing Rules</w:t>
      </w:r>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pPr>
        <w:pStyle w:val="Heading2"/>
      </w:pPr>
      <w:r>
        <w:t>Currencies and FX Rates</w:t>
      </w:r>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pPr>
        <w:pStyle w:val="Heading2"/>
      </w:pPr>
      <w:r>
        <w:t>Tax Rates</w:t>
      </w:r>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seeded when a company is created; you cannot add new bands or delete existing ones. You can only edit the rate of each band. The updated rate applies to all future transactions that reference that band; past transactions retain the rate that was in effect when they were created.</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r>
        <w:t>You can edit the rate for each band. There is no create or archive on tax rates — the three bands are fixed.</w:t>
      </w:r>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rate as a decimal between 0 and 0.9999 (for example, </w:t>
      </w:r>
      <w:r>
        <w:rPr>
          <w:rFonts w:ascii="Consolas" w:hAnsi="Consolas"/>
          <w:color w:val="B03060"/>
          <w:sz w:val="19"/>
        </w:rPr>
        <w:t>0.18</w:t>
      </w:r>
      <w:r>
        <w:t xml:space="preserve"> for 18%).</w:t>
      </w:r>
    </w:p>
    <w:p>
      <w:pPr>
        <w:pStyle w:val="ListNumber"/>
      </w:pPr>
      <w:r>
        <w:t xml:space="preserve">Click </w:t>
      </w:r>
      <w:r>
        <w:rPr>
          <w:b/>
        </w:rPr>
        <w:t>Save</w:t>
      </w:r>
      <w:r>
        <w:t>.</w:t>
      </w:r>
    </w:p>
    <w:p>
      <w:r>
        <w:t>The rate applies to all future transactions that reference this VAT band on a product.</w:t>
      </w:r>
    </w:p>
    <w:p>
      <w:r>
        <w:br/>
      </w:r>
    </w:p>
    <w:p>
      <w:pPr>
        <w:pStyle w:val="Heading2"/>
      </w:pPr>
      <w:r>
        <w:t>Distribution Routes</w:t>
      </w:r>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pPr>
        <w:pStyle w:val="Heading2"/>
      </w:pPr>
      <w:r>
        <w:t>1. Quotations</w:t>
      </w:r>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pPr>
        <w:pStyle w:val="Heading2"/>
      </w:pPr>
      <w:r>
        <w:t>2. Sales Orders</w:t>
      </w:r>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Optionally pick an </w:t>
      </w:r>
      <w:r>
        <w:rPr>
          <w:b/>
        </w:rPr>
        <w:t>Agent</w:t>
      </w:r>
      <w:r>
        <w:t xml:space="preserve"> by name and add </w:t>
      </w:r>
      <w:r>
        <w:rPr>
          <w:b/>
        </w:rPr>
        <w:t>Notes</w:t>
      </w:r>
      <w:r>
        <w:t>.</w:t>
      </w:r>
    </w:p>
    <w:p>
      <w:pPr>
        <w:pStyle w:val="ListNumber"/>
      </w:pPr>
      <w:r>
        <w:t xml:space="preserve">Click </w:t>
      </w:r>
      <w:r>
        <w:rPr>
          <w:b/>
        </w:rPr>
        <w:t>Create Order</w:t>
      </w:r>
      <w:r>
        <w:t xml:space="preserve">. The order is created in </w:t>
      </w:r>
      <w:r>
        <w:rPr>
          <w:b/>
        </w:rPr>
        <w:t>DRAFT</w:t>
      </w:r>
      <w:r>
        <w:t>.</w:t>
      </w:r>
    </w:p>
    <w:p>
      <w:pPr>
        <w:pStyle w:val="Heading3"/>
      </w:pPr>
      <w:r>
        <w:t>2.2 Add lines to a Sales Order</w:t>
      </w:r>
    </w:p>
    <w:p>
      <w:r>
        <w:t>The same process as adding quotation lines.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br/>
      </w:r>
    </w:p>
    <w:p>
      <w:pPr>
        <w:pStyle w:val="Heading2"/>
      </w:pPr>
      <w:r>
        <w:t>3. Deliveries</w:t>
      </w:r>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t>Proceed to section 4 to finalise the invoice.</w:t>
      </w:r>
    </w:p>
    <w:p>
      <w:r>
        <w:br/>
      </w:r>
    </w:p>
    <w:p>
      <w:pPr>
        <w:pStyle w:val="Heading2"/>
      </w:pPr>
      <w:r>
        <w:t>4. Sales Invoices</w:t>
      </w:r>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Optionally pick an </w:t>
      </w:r>
      <w:r>
        <w:rPr>
          <w:b/>
        </w:rPr>
        <w:t>Agent</w:t>
      </w:r>
      <w:r>
        <w:t xml:space="preserve"> and a </w:t>
      </w:r>
      <w:r>
        <w:rPr>
          <w:b/>
        </w:rPr>
        <w:t>Route</w:t>
      </w:r>
      <w:r>
        <w:t>; if omitted the system uses the logged-in user's linked agent and that agent's primary route.</w:t>
      </w:r>
    </w:p>
    <w:p>
      <w:pPr>
        <w:pStyle w:val="ListNumber"/>
      </w:pPr>
      <w:r>
        <w:t xml:space="preserve">Click </w:t>
      </w:r>
      <w:r>
        <w:rPr>
          <w:b/>
        </w:rPr>
        <w:t>Create Invoice</w:t>
      </w:r>
      <w:r>
        <w:t>. A draft invoice is created.</w:t>
      </w:r>
    </w:p>
    <w:p>
      <w:pPr>
        <w:pStyle w:val="Heading3"/>
      </w:pPr>
      <w:r>
        <w:t>4.2 Add lines to an invoice</w:t>
      </w:r>
    </w:p>
    <w:p>
      <w:r>
        <w:t>Same process as adding lines to a quotation or order.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pPr>
        <w:pStyle w:val="Heading2"/>
      </w:pPr>
      <w:r>
        <w:t>5. Sales Returns (RMA)</w:t>
      </w:r>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pPr>
        <w:pStyle w:val="Heading2"/>
      </w:pPr>
      <w:r>
        <w:t>6. Blanket Orders</w:t>
      </w:r>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pPr>
        <w:pStyle w:val="Heading2"/>
      </w:pPr>
      <w:r>
        <w:t>7. Standing Orders (Recurring)</w:t>
      </w:r>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and unit by name,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pPr>
        <w:pStyle w:val="Heading2"/>
      </w:pPr>
      <w:r>
        <w:t>8. Pricing Rules</w:t>
      </w:r>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pPr>
        <w:pStyle w:val="Heading2"/>
      </w:pPr>
      <w:r>
        <w:t>9. Point of Sale</w:t>
      </w:r>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Unlike a walk-in </w:t>
      </w:r>
      <w:r>
        <w:rPr>
          <w:rFonts w:ascii="Consolas" w:hAnsi="Consolas"/>
          <w:color w:val="B03060"/>
          <w:sz w:val="19"/>
        </w:rPr>
        <w:t>DIRECT</w:t>
      </w:r>
      <w:r>
        <w:t xml:space="preserve"> invoice, a </w:t>
      </w:r>
      <w:r>
        <w:rPr>
          <w:rFonts w:ascii="Consolas" w:hAnsi="Consolas"/>
          <w:color w:val="B03060"/>
          <w:sz w:val="19"/>
        </w:rPr>
        <w:t>POS</w:t>
      </w:r>
      <w:r>
        <w:t xml:space="preserve">-origin invoice does </w:t>
      </w:r>
      <w:r>
        <w:rPr>
          <w:b/>
        </w:rPr>
        <w:t>not</w:t>
      </w:r>
      <w:r>
        <w:t xml:space="preserve"> trigger the stock-issue step at finalisation under the current code — the stock-issue handler issues stock only for </w:t>
      </w:r>
      <w:r>
        <w:rPr>
          <w:rFonts w:ascii="Consolas" w:hAnsi="Consolas"/>
          <w:color w:val="B03060"/>
          <w:sz w:val="19"/>
        </w:rPr>
        <w:t>DIRECT</w:t>
      </w:r>
      <w:r>
        <w:t>-origin invoices. Treat POS stock movement as a known limitation pending confirmation; do not rely on a POS sale decrementing on-hand stock the way a direct walk-in invoice does.</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(See the stock note above: a </w:t>
      </w:r>
      <w:r>
        <w:rPr>
          <w:rFonts w:ascii="Consolas" w:hAnsi="Consolas"/>
          <w:color w:val="B03060"/>
          <w:sz w:val="19"/>
        </w:rPr>
        <w:t>POS</w:t>
      </w:r>
      <w:r>
        <w:t xml:space="preserve">-origin invoice does not currently run the stock-issue step that a </w:t>
      </w:r>
      <w:r>
        <w:rPr>
          <w:rFonts w:ascii="Consolas" w:hAnsi="Consolas"/>
          <w:color w:val="B03060"/>
          <w:sz w:val="19"/>
        </w:rPr>
        <w:t>DIRECT</w:t>
      </w:r>
      <w:r>
        <w:t xml:space="preserve"> walk-in invoice does.)</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confirm or adjust the </w:t>
      </w:r>
      <w:r>
        <w:rPr>
          <w:b/>
        </w:rPr>
        <w:t>Unit</w:t>
      </w:r>
      <w:r>
        <w:t xml:space="preserve">,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a message of the form *"POS session &amp;lt;session-uid&amp;gt; is not OPEN."* (the message quotes the session's internal UID, not its </w:t>
      </w:r>
      <w:r>
        <w:rPr>
          <w:rFonts w:ascii="Consolas" w:hAnsi="Consolas"/>
          <w:color w:val="B03060"/>
          <w:sz w:val="19"/>
        </w:rPr>
        <w:t>POS-####</w:t>
      </w:r>
      <w:r>
        <w:t xml:space="preserve"> number)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w:t>
            </w:r>
          </w:p>
        </w:tc>
        <w:tc>
          <w:tcPr>
            <w:tcW w:type="dxa" w:w="4320"/>
          </w:tcPr>
          <w:p>
            <w:r>
              <w:rPr>
                <w:rFonts w:ascii="Consolas" w:hAnsi="Consolas"/>
                <w:color w:val="B03060"/>
                <w:sz w:val="19"/>
              </w:rPr>
              <w:t>PURCHASE.RFQ.VIEW</w:t>
            </w:r>
            <w:r>
              <w:t xml:space="preserve">, </w:t>
            </w:r>
            <w:r>
              <w:rPr>
                <w:rFonts w:ascii="Consolas" w:hAnsi="Consolas"/>
                <w:color w:val="B03060"/>
                <w:sz w:val="19"/>
              </w:rPr>
              <w:t>PURCHASE.RFQ.CREATE</w:t>
            </w:r>
            <w:r>
              <w:t xml:space="preserve">, </w:t>
            </w:r>
            <w:r>
              <w:rPr>
                <w:rFonts w:ascii="Consolas" w:hAnsi="Consolas"/>
                <w:color w:val="B03060"/>
                <w:sz w:val="19"/>
              </w:rPr>
              <w:t>PURCHASE.RFQ.AWARD</w:t>
            </w:r>
          </w:p>
        </w:tc>
      </w:tr>
      <w:tr>
        <w:tc>
          <w:tcPr>
            <w:tcW w:type="dxa" w:w="4320"/>
          </w:tcPr>
          <w:p>
            <w:r>
              <w:t>Supplier Quotes</w:t>
            </w:r>
          </w:p>
        </w:tc>
        <w:tc>
          <w:tcPr>
            <w:tcW w:type="dxa" w:w="4320"/>
          </w:tcPr>
          <w:p>
            <w:r>
              <w:rPr>
                <w:rFonts w:ascii="Consolas" w:hAnsi="Consolas"/>
                <w:color w:val="B03060"/>
                <w:sz w:val="19"/>
              </w:rPr>
              <w:t>PURCHASE.QUOTE.VIEW</w:t>
            </w:r>
            <w:r>
              <w:t xml:space="preserve">, </w:t>
            </w:r>
            <w:r>
              <w:rPr>
                <w:rFonts w:ascii="Consolas" w:hAnsi="Consolas"/>
                <w:color w:val="B03060"/>
                <w:sz w:val="19"/>
              </w:rPr>
              <w:t>PURCHASE.QUOTE.CREATE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PURCHASE.LANDED_COST.VIEW</w:t>
            </w:r>
            <w:r>
              <w:t xml:space="preserve">, </w:t>
            </w:r>
            <w:r>
              <w:rPr>
                <w:rFonts w:ascii="Consolas" w:hAnsi="Consolas"/>
                <w:color w:val="B03060"/>
                <w:sz w:val="19"/>
              </w:rPr>
              <w:t>PURCHASE.LANDED_COST.CREATE</w:t>
            </w:r>
            <w:r>
              <w:t xml:space="preserve">, </w:t>
            </w:r>
            <w:r>
              <w:rPr>
                <w:rFonts w:ascii="Consolas" w:hAnsi="Consolas"/>
                <w:color w:val="B03060"/>
                <w:sz w:val="19"/>
              </w:rPr>
              <w:t>PURCHASE.LANDED_COST.CONFIRM</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r>
              <w:t xml:space="preserve">, </w:t>
            </w:r>
            <w:r>
              <w:rPr>
                <w:rFonts w:ascii="Consolas" w:hAnsi="Consolas"/>
                <w:color w:val="B03060"/>
                <w:sz w:val="19"/>
              </w:rPr>
              <w:t>PURCHASE.RETURN.CONFIRM</w:t>
            </w:r>
          </w:p>
        </w:tc>
      </w:tr>
      <w:tr>
        <w:tc>
          <w:tcPr>
            <w:tcW w:type="dxa" w:w="4320"/>
          </w:tcPr>
          <w:p>
            <w:r>
              <w:t>Purchase Settings</w:t>
            </w:r>
          </w:p>
        </w:tc>
        <w:tc>
          <w:tcPr>
            <w:tcW w:type="dxa" w:w="4320"/>
          </w:tcPr>
          <w:p>
            <w:r>
              <w:rPr>
                <w:rFonts w:ascii="Consolas" w:hAnsi="Consolas"/>
                <w:color w:val="B03060"/>
                <w:sz w:val="19"/>
              </w:rPr>
              <w:t>PURCHASE.SETTINGS.VIEW</w:t>
            </w:r>
            <w:r>
              <w:t xml:space="preserve">, </w:t>
            </w:r>
            <w:r>
              <w:rPr>
                <w:rFonts w:ascii="Consolas" w:hAnsi="Consolas"/>
                <w:color w:val="B03060"/>
                <w:sz w:val="19"/>
              </w:rPr>
              <w:t>PURCHASE.SETTINGS.EDIT</w:t>
            </w:r>
          </w:p>
        </w:tc>
      </w:tr>
    </w:tbl>
    <w:p/>
    <w:p>
      <w:r>
        <w:t>Contact your administrator if an expected menu item is missing.</w:t>
      </w:r>
    </w:p>
    <w:p>
      <w:r>
        <w:br/>
      </w:r>
    </w:p>
    <w:p>
      <w:pPr>
        <w:pStyle w:val="Heading2"/>
      </w:pPr>
      <w:r>
        <w:t>1. Purchase Requisitions</w:t>
      </w:r>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An approved requisition can be converted into either a Purchase Order or an RFQ:</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An inline conversion form opens.</w:t>
      </w:r>
    </w:p>
    <w:p>
      <w:pPr>
        <w:pStyle w:val="ListNumber"/>
      </w:pPr>
      <w:r>
        <w:t>Choose the target type:</w:t>
      </w:r>
    </w:p>
    <w:p>
      <w:pPr>
        <w:pStyle w:val="ListBullet"/>
        <w:ind w:left="720"/>
      </w:pPr>
      <w:r>
        <w:rPr>
          <w:b/>
        </w:rPr>
        <w:t>Purchase Order</w:t>
      </w:r>
      <w:r>
        <w:t xml:space="preserve"> — a DRAFT PO is created immediately from the requisition lines.</w:t>
      </w:r>
    </w:p>
    <w:p>
      <w:pPr>
        <w:pStyle w:val="ListBullet"/>
        <w:ind w:left="720"/>
      </w:pPr>
      <w:r>
        <w:rPr>
          <w:b/>
        </w:rPr>
        <w:t>RFQ</w:t>
      </w:r>
      <w:r>
        <w:t xml:space="preserve"> — a DRAFT RFQ is created; proceed to section 2 to send it to suppliers.</w:t>
      </w:r>
    </w:p>
    <w:p>
      <w:pPr>
        <w:pStyle w:val="ListNumber"/>
      </w:pPr>
      <w:r>
        <w:t xml:space="preserve">Click </w:t>
      </w:r>
      <w:r>
        <w:rPr>
          <w:b/>
        </w:rPr>
        <w:t>Confirm Convert</w:t>
      </w:r>
      <w:r>
        <w:t xml:space="preserve">. A link to the created document appears. The requisition status changes to </w:t>
      </w:r>
      <w:r>
        <w:rPr>
          <w:b/>
        </w:rPr>
        <w:t>CONVERTED</w:t>
      </w:r>
      <w:r>
        <w:t>.</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picks </w:t>
      </w:r>
      <w:r>
        <w:rPr>
          <w:b/>
        </w:rPr>
        <w:t>RFQ</w:t>
      </w:r>
      <w:r>
        <w:t xml:space="preserve">, and clicks </w:t>
      </w:r>
      <w:r>
        <w:rPr>
          <w:b/>
        </w:rPr>
        <w:t>Confirm Convert</w:t>
      </w:r>
      <w:r>
        <w:t xml:space="preserve"> — RFQ </w:t>
      </w:r>
      <w:r>
        <w:rPr>
          <w:b/>
        </w:rPr>
        <w:t>RFQ-0031</w:t>
      </w:r>
      <w:r>
        <w:t xml:space="preserve"> is created in DRAFT.</w:t>
      </w:r>
    </w:p>
    <w:p>
      <w:r>
        <w:br/>
      </w:r>
    </w:p>
    <w:p>
      <w:pPr>
        <w:pStyle w:val="Heading2"/>
      </w:pPr>
      <w:r>
        <w:t>2. RFQ (Request for Quotation)</w:t>
      </w:r>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sending the RFQ and capturing quotes holds the </w:t>
      </w:r>
      <w:r>
        <w:rPr>
          <w:rFonts w:ascii="Consolas" w:hAnsi="Consolas"/>
          <w:color w:val="B03060"/>
          <w:sz w:val="19"/>
        </w:rPr>
        <w:t>PURCHASE.RFQ.CREATE</w:t>
      </w:r>
      <w:r>
        <w:t xml:space="preserve"> and </w:t>
      </w:r>
      <w:r>
        <w:rPr>
          <w:rFonts w:ascii="Consolas" w:hAnsi="Consolas"/>
          <w:color w:val="B03060"/>
          <w:sz w:val="19"/>
        </w:rPr>
        <w:t>PURCHASE.QUOTE.CREATE</w:t>
      </w:r>
      <w:r>
        <w:t xml:space="preserve"> permissions; awarding it requires </w:t>
      </w:r>
      <w:r>
        <w:rPr>
          <w:rFonts w:ascii="Consolas" w:hAnsi="Consolas"/>
          <w:color w:val="B03060"/>
          <w:sz w:val="19"/>
        </w:rPr>
        <w:t>PURCHASE.RFQ.AWARD</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w:t>
      </w:r>
    </w:p>
    <w:p>
      <w:pPr>
        <w:pStyle w:val="ListNumber"/>
      </w:pPr>
      <w:r>
        <w:t>Add lines: pick each product by name, choose a unit, and enter the required quantity.</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pPr>
        <w:pStyle w:val="Heading2"/>
      </w:pPr>
      <w:r>
        <w:t>3. Purchase Orders</w:t>
      </w:r>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When the lines are finalised,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 If a PO approval threshold is enabled in Purchase Settings, a DRAFT PO above the configured amount must be approved before it can be PLACED — the system refuses to place an over-threshold PO that has not yet been approved.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Place a Purchase Order</w:t>
      </w:r>
    </w:p>
    <w:p>
      <w:r>
        <w:t>Placing the PO sends it to the supplier and locks the lines.</w:t>
      </w:r>
    </w:p>
    <w:p>
      <w:pPr>
        <w:pStyle w:val="ListNumber"/>
      </w:pPr>
      <w:r>
        <w:t>Open the DRAFT PO (it must have at least one line).</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3.4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3.5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3.6 PO approval (if enabled)</w:t>
      </w:r>
    </w:p>
    <w:p>
      <w:r>
        <w:t xml:space="preserve">If your administrator has enabled PO approval thresholds in Purchase Settings, a DRAFT Purchase Order whose total is at or above the configured amount cannot be placed until it is approved. An approver with </w:t>
      </w:r>
      <w:r>
        <w:rPr>
          <w:rFonts w:ascii="Consolas" w:hAnsi="Consolas"/>
          <w:color w:val="B03060"/>
          <w:sz w:val="19"/>
        </w:rPr>
        <w:t>PURCHASE.ORDER.APPROVE</w:t>
      </w:r>
      <w:r>
        <w:t xml:space="preserve"> must approve the PO first; attempting to place an unapproved over-threshold PO is rejected with a message asking you to submit it for approval and wait for APPROVED status before placing.</w:t>
      </w:r>
    </w:p>
    <w:p>
      <w:r>
        <w:t>PO approval actions are currently only available via the API; contact your administrator or a system manager if a PO is stuck awaiting approval.</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pPr>
        <w:pStyle w:val="Heading2"/>
      </w:pPr>
      <w:r>
        <w:t>4. Goods Receipt</w:t>
      </w:r>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adds notes, and records the receipt. The GR is created with status RECEIVED, a GRN number is assigned, stock increases at the branch, and the PO's outstanding quantities are updated. The PO moves to PARTIALLY_RECEIVED or RECEIVED depending on whether all lines are now complete. A GR cannot be edited after submission; errors are corrected by voiding the GR (an API-level operation)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decremented (API only)</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pPr>
        <w:pStyle w:val="Heading2"/>
      </w:pPr>
      <w:r>
        <w:t>5. Landed Costs</w:t>
      </w:r>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PURCHASE.LANDED_COST.CREATE</w:t>
      </w:r>
      <w:r>
        <w:t xml:space="preserve"> and </w:t>
      </w:r>
      <w:r>
        <w:rPr>
          <w:rFonts w:ascii="Consolas" w:hAnsi="Consolas"/>
          <w:color w:val="B03060"/>
          <w:sz w:val="19"/>
        </w:rPr>
        <w:t>PURCHASE.LANDED_COST.CONFIRM</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pPr>
        <w:pStyle w:val="Heading2"/>
      </w:pPr>
      <w:r>
        <w:t>6. Supplier Bills and 3-Way Bill Match</w:t>
      </w:r>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pPr>
        <w:pStyle w:val="Heading2"/>
      </w:pPr>
      <w:r>
        <w:t>7. Purchase Returns</w:t>
      </w:r>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permissions required are </w:t>
      </w:r>
      <w:r>
        <w:rPr>
          <w:rFonts w:ascii="Consolas" w:hAnsi="Consolas"/>
          <w:color w:val="B03060"/>
          <w:sz w:val="19"/>
        </w:rPr>
        <w:t>PURCHASE.RETURN.CREATE</w:t>
      </w:r>
      <w:r>
        <w:t xml:space="preserve"> and </w:t>
      </w:r>
      <w:r>
        <w:rPr>
          <w:rFonts w:ascii="Consolas" w:hAnsi="Consolas"/>
          <w:color w:val="B03060"/>
          <w:sz w:val="19"/>
        </w:rPr>
        <w:t>PURCHASE.RETURN.CONFIRM</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pPr>
        <w:pStyle w:val="Heading2"/>
      </w:pPr>
      <w:r>
        <w:t>8. Purchase Settings</w:t>
      </w:r>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 user with </w:t>
      </w:r>
      <w:r>
        <w:rPr>
          <w:rFonts w:ascii="Consolas" w:hAnsi="Consolas"/>
          <w:color w:val="B03060"/>
          <w:sz w:val="19"/>
        </w:rPr>
        <w:t>PURCHASE.ORDER.APPROVE</w:t>
      </w:r>
      <w:r>
        <w:t xml:space="preserve"> must approve or reject POs that exceed the threshold.</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pPr>
        <w:pStyle w:val="Heading2"/>
      </w:pPr>
      <w:r>
        <w:t>9. End-to-end procure-to-pay example</w:t>
      </w:r>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selects </w:t>
      </w:r>
      <w:r>
        <w:rPr>
          <w:b/>
        </w:rPr>
        <w:t>RFQ</w:t>
      </w:r>
      <w:r>
        <w:t xml:space="preserve">, and clicks </w:t>
      </w:r>
      <w:r>
        <w:rPr>
          <w:b/>
        </w:rPr>
        <w:t>Confirm Convert</w:t>
      </w:r>
      <w:r>
        <w:t xml:space="preserve"> — RFQ-0031 is created in DRAFT.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stock batches (by-location / detail)</w:t>
            </w:r>
          </w:p>
        </w:tc>
        <w:tc>
          <w:tcPr>
            <w:tcW w:type="dxa" w:w="4320"/>
          </w:tcPr>
          <w:p>
            <w:r>
              <w:rPr>
                <w:rFonts w:ascii="Consolas" w:hAnsi="Consolas"/>
                <w:color w:val="B03060"/>
                <w:sz w:val="19"/>
              </w:rPr>
              <w:t>STOCK.BATCH.VIEW</w:t>
            </w:r>
            <w:r>
              <w:t xml:space="preserve"> *</w:t>
            </w:r>
          </w:p>
        </w:tc>
      </w:tr>
      <w:tr>
        <w:tc>
          <w:tcPr>
            <w:tcW w:type="dxa" w:w="4320"/>
          </w:tcPr>
          <w:p>
            <w:r>
              <w:t>View stock serials (by-location / by-product / lookup)</w:t>
            </w:r>
          </w:p>
        </w:tc>
        <w:tc>
          <w:tcPr>
            <w:tcW w:type="dxa" w:w="4320"/>
          </w:tcPr>
          <w:p>
            <w:r>
              <w:rPr>
                <w:rFonts w:ascii="Consolas" w:hAnsi="Consolas"/>
                <w:color w:val="B03060"/>
                <w:sz w:val="19"/>
              </w:rPr>
              <w:t>STOCK.SERIAL.VIEW</w:t>
            </w:r>
            <w:r>
              <w:t xml:space="preserve"> *</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t xml:space="preserve">\* The Stock Batches and Stock Serials screens are gated on </w:t>
      </w:r>
      <w:r>
        <w:rPr>
          <w:rFonts w:ascii="Consolas" w:hAnsi="Consolas"/>
          <w:color w:val="B03060"/>
          <w:sz w:val="19"/>
        </w:rPr>
        <w:t>STOCK.BATCH.VIEW</w:t>
      </w:r>
      <w:r>
        <w:t xml:space="preserve"> / </w:t>
      </w:r>
      <w:r>
        <w:rPr>
          <w:rFonts w:ascii="Consolas" w:hAnsi="Consolas"/>
          <w:color w:val="B03060"/>
          <w:sz w:val="19"/>
        </w:rPr>
        <w:t>STOCK.SERIAL.VIEW</w:t>
      </w:r>
      <w:r>
        <w:t xml:space="preserve">, but these two codes are </w:t>
      </w:r>
      <w:r>
        <w:rPr>
          <w:b/>
        </w:rPr>
        <w:t>not present in the seeded permission catalogue</w:t>
      </w:r>
      <w:r>
        <w:t xml:space="preserve"> (it seeds </w:t>
      </w:r>
      <w:r>
        <w:rPr>
          <w:rFonts w:ascii="Consolas" w:hAnsi="Consolas"/>
          <w:color w:val="B03060"/>
          <w:sz w:val="19"/>
        </w:rPr>
        <w:t>INVENTORY.BATCH.VIEW</w:t>
      </w:r>
      <w:r>
        <w:t xml:space="preserve"> / </w:t>
      </w:r>
      <w:r>
        <w:rPr>
          <w:rFonts w:ascii="Consolas" w:hAnsi="Consolas"/>
          <w:color w:val="B03060"/>
          <w:sz w:val="19"/>
        </w:rPr>
        <w:t>INVENTORY.SERIAL.VIEW</w:t>
      </w:r>
      <w:r>
        <w:t xml:space="preserve"> instead). As a result no ordinary role can hold them, so today these screens are reachable by the superuser (</w:t>
      </w:r>
      <w:r>
        <w:rPr>
          <w:rFonts w:ascii="Consolas" w:hAnsi="Consolas"/>
          <w:color w:val="B03060"/>
          <w:sz w:val="19"/>
        </w:rPr>
        <w:t>rootadmin</w:t>
      </w:r>
      <w:r>
        <w:t>) only. See the Known limitation note in section 6 and the FAQ in section 12.</w:t>
      </w:r>
    </w:p>
    <w:p>
      <w:r>
        <w:br/>
      </w:r>
    </w:p>
    <w:p>
      <w:pPr>
        <w:pStyle w:val="Heading2"/>
      </w:pPr>
      <w:r>
        <w:t>2. Stock on-hand</w:t>
      </w:r>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Click the edit icon on a row. You can change the name and location type. The code is not editable after creation.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names the product, the available quantity, and the requested quantity.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pPr>
        <w:pStyle w:val="Heading2"/>
      </w:pPr>
      <w:r>
        <w:t>6. Batches and lot tracking</w:t>
      </w:r>
    </w:p>
    <w:p>
      <w:r>
        <w:t xml:space="preserve">Navigate to </w:t>
      </w:r>
      <w:r>
        <w:rPr>
          <w:b/>
        </w:rPr>
        <w:t>Inventory &gt; Stock Batches</w:t>
      </w:r>
      <w:r>
        <w:t xml:space="preserve"> (</w:t>
      </w:r>
      <w:r>
        <w:rPr>
          <w:rFonts w:ascii="Consolas" w:hAnsi="Consolas"/>
          <w:color w:val="B03060"/>
          <w:sz w:val="19"/>
        </w:rPr>
        <w:t>/admin/stock/batches</w:t>
      </w:r>
      <w:r>
        <w:t>).</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t>Batches (lots) are created automatically when lot-tracked products are received. This screen provides a read-only view; you cannot create or edit batches directly.</w:t>
      </w:r>
    </w:p>
    <w:p>
      <w:pPr>
        <w:pStyle w:val="Heading3"/>
      </w:pPr>
      <w:r>
        <w:t>6.1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6.2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rPr>
          <w:b/>
        </w:rPr>
        <w:t>Known limitation — Batches and Serials are superuser-only.</w:t>
      </w:r>
      <w:r>
        <w:t xml:space="preserve"> The Stock Batches and Stock Serials screens, and the routes and navigation links that lead to them, are gated on the permission codes </w:t>
      </w:r>
      <w:r>
        <w:rPr>
          <w:rFonts w:ascii="Consolas" w:hAnsi="Consolas"/>
          <w:color w:val="B03060"/>
          <w:sz w:val="19"/>
        </w:rPr>
        <w:t>STOCK.BATCH.VIEW</w:t>
      </w:r>
      <w:r>
        <w:t xml:space="preserve"> and </w:t>
      </w:r>
      <w:r>
        <w:rPr>
          <w:rFonts w:ascii="Consolas" w:hAnsi="Consolas"/>
          <w:color w:val="B03060"/>
          <w:sz w:val="19"/>
        </w:rPr>
        <w:t>STOCK.SERIAL.VIEW</w:t>
      </w:r>
      <w:r>
        <w:t xml:space="preserve">. These two codes </w:t>
      </w:r>
      <w:r>
        <w:rPr>
          <w:b/>
        </w:rPr>
        <w:t>do not exist in the seeded permission catalogue</w:t>
      </w:r>
      <w:r>
        <w:t xml:space="preserve"> — the catalogue instead seeds </w:t>
      </w:r>
      <w:r>
        <w:rPr>
          <w:rFonts w:ascii="Consolas" w:hAnsi="Consolas"/>
          <w:color w:val="B03060"/>
          <w:sz w:val="19"/>
        </w:rPr>
        <w:t>INVENTORY.BATCH.VIEW</w:t>
      </w:r>
      <w:r>
        <w:t xml:space="preserve"> and </w:t>
      </w:r>
      <w:r>
        <w:rPr>
          <w:rFonts w:ascii="Consolas" w:hAnsi="Consolas"/>
          <w:color w:val="B03060"/>
          <w:sz w:val="19"/>
        </w:rPr>
        <w:t>INVENTORY.SERIAL.VIEW</w:t>
      </w:r>
      <w:r>
        <w:t xml:space="preserve">. Because no role (not even ORG_ADMIN, which is granted the entire catalogue) can hold a code that is not in the table, this affects </w:t>
      </w:r>
      <w:r>
        <w:rPr>
          <w:b/>
        </w:rPr>
        <w:t>all</w:t>
      </w:r>
      <w:r>
        <w:t xml:space="preserve"> of these views — the by-location batch view, the by-location / by-product / lookup serial views, and the batch/serial detail lookups — not just the detail screens. For every non-root role the </w:t>
      </w:r>
      <w:r>
        <w:rPr>
          <w:b/>
        </w:rPr>
        <w:t>Stock Batches</w:t>
      </w:r>
      <w:r>
        <w:t xml:space="preserve"> and </w:t>
      </w:r>
      <w:r>
        <w:rPr>
          <w:b/>
        </w:rPr>
        <w:t>Serial Numbers</w:t>
      </w:r>
      <w:r>
        <w:t xml:space="preserve"> navigation links are hidden, and visiting the routes directly shows a Forbidden message. Only the superuser (</w:t>
      </w:r>
      <w:r>
        <w:rPr>
          <w:rFonts w:ascii="Consolas" w:hAnsi="Consolas"/>
          <w:color w:val="B03060"/>
          <w:sz w:val="19"/>
        </w:rPr>
        <w:t>rootadmin</w:t>
      </w:r>
      <w:r>
        <w:t xml:space="preserve">), who passes all permission checks, can open these screens. The Expiring Soon tab is gated separately on </w:t>
      </w:r>
      <w:r>
        <w:rPr>
          <w:rFonts w:ascii="Consolas" w:hAnsi="Consolas"/>
          <w:color w:val="B03060"/>
          <w:sz w:val="19"/>
        </w:rPr>
        <w:t>INVENTORY.EXPIRY.VIEW</w:t>
      </w:r>
      <w:r>
        <w:t xml:space="preserve"> (which </w:t>
      </w:r>
      <w:r>
        <w:rPr>
          <w:b/>
        </w:rPr>
        <w:t>is</w:t>
      </w:r>
      <w:r>
        <w:t xml:space="preserve"> seeded) and works for ORG_ADMIN. This permission-code fix has </w:t>
      </w:r>
      <w:r>
        <w:rPr>
          <w:b/>
        </w:rPr>
        <w:t>not</w:t>
      </w:r>
      <w:r>
        <w:t xml:space="preserve"> yet been deployed.</w:t>
      </w:r>
    </w:p>
    <w:p>
      <w:r>
        <w:br/>
      </w:r>
    </w:p>
    <w:p>
      <w:pPr>
        <w:pStyle w:val="Heading2"/>
      </w:pPr>
      <w:r>
        <w:t>7. Serial number tracking</w:t>
      </w:r>
    </w:p>
    <w:p>
      <w:r>
        <w:t xml:space="preserve">Navigate to </w:t>
      </w:r>
      <w:r>
        <w:rPr>
          <w:b/>
        </w:rPr>
        <w:t>Inventory &gt; Stock Serials</w:t>
      </w:r>
      <w:r>
        <w:t xml:space="preserve"> (</w:t>
      </w:r>
      <w:r>
        <w:rPr>
          <w:rFonts w:ascii="Consolas" w:hAnsi="Consolas"/>
          <w:color w:val="B03060"/>
          <w:sz w:val="19"/>
        </w:rPr>
        <w:t>/admin/stock/serials</w:t>
      </w:r>
      <w:r>
        <w:t>).</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t>Serial numbers are assigned to individual units of serialised products. This screen is read-only; serials are created and updated by the purchasing, sales, and transfer flows.</w:t>
      </w:r>
    </w:p>
    <w:p>
      <w:r>
        <w:t xml:space="preserve">The screen has two view-mode tabs: </w:t>
      </w:r>
      <w:r>
        <w:rPr>
          <w:b/>
        </w:rPr>
        <w:t>By Location</w:t>
      </w:r>
      <w:r>
        <w:t xml:space="preserve"> and </w:t>
      </w:r>
      <w:r>
        <w:rPr>
          <w:b/>
        </w:rPr>
        <w:t>Product History</w:t>
      </w:r>
      <w:r>
        <w:t>.</w:t>
      </w:r>
    </w:p>
    <w:p>
      <w:pPr>
        <w:pStyle w:val="Heading3"/>
      </w:pPr>
      <w:r>
        <w:t>7.1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7.2 Viewing serial history by product</w:t>
      </w:r>
    </w:p>
    <w:p>
      <w:r>
        <w:t xml:space="preserve">Switch to the </w:t>
      </w:r>
      <w:r>
        <w:rPr>
          <w:b/>
        </w:rPr>
        <w:t>Product History</w:t>
      </w:r>
      <w:r>
        <w:t xml:space="preserve"> tab. Pick a product to see all of its serials across all statuses and locations.</w:t>
      </w:r>
    </w:p>
    <w:p>
      <w:pPr>
        <w:pStyle w:val="Heading3"/>
      </w:pPr>
      <w:r>
        <w:t>7.3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pPr>
        <w:pStyle w:val="Heading2"/>
      </w:pPr>
      <w:r>
        <w:t>8. Inventory valuation</w:t>
      </w:r>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8.1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8.2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9. Bills of Materials</w:t>
      </w:r>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9.1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9.2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9.3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9.4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9.5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pPr>
        <w:pStyle w:val="Heading2"/>
      </w:pPr>
      <w:r>
        <w:t>10. Work Orders</w:t>
      </w:r>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10.1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10.2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10.3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10.4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10.5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10.6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10.7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10.8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10.9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10.10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11.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pPr>
        <w:pStyle w:val="Heading2"/>
      </w:pPr>
      <w:r>
        <w:t>12.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Why do I see Forbidden on the Batches and Serials screens?</w:t>
      </w:r>
    </w:p>
    <w:p>
      <w:r>
        <w:t xml:space="preserve">There is a known permission-code mismatch in the current seed data. The screens and their routes/nav links require </w:t>
      </w:r>
      <w:r>
        <w:rPr>
          <w:rFonts w:ascii="Consolas" w:hAnsi="Consolas"/>
          <w:color w:val="B03060"/>
          <w:sz w:val="19"/>
        </w:rPr>
        <w:t>STOCK.BATCH.VIEW</w:t>
      </w:r>
      <w:r>
        <w:t xml:space="preserve"> / </w:t>
      </w:r>
      <w:r>
        <w:rPr>
          <w:rFonts w:ascii="Consolas" w:hAnsi="Consolas"/>
          <w:color w:val="B03060"/>
          <w:sz w:val="19"/>
        </w:rPr>
        <w:t>STOCK.SERIAL.VIEW</w:t>
      </w:r>
      <w:r>
        <w:t xml:space="preserve">, but the seeded catalogue only contains </w:t>
      </w:r>
      <w:r>
        <w:rPr>
          <w:rFonts w:ascii="Consolas" w:hAnsi="Consolas"/>
          <w:color w:val="B03060"/>
          <w:sz w:val="19"/>
        </w:rPr>
        <w:t>INVENTORY.BATCH.VIEW</w:t>
      </w:r>
      <w:r>
        <w:t xml:space="preserve"> / </w:t>
      </w:r>
      <w:r>
        <w:rPr>
          <w:rFonts w:ascii="Consolas" w:hAnsi="Consolas"/>
          <w:color w:val="B03060"/>
          <w:sz w:val="19"/>
        </w:rPr>
        <w:t>INVENTORY.SERIAL.VIEW</w:t>
      </w:r>
      <w:r>
        <w:t xml:space="preserve">, so no ordinary role can hold the required codes. As a result, </w:t>
      </w:r>
      <w:r>
        <w:rPr>
          <w:b/>
        </w:rPr>
        <w:t>every</w:t>
      </w:r>
      <w:r>
        <w:t xml:space="preserve"> batch/serial view (by-location, by-product, lookup, and detail) is Forbidden for non-root roles and the nav links are hidden — only the superuser (</w:t>
      </w:r>
      <w:r>
        <w:rPr>
          <w:rFonts w:ascii="Consolas" w:hAnsi="Consolas"/>
          <w:color w:val="B03060"/>
          <w:sz w:val="19"/>
        </w:rPr>
        <w:t>rootadmin</w:t>
      </w:r>
      <w:r>
        <w:t xml:space="preserve">) can open them, until the fix is deployed. The Expiring Batches tab is gated on </w:t>
      </w:r>
      <w:r>
        <w:rPr>
          <w:rFonts w:ascii="Consolas" w:hAnsi="Consolas"/>
          <w:color w:val="B03060"/>
          <w:sz w:val="19"/>
        </w:rPr>
        <w:t>INVENTORY.EXPIRY.VIEW</w:t>
      </w:r>
      <w:r>
        <w:t xml:space="preserve"> and remains functional for ORG_ADMIN.</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pPr>
        <w:pStyle w:val="Heading1"/>
      </w:pPr>
      <w:r>
        <w:t>Fixed Assets</w:t>
      </w:r>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pPr>
        <w:pStyle w:val="Heading2"/>
      </w:pPr>
      <w:r>
        <w:t>4. Placing an asset in service</w:t>
      </w:r>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pPr>
        <w:pStyle w:val="Heading2"/>
      </w:pPr>
      <w:r>
        <w:t>7. Revaluing an asset</w:t>
      </w:r>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pPr>
        <w:pStyle w:val="Heading1"/>
      </w:pPr>
      <w:r>
        <w:t>Projects</w:t>
      </w:r>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pPr>
        <w:pStyle w:val="Heading2"/>
      </w:pPr>
      <w:r>
        <w:t>4. Project detail</w:t>
      </w:r>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pPr>
        <w:pStyle w:val="Heading2"/>
      </w:pPr>
      <w:r>
        <w:t>5. Project tasks</w:t>
      </w:r>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pPr>
        <w:pStyle w:val="Heading2"/>
      </w:pPr>
      <w:r>
        <w:t>6. Timesheets</w:t>
      </w:r>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pPr>
        <w:pStyle w:val="Heading2"/>
      </w:pPr>
      <w:r>
        <w:t>7. Issuing materials to a project</w:t>
      </w:r>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pPr>
        <w:pStyle w:val="Heading2"/>
      </w:pPr>
      <w:r>
        <w:t>8. Project P&amp;L</w:t>
      </w:r>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pPr>
        <w:pStyle w:val="Heading2"/>
      </w:pPr>
      <w:r>
        <w:t>9. Cross-project WIP report</w:t>
      </w:r>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pPr>
        <w:pStyle w:val="Heading2"/>
      </w:pPr>
      <w:r>
        <w:t>General Ledger</w:t>
      </w:r>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You create the actual values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(Cost Centre and Department are built-in). You cannot create or delete dimension types; you can only toggle whether they are </w:t>
      </w:r>
      <w:r>
        <w:rPr>
          <w:b/>
        </w:rPr>
        <w:t>mandatory</w:t>
      </w:r>
      <w:r>
        <w:t xml:space="preserve"> on manual journal entries.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slot (Cost Centre or Department),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2"/>
      </w:pPr>
      <w:r>
        <w:t>Tax</w:t>
      </w:r>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pPr>
        <w:pStyle w:val="Heading2"/>
      </w:pPr>
      <w:r>
        <w:t>Foreign Exchange (FX)</w:t>
      </w:r>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pPr>
        <w:pStyle w:val="Heading2"/>
      </w:pPr>
      <w:r>
        <w:t>Leads</w:t>
      </w:r>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pPr>
        <w:pStyle w:val="Heading2"/>
      </w:pPr>
      <w:r>
        <w:t>Opportunities</w:t>
      </w:r>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pPr>
        <w:pStyle w:val="Heading2"/>
      </w:pPr>
      <w:r>
        <w:t>Pipeline Dashboard</w:t>
      </w:r>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pPr>
        <w:pStyle w:val="Heading2"/>
      </w:pPr>
      <w:r>
        <w:t>Pipeline Stages (Settings)</w:t>
      </w:r>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pPr>
        <w:pStyle w:val="Heading1"/>
      </w:pPr>
      <w:r>
        <w:t>Reporting and Business Intelligence</w:t>
      </w:r>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the dashboard re-fetches as soon as you change it.</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 all panels reload and show Arusha-scoped figures.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 ID</w:t>
      </w:r>
      <w:r>
        <w:t xml:space="preserve">, and </w:t>
      </w:r>
      <w:r>
        <w:rPr>
          <w:b/>
        </w:rPr>
        <w:t>Branch ID</w:t>
      </w:r>
      <w:r>
        <w:t xml:space="preserve">. The </w:t>
      </w:r>
      <w:r>
        <w:rPr>
          <w:b/>
        </w:rPr>
        <w:t>Department ID</w:t>
      </w:r>
      <w:r>
        <w:t xml:space="preserve"> and </w:t>
      </w:r>
      <w:r>
        <w:rPr>
          <w:b/>
        </w:rPr>
        <w:t>Branch ID</w:t>
      </w:r>
      <w:r>
        <w:t xml:space="preserve"> fields are free-text numeric-id entries (each shows the placeholder "Numeric id"), not name pickers — obtain the ids from your administrator.</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you can edit the employee's fields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pPr>
        <w:pStyle w:val="Heading2"/>
      </w:pPr>
      <w:r>
        <w:t>Part 2 — Budgeting</w:t>
      </w:r>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