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the ERP system. This chapter explains how to sign in, find your way around, and use the common patterns you will meet on every screen.</w:t>
      </w:r>
    </w:p>
    <w:p>
      <w:r>
        <w:br/>
      </w:r>
    </w:p>
    <w:p>
      <w:pPr>
        <w:pStyle w:val="Heading2"/>
      </w:pPr>
      <w:r>
        <w:t>Signing In</w:t>
      </w:r>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pPr>
        <w:pStyle w:val="Heading2"/>
      </w:pPr>
      <w:r>
        <w:t>The App Layout</w:t>
      </w:r>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personalised </w:t>
      </w:r>
      <w:r>
        <w:rPr>
          <w:b/>
        </w:rPr>
        <w:t>launchpad</w:t>
      </w:r>
      <w:r>
        <w:t xml:space="preserve">: the page subtitle reads "Quick links to your most-used screens," and below it a </w:t>
      </w:r>
      <w:r>
        <w:rPr>
          <w:b/>
        </w:rPr>
        <w:t>Quick launch</w:t>
      </w:r>
      <w:r>
        <w:t xml:space="preserve"> grid shows one card per screen you actually hold the permission to open, drawn from a curated set spanning the dashboard, sales, purchasing, stock, finance, and manufacturing (for example Dashboard, Sales orders, POS sell, Stock on-hand, Post journal). Each card is checked against the exact permission its target screen requires, so a card you can see is always a card you can open — there is no dead-end tile. The </w:t>
      </w:r>
      <w:r>
        <w:rPr>
          <w:b/>
        </w:rPr>
        <w:t>Dashboard</w:t>
      </w:r>
      <w:r>
        <w:t xml:space="preserve"> card is always shown first when you hold </w:t>
      </w:r>
      <w:r>
        <w:rPr>
          <w:rFonts w:ascii="Consolas" w:hAnsi="Consolas"/>
          <w:color w:val="B03060"/>
          <w:sz w:val="19"/>
        </w:rPr>
        <w:t>BI.VIEW</w:t>
      </w:r>
      <w:r>
        <w:t xml:space="preserve">. If none of the curated destinations are open to you, you instead see a brief, calm placeholder ("Your workspace is ready.") prompting you to use the menu on the left. Either way, the home page does </w:t>
      </w:r>
      <w:r>
        <w:rPr>
          <w:b/>
        </w:rPr>
        <w:t>not</w:t>
      </w:r>
      <w:r>
        <w:t xml:space="preserve"> repeat the full sidebar menu — the sidebar remains the complete map of everywhere you can go.</w:t>
      </w:r>
    </w:p>
    <w:p>
      <w:r>
        <w:t>The home page never requires a permission and never loads business data, so it is always safe to land on; this is why the system uses it as the silent redirect target for screens you cannot access.</w:t>
      </w:r>
    </w:p>
    <w:p>
      <w:r>
        <w:br/>
      </w:r>
    </w:p>
    <w:p>
      <w:pPr>
        <w:pStyle w:val="Heading2"/>
      </w:pPr>
      <w:r>
        <w:t>The Branch Switcher</w:t>
      </w:r>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pPr>
        <w:pStyle w:val="Heading2"/>
      </w:pPr>
      <w:r>
        <w:t>How Permissions Shape What You See</w:t>
      </w:r>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pPr>
        <w:pStyle w:val="Heading2"/>
      </w:pPr>
      <w:r>
        <w:t>Common UI Patterns</w:t>
      </w:r>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Using the system on a phone or tablet</w:t>
      </w:r>
    </w:p>
    <w:p>
      <w:r>
        <w:t>The system is usable on a phone or tablet, not just a desktop browser. On a narrow screen the sidebar becomes the slide-out menu described above, and wide transaction list tables (for example Sales Orders, Purchase Orders, Customers, or Products) scroll horizontally within their own frame rather than squeezing every column to fit. The row action in the last column (</w:t>
      </w:r>
      <w:r>
        <w:rPr>
          <w:b/>
        </w:rPr>
        <w:t>Open</w:t>
      </w:r>
      <w:r>
        <w:t xml:space="preserve">, </w:t>
      </w:r>
      <w:r>
        <w:rPr>
          <w:b/>
        </w:rPr>
        <w:t>Edit</w:t>
      </w:r>
      <w:r>
        <w:t xml:space="preserve">, </w:t>
      </w:r>
      <w:r>
        <w:rPr>
          <w:b/>
        </w:rPr>
        <w:t>Ledger</w:t>
      </w:r>
      <w:r>
        <w:t xml:space="preserve">, </w:t>
      </w:r>
      <w:r>
        <w:rPr>
          <w:b/>
        </w:rPr>
        <w:t>Adjust</w:t>
      </w:r>
      <w:r>
        <w:t>, and so on) stays pinned to the right edge of that frame as you scroll, so it is always reachable — you are never stranded with the action for a row scrolled off-screen. A soft shadow on the right edge of a table hints that more columns are available if you scroll. The interface has been verified for accessibility at phone and tablet screen sizes as well as desktop — no serious or critical issues were found across the main screens when it was last checked.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r>
        <w:rPr>
          <w:b/>
        </w:rPr>
        <w:t>Company and Branch default to where you are working.</w:t>
      </w:r>
      <w:r>
        <w:t xml:space="preserve"> Where a create screen has its own </w:t>
      </w:r>
      <w:r>
        <w:rPr>
          <w:b/>
        </w:rPr>
        <w:t>Company</w:t>
      </w:r>
      <w:r>
        <w:t xml:space="preserve"> and/or </w:t>
      </w:r>
      <w:r>
        <w:rPr>
          <w:b/>
        </w:rPr>
        <w:t>Branch</w:t>
      </w:r>
      <w:r>
        <w:t xml:space="preserve"> picker (for example New Stock Count, New Stock Transfer, or Register New Asset), it opens pre-set to your currently </w:t>
      </w:r>
      <w:r>
        <w:rPr>
          <w:b/>
        </w:rPr>
        <w:t>active</w:t>
      </w:r>
      <w:r>
        <w:t xml:space="preserve"> branch and company — the same one shown in the top bar — not simply the first company in the organisation. You can still change it before saving if you are creating the record for a different branch; only the starting default changed.</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pPr>
        <w:pStyle w:val="Heading2"/>
      </w:pPr>
      <w:r>
        <w:t>Signing In as rootadmin</w:t>
      </w:r>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pPr>
        <w:pStyle w:val="Heading1"/>
      </w:pPr>
      <w:r>
        <w:t>Administration and Access</w:t>
      </w:r>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pPr>
        <w:pStyle w:val="Heading2"/>
      </w:pPr>
      <w:r>
        <w:t>Organisation, Companies, and Branches</w:t>
      </w:r>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r>
        <w:t>The Companies screen is intentionally lean: it lets you create a company (code and name), rename it inline (see below), re-provision its default data (see below), and open each company's branches. There is no separate company detail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Renaming a company</w:t>
      </w:r>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pPr>
      <w:r>
        <w:t xml:space="preserve">On the Companies list, click </w:t>
      </w:r>
      <w:r>
        <w:rPr>
          <w:b/>
        </w:rPr>
        <w:t>Edit</w:t>
      </w:r>
      <w:r>
        <w:t xml:space="preserve"> on the company's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pPr>
        <w:pStyle w:val="Heading3"/>
      </w:pPr>
      <w:r>
        <w:t>Provisioning a company's default data</w:t>
      </w:r>
    </w:p>
    <w:p>
      <w:r>
        <w:rPr>
          <w:b/>
        </w:rPr>
        <w:t>What "Provision defaults" does.</w:t>
      </w:r>
      <w:r>
        <w:t xml:space="preserve"> A newly created company is automatically seeded, in the same transaction as its creation, with the baseline operational and reference data every module expects to find — default tax rates, GL accounts, units of measure, enabled currencies, and the like. </w:t>
      </w:r>
      <w:r>
        <w:rPr>
          <w:b/>
        </w:rPr>
        <w:t>Provision defaults</w:t>
      </w:r>
      <w:r>
        <w:t xml:space="preserve"> re-runs that same seeding for an existing company, on demand. It is idempotent: anything the company already has is left alone — the action only fills in whatever is missing.</w:t>
      </w:r>
    </w:p>
    <w:p>
      <w:r>
        <w:rPr>
          <w:b/>
        </w:rPr>
        <w:t>When to use it.</w:t>
      </w:r>
      <w:r>
        <w:t xml:space="preserve"> Use it if a company is missing expected reference data — for example, a company created before automatic provisioning existed, one whose original provisioning only partially completed, or one you simply want to heal after noticing a gap (a missing tax rate, an unset default account). It is safe to click on a company that is already fully provisioned; nothing is duplicated.</w:t>
      </w:r>
    </w:p>
    <w:p>
      <w:r>
        <w:rPr>
          <w:b/>
        </w:rPr>
        <w:t>Required permission:</w:t>
      </w:r>
      <w:r>
        <w:t xml:space="preserve"> </w:t>
      </w:r>
      <w:r>
        <w:rPr>
          <w:rFonts w:ascii="Consolas" w:hAnsi="Consolas"/>
          <w:color w:val="B03060"/>
          <w:sz w:val="19"/>
        </w:rPr>
        <w:t>COMPANY.MANAGE</w:t>
      </w:r>
    </w:p>
    <w:p>
      <w:r>
        <w:t xml:space="preserve">Each company row carries a </w:t>
      </w:r>
      <w:r>
        <w:rPr>
          <w:b/>
        </w:rPr>
        <w:t>Provision defaults</w:t>
      </w:r>
      <w:r>
        <w:t xml:space="preserve"> button alongside </w:t>
      </w:r>
      <w:r>
        <w:rPr>
          <w:b/>
        </w:rPr>
        <w:t>Edit</w:t>
      </w:r>
      <w:r>
        <w:t xml:space="preserve"> (visible only if you hold </w:t>
      </w:r>
      <w:r>
        <w:rPr>
          <w:rFonts w:ascii="Consolas" w:hAnsi="Consolas"/>
          <w:color w:val="B03060"/>
          <w:sz w:val="19"/>
        </w:rPr>
        <w:t>COMPANY.MANAGE</w:t>
      </w:r>
      <w:r>
        <w:t>).</w:t>
      </w:r>
    </w:p>
    <w:p>
      <w:pPr>
        <w:pStyle w:val="ListNumber"/>
      </w:pPr>
      <w:r>
        <w:t xml:space="preserve">On the Companies list, click </w:t>
      </w:r>
      <w:r>
        <w:rPr>
          <w:b/>
        </w:rPr>
        <w:t>Provision defaults</w:t>
      </w:r>
      <w:r>
        <w:t xml:space="preserve"> on the company's row.</w:t>
      </w:r>
    </w:p>
    <w:p>
      <w:pPr>
        <w:pStyle w:val="ListNumber"/>
      </w:pPr>
      <w:r>
        <w:t>Confirm the prompt — *"Restore the default setup (tax rates, accounts, units, …) for "\&lt;company name\&gt;"?"*.</w:t>
      </w:r>
    </w:p>
    <w:p>
      <w:pPr>
        <w:pStyle w:val="ListNumber"/>
      </w:pPr>
      <w:r>
        <w:t xml:space="preserve">The button switches to </w:t>
      </w:r>
      <w:r>
        <w:rPr>
          <w:b/>
        </w:rPr>
        <w:t>Provisioning…</w:t>
      </w:r>
      <w:r>
        <w:t xml:space="preserve"> while the request is in flight. The Provision-defaults and Edit actions are interlocked across the </w:t>
      </w:r>
      <w:r>
        <w:rPr>
          <w:b/>
        </w:rPr>
        <w:t>whole</w:t>
      </w:r>
      <w:r>
        <w:t xml:space="preserve"> company list, not per row: while any row is being renamed the </w:t>
      </w:r>
      <w:r>
        <w:rPr>
          <w:b/>
        </w:rPr>
        <w:t>Provision defaults</w:t>
      </w:r>
      <w:r>
        <w:t xml:space="preserve"> button is disabled on every row, and while a Provision-defaults request is in flight </w:t>
      </w:r>
      <w:r>
        <w:rPr>
          <w:b/>
        </w:rPr>
        <w:t>Edit</w:t>
      </w:r>
      <w:r>
        <w:t xml:space="preserve"> is disabled on every row.</w:t>
      </w:r>
    </w:p>
    <w:p>
      <w:pPr>
        <w:pStyle w:val="ListNumber"/>
      </w:pPr>
      <w:r>
        <w:t>On success, a confirmation alert ("Default setup restored") appears. On failure, an error alert explains what went wrong.</w:t>
      </w:r>
    </w:p>
    <w:p>
      <w:r>
        <w:br/>
      </w:r>
    </w:p>
    <w:p>
      <w:pPr>
        <w:pStyle w:val="Heading3"/>
      </w:pPr>
      <w:r>
        <w:t>Viewing branches</w:t>
      </w:r>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Renaming a branch</w:t>
      </w:r>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pPr>
      <w:r>
        <w:t xml:space="preserve">On the branch list, click </w:t>
      </w:r>
      <w:r>
        <w:rPr>
          <w:b/>
        </w:rPr>
        <w:t>Edit</w:t>
      </w:r>
      <w:r>
        <w:t xml:space="preserve"> on the branch's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pPr>
        <w:pStyle w:val="Heading3"/>
      </w:pPr>
      <w:r>
        <w:t>Archiving a branch</w:t>
      </w:r>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pPr>
        <w:pStyle w:val="Heading2"/>
      </w:pPr>
      <w:r>
        <w:t>Users</w:t>
      </w:r>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If you create the user while acting as a non-root company administrator, the system automatically makes the new user a member of your active company in the same step — you do not need a separate action for this common case. You then still need to assign at least one branch and grant at least one role; a user with no branches and no roles can log in but will see no menu and have no active branch. (The </w:t>
      </w:r>
      <w:r>
        <w:rPr>
          <w:rFonts w:ascii="Consolas" w:hAnsi="Consolas"/>
          <w:color w:val="B03060"/>
          <w:sz w:val="19"/>
        </w:rPr>
        <w:t>rootadmin</w:t>
      </w:r>
      <w:r>
        <w:t xml:space="preserve"> account has no single active company, so a user created while signed in as root is left with no company membership — assign one explicitly first; see [Assigning Companies to Users](#assigning-companies-to-users).) Branches and roles can only be assigned within a company the user already belongs to.</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r>
        <w:t xml:space="preserve">The list is scoped to your access: a </w:t>
      </w:r>
      <w:r>
        <w:rPr>
          <w:b/>
        </w:rPr>
        <w:t>root administrator</w:t>
      </w:r>
      <w:r>
        <w:t xml:space="preserve"> sees every user in the organisation, while everyone else sees only the (non-root) users who are members of their active company — including any user they have just created, since creating a user makes it a member of the creator's active company automatically (see below, and [Assigning Companies to Users](#assigning-companies-to-users)).</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 If you created the user while acting as a non-root administrator, the user is also automatically made a member of your active company — no separate step is needed, and the user immediately appears in your Users list.</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Assignments page</w:t>
      </w:r>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[Assigning Companies to Users](#assigning-companies-to-users) below.)</w:t>
      </w:r>
    </w:p>
    <w:p>
      <w:r>
        <w:br/>
      </w:r>
    </w:p>
    <w:p>
      <w:pPr>
        <w:pStyle w:val="Heading2"/>
      </w:pPr>
      <w:r>
        <w:t>Roles</w:t>
      </w:r>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ROLE.ADMIN</w:t>
      </w:r>
      <w:r>
        <w:t xml:space="preserve"> (the role catalogue itself is guarded by </w:t>
      </w:r>
      <w:r>
        <w:rPr>
          <w:rFonts w:ascii="Consolas" w:hAnsi="Consolas"/>
          <w:color w:val="B03060"/>
          <w:sz w:val="19"/>
        </w:rPr>
        <w:t>ROLE.ADMIN</w:t>
      </w:r>
      <w:r>
        <w:t xml:space="preserve">; the separate </w:t>
      </w:r>
      <w:r>
        <w:rPr>
          <w:rFonts w:ascii="Consolas" w:hAnsi="Consolas"/>
          <w:color w:val="B03060"/>
          <w:sz w:val="19"/>
        </w:rPr>
        <w:t>ROLE.MANAGE</w:t>
      </w:r>
      <w:r>
        <w:t xml:space="preserve"> permission governs assigning existing roles to users — see *Assigning Roles to Users* below)</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Read-closure advisory</w:t>
      </w:r>
    </w:p>
    <w:p>
      <w:r>
        <w:rPr>
          <w:b/>
        </w:rPr>
        <w:t>What it is.</w:t>
      </w:r>
      <w:r>
        <w:t xml:space="preserve"> Below the Permissions card, the role edit page can show a </w:t>
      </w:r>
      <w:r>
        <w:rPr>
          <w:b/>
        </w:rPr>
        <w:t>Read-closure advisory</w:t>
      </w:r>
      <w:r>
        <w:t xml:space="preserve"> panel. It flags screens the role's checked permissions let a user *open* (because the role holds that screen's primary action permission) where the role is still missing one or more supporting </w:t>
      </w:r>
      <w:r>
        <w:rPr>
          <w:b/>
        </w:rPr>
        <w:t>read</w:t>
      </w:r>
      <w:r>
        <w:t xml:space="preserve"> permissions the same screen needs on load — for example, a role that can create a sales order but was not also given the customer and product picker reads. The panel is advisory only: it never blocks </w:t>
      </w:r>
      <w:r>
        <w:rPr>
          <w:b/>
        </w:rPr>
        <w:t>Save permissions</w:t>
      </w:r>
      <w:r>
        <w:t>, and saving an incomplete selection is always allowed.</w:t>
      </w:r>
    </w:p>
    <w:p>
      <w:r>
        <w:rPr>
          <w:b/>
        </w:rPr>
        <w:t>Why it exists.</w:t>
      </w:r>
      <w:r>
        <w:t xml:space="preserve"> A screen's primary action and its reference-data pickers are separate permission checks. Without this advisory, a role that is missing a picker's read looks complete to the administrator composing it (everything saves without error) but a real user holding only that role hits a partial, confusing block once they open the screen — the button they can see, but a supporting dropdown 403s. Testing as </w:t>
      </w:r>
      <w:r>
        <w:rPr>
          <w:rFonts w:ascii="Consolas" w:hAnsi="Consolas"/>
          <w:color w:val="B03060"/>
          <w:sz w:val="19"/>
        </w:rPr>
        <w:t>rootadmin</w:t>
      </w:r>
      <w:r>
        <w:t xml:space="preserve"> never reveals this, because root holds every permission. The advisory surfaces the gap to the administrator at grant time instead.</w:t>
      </w:r>
    </w:p>
    <w:p>
      <w:r>
        <w:rPr>
          <w:b/>
        </w:rPr>
        <w:t>When you see it.</w:t>
      </w:r>
      <w:r>
        <w:t xml:space="preserve"> The panel appears automatically on the role edit page (</w:t>
      </w:r>
      <w:r>
        <w:rPr>
          <w:rFonts w:ascii="Consolas" w:hAnsi="Consolas"/>
          <w:color w:val="B03060"/>
          <w:sz w:val="19"/>
        </w:rPr>
        <w:t>/admin/roles/uid/&lt;uid&gt;</w:t>
      </w:r>
      <w:r>
        <w:t xml:space="preserve">) whenever the role's current permission set leaves at least one reachable screen with a missing required read; it is empty and hidden otherwise. It refreshes each time you click </w:t>
      </w:r>
      <w:r>
        <w:rPr>
          <w:b/>
        </w:rPr>
        <w:t>Save permissions</w:t>
      </w:r>
      <w:r>
        <w:t>, so you can immediately confirm a fix.</w:t>
      </w:r>
    </w:p>
    <w:p>
      <w:r>
        <w:t>Each gap reads in the form:</w:t>
      </w:r>
    </w:p>
    <w:p>
      <w:r>
        <w:t xml:space="preserve">This role can open </w:t>
      </w:r>
      <w:r>
        <w:rPr>
          <w:b/>
        </w:rPr>
        <w:t>\&lt;screen name\&gt;</w:t>
      </w:r>
      <w:r>
        <w:t xml:space="preserve"> but is missing </w:t>
      </w:r>
      <w:r>
        <w:rPr>
          <w:rFonts w:ascii="Consolas" w:hAnsi="Consolas"/>
          <w:color w:val="B03060"/>
          <w:sz w:val="19"/>
        </w:rPr>
        <w:t>&lt;CODE&gt;</w:t>
      </w:r>
      <w:r>
        <w:t xml:space="preserve">, </w:t>
      </w:r>
      <w:r>
        <w:rPr>
          <w:rFonts w:ascii="Consolas" w:hAnsi="Consolas"/>
          <w:color w:val="B03060"/>
          <w:sz w:val="19"/>
        </w:rPr>
        <w:t>&lt;CODE&gt;</w:t>
      </w:r>
      <w:r>
        <w:t xml:space="preserve"> — users with only this role will be blocked on that screen.</w:t>
      </w:r>
    </w:p>
    <w:p>
      <w:r>
        <w:t xml:space="preserve">Grant the listed codes on the Permissions panel above and click </w:t>
      </w:r>
      <w:r>
        <w:rPr>
          <w:b/>
        </w:rPr>
        <w:t>Save permissions</w:t>
      </w:r>
      <w:r>
        <w:t xml:space="preserve"> again to clear the gap.</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pPr>
        <w:pStyle w:val="Heading2"/>
      </w:pPr>
      <w:r>
        <w:t>Assigning Companies to Users</w:t>
      </w:r>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A non-root administrator's active company is assigned automatically the moment they create the user (see [Creating a user](#creating-a-user)), so you will usually only need this screen when a user created by </w:t>
      </w:r>
      <w:r>
        <w:rPr>
          <w:rFonts w:ascii="Consolas" w:hAnsi="Consolas"/>
          <w:color w:val="B03060"/>
          <w:sz w:val="19"/>
        </w:rPr>
        <w:t>rootadmin</w:t>
      </w:r>
      <w:r>
        <w:t xml:space="preserve"> needs their first company, or whenever an existing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pPr>
        <w:pStyle w:val="Heading3"/>
      </w:pPr>
      <w:r>
        <w:t>Assigning a user to a company</w:t>
      </w:r>
    </w:p>
    <w:p>
      <w:pPr>
        <w:pStyle w:val="ListNumber"/>
      </w:pPr>
      <w:r>
        <w:t>Open the user's Assignments page (</w:t>
      </w:r>
      <w:r>
        <w:rPr>
          <w:b/>
        </w:rPr>
        <w:t>Assignments</w:t>
      </w:r>
      <w:r>
        <w:t xml:space="preserve"> on the user's row in </w:t>
      </w:r>
      <w:r>
        <w:rPr>
          <w:b/>
        </w:rPr>
        <w:t>Administration › Users</w:t>
      </w:r>
      <w:r>
        <w:t>).</w:t>
      </w:r>
    </w:p>
    <w:p>
      <w:pPr>
        <w:pStyle w:val="ListNumbe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pPr>
      <w:r>
        <w:t xml:space="preserve">Click </w:t>
      </w:r>
      <w:r>
        <w:rPr>
          <w:b/>
        </w:rPr>
        <w:t>Assign</w:t>
      </w:r>
      <w:r>
        <w:t>.</w:t>
      </w:r>
    </w:p>
    <w:p>
      <w:r>
        <w:t>The company appears in the user's Companies list. Its branches and roles can now be assigned in the cards below.</w:t>
      </w:r>
    </w:p>
    <w:p>
      <w:pPr>
        <w:pStyle w:val="Heading3"/>
      </w:pPr>
      <w:r>
        <w:t>Removing a company membership</w:t>
      </w:r>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pPr>
        <w:pStyle w:val="Heading2"/>
      </w:pPr>
      <w:r>
        <w:t>Assigning Roles to Users</w:t>
      </w:r>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[Assigning Companies to Users](#assigning-companies-to-users)).</w:t>
      </w:r>
    </w:p>
    <w:p>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pPr>
        <w:pStyle w:val="Heading2"/>
      </w:pPr>
      <w:r>
        <w:t>Assigning Branches to Users</w:t>
      </w:r>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list. A branch can only be assigned within a company the user is already a member of (see [Assigning Companies to Users](#assigning-companies-to-users)).</w:t>
      </w:r>
    </w:p>
    <w:p>
      <w:pPr>
        <w:pStyle w:val="Heading3"/>
      </w:pPr>
      <w:r>
        <w:t>Assigning a user to a branch</w:t>
      </w:r>
    </w:p>
    <w:p>
      <w:pPr>
        <w:pStyle w:val="ListNumber"/>
      </w:pPr>
      <w:r>
        <w:t xml:space="preserve">On the user's Assignments page, find the </w:t>
      </w:r>
      <w:r>
        <w:rPr>
          <w:b/>
        </w:rPr>
        <w:t>Branch Assignments</w:t>
      </w:r>
      <w:r>
        <w:t xml:space="preserve"> card.</w:t>
      </w:r>
    </w:p>
    <w:p>
      <w:pPr>
        <w:pStyle w:val="ListNumbe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pPr>
        <w:pStyle w:val="Heading2"/>
      </w:pPr>
      <w:r>
        <w:t>Audit Trail</w:t>
      </w:r>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pPr>
        <w:pStyle w:val="Heading2"/>
      </w:pPr>
      <w:r>
        <w:t>Key Concepts Reference</w:t>
      </w:r>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pPr>
        <w:pStyle w:val="Heading1"/>
      </w:pPr>
      <w:r>
        <w:t>Master Data</w:t>
      </w:r>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pPr>
        <w:pStyle w:val="Heading2"/>
      </w:pPr>
      <w:r>
        <w:t>Customers</w:t>
      </w:r>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pPr>
        <w:pStyle w:val="Heading2"/>
      </w:pPr>
      <w:r>
        <w:t>Suppliers</w:t>
      </w:r>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pPr>
        <w:pStyle w:val="Heading2"/>
      </w:pPr>
      <w:r>
        <w:t>Other Parties</w:t>
      </w:r>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pPr>
        <w:pStyle w:val="Heading2"/>
      </w:pPr>
      <w:r>
        <w:t>Sales Agents</w:t>
      </w:r>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pPr>
        <w:pStyle w:val="Heading2"/>
      </w:pPr>
      <w:r>
        <w:t>Products</w:t>
      </w:r>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 You can also build all of this — identity, pricing, units of measure, opening stock and barcodes, and branch availability — in a single pass on the </w:t>
      </w:r>
      <w:r>
        <w:rPr>
          <w:b/>
        </w:rPr>
        <w:t>Product Master</w:t>
      </w:r>
      <w:r>
        <w:t xml:space="preserve"> screen (the </w:t>
      </w:r>
      <w:r>
        <w:rPr>
          <w:b/>
        </w:rPr>
        <w:t>Full product form</w:t>
      </w:r>
      <w:r>
        <w:t xml:space="preserve"> button on the products list) instead of visiting each panel separately; see *The Product Master — one screen for the whole product* below.</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Age restriction</w:t>
      </w:r>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The Product Master — one screen for the whole product</w:t>
      </w:r>
    </w:p>
    <w:p>
      <w:r>
        <w:rPr>
          <w:b/>
        </w:rPr>
        <w:t>What it is.</w:t>
      </w:r>
      <w:r>
        <w:t xml:space="preserve"> Next to </w:t>
      </w:r>
      <w:r>
        <w:rPr>
          <w:b/>
        </w:rPr>
        <w:t>New Product</w:t>
      </w:r>
      <w:r>
        <w:t xml:space="preserve"> on the products list toolbar, a </w:t>
      </w:r>
      <w:r>
        <w:rPr>
          <w:b/>
        </w:rPr>
        <w:t>Full product form</w:t>
      </w:r>
      <w:r>
        <w:t xml:space="preserve"> button opens the </w:t>
      </w:r>
      <w:r>
        <w:rPr>
          <w:b/>
        </w:rPr>
        <w:t>Product Master</w:t>
      </w:r>
      <w:r>
        <w:t xml:space="preserve"> (</w:t>
      </w:r>
      <w:r>
        <w:rPr>
          <w:rFonts w:ascii="Consolas" w:hAnsi="Consolas"/>
          <w:color w:val="B03060"/>
          <w:sz w:val="19"/>
        </w:rPr>
        <w:t>/admin/products/master</w:t>
      </w:r>
      <w:r>
        <w:t xml:space="preserve">, permission </w:t>
      </w:r>
      <w:r>
        <w:rPr>
          <w:rFonts w:ascii="Consolas" w:hAnsi="Consolas"/>
          <w:color w:val="B03060"/>
          <w:sz w:val="19"/>
        </w:rPr>
        <w:t>PRODUCT.MANAGE</w:t>
      </w:r>
      <w:r>
        <w:t>) — one screen, organised into five tabs, that captures the whole product record in a single save: identity, pricing, supplier and units of measure, opening stock and barcodes, and branch availability.</w:t>
      </w:r>
    </w:p>
    <w:p>
      <w:r>
        <w:rPr>
          <w:b/>
        </w:rPr>
        <w:t>Why it exists.</w:t>
      </w:r>
      <w:r>
        <w:t xml:space="preserve"> The quick create form above, followed by the separate Barcodes, Bulk Packs, Product prices, and Branch Associations panels on the product detail page, gets you there, but takes several round trips even for a straightforward new item. The Product Master orchestrates the same underlying steps from one screen: it creates the product first, then submits each section you filled in, in turn, against the new product's uid — reporting exactly which parts saved and which need attention if a step fails partway through.</w:t>
      </w:r>
    </w:p>
    <w:p>
      <w:r>
        <w:rPr>
          <w:b/>
        </w:rPr>
        <w:t>How it works.</w:t>
      </w:r>
      <w:r>
        <w:t xml:space="preserve"> The five tabs are </w:t>
      </w:r>
      <w:r>
        <w:rPr>
          <w:b/>
        </w:rPr>
        <w:t>General</w:t>
      </w:r>
      <w:r>
        <w:t xml:space="preserve">, </w:t>
      </w:r>
      <w:r>
        <w:rPr>
          <w:b/>
        </w:rPr>
        <w:t>Pricing</w:t>
      </w:r>
      <w:r>
        <w:t xml:space="preserve">, </w:t>
      </w:r>
      <w:r>
        <w:rPr>
          <w:b/>
        </w:rPr>
        <w:t>Supplier &amp; UoM</w:t>
      </w:r>
      <w:r>
        <w:t xml:space="preserve">, </w:t>
      </w:r>
      <w:r>
        <w:rPr>
          <w:b/>
        </w:rPr>
        <w:t>Stock &amp; Barcodes</w:t>
      </w:r>
      <w:r>
        <w:t xml:space="preserve">, and </w:t>
      </w:r>
      <w:r>
        <w:rPr>
          <w:b/>
        </w:rPr>
        <w:t>Branches</w:t>
      </w:r>
      <w:r>
        <w:t>. Switching tabs does not save anything by itself — nothing is written until you click the save button at the bottom of the screen.</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and click </w:t>
      </w:r>
      <w:r>
        <w:rPr>
          <w:b/>
        </w:rPr>
        <w:t>Full product form</w:t>
      </w:r>
      <w:r>
        <w:t>.</w:t>
      </w:r>
    </w:p>
    <w:p>
      <w:pPr>
        <w:pStyle w:val="ListNumber"/>
      </w:pPr>
      <w:r>
        <w:t xml:space="preserve">If your organisation has more than one company, select the </w:t>
      </w:r>
      <w:r>
        <w:rPr>
          <w:b/>
        </w:rPr>
        <w:t>Company</w:t>
      </w:r>
      <w:r>
        <w:t xml:space="preserve"> first (the picker only appears when there is more than one; it is fixed once the product is created).</w:t>
      </w:r>
    </w:p>
    <w:p>
      <w:pPr>
        <w:pStyle w:val="ListNumber"/>
      </w:pPr>
      <w:r>
        <w:t xml:space="preserve">On the </w:t>
      </w:r>
      <w:r>
        <w:rPr>
          <w:b/>
        </w:rPr>
        <w:t>General</w:t>
      </w:r>
      <w:r>
        <w:t xml:space="preserve"> tab, enter the identity fields: optionally a </w:t>
      </w:r>
      <w:r>
        <w:rPr>
          <w:b/>
        </w:rPr>
        <w:t>Code</w:t>
      </w:r>
      <w:r>
        <w:t xml:space="preserve"> (blank assigns </w:t>
      </w:r>
      <w:r>
        <w:rPr>
          <w:rFonts w:ascii="Consolas" w:hAnsi="Consolas"/>
          <w:color w:val="B03060"/>
          <w:sz w:val="19"/>
        </w:rPr>
        <w:t>PROD-####</w:t>
      </w:r>
      <w:r>
        <w:t xml:space="preserve">; not editable once created), the required </w:t>
      </w:r>
      <w:r>
        <w:rPr>
          <w:b/>
        </w:rPr>
        <w:t>Name</w:t>
      </w:r>
      <w:r>
        <w:t xml:space="preserve">, </w:t>
      </w:r>
      <w:r>
        <w:rPr>
          <w:b/>
        </w:rPr>
        <w:t>Type</w:t>
      </w:r>
      <w:r>
        <w:t xml:space="preserve"> (Goods or Service — Service forces </w:t>
      </w:r>
      <w:r>
        <w:rPr>
          <w:b/>
        </w:rPr>
        <w:t>Stockable</w:t>
      </w:r>
      <w:r>
        <w:t xml:space="preserve"> off), </w:t>
      </w:r>
      <w:r>
        <w:rPr>
          <w:b/>
        </w:rPr>
        <w:t>VAT Status</w:t>
      </w:r>
      <w:r>
        <w:t xml:space="preserve">, </w:t>
      </w:r>
      <w:r>
        <w:rPr>
          <w:b/>
        </w:rPr>
        <w:t>Description</w:t>
      </w:r>
      <w:r>
        <w:t xml:space="preserve">, </w:t>
      </w:r>
      <w:r>
        <w:rPr>
          <w:b/>
        </w:rPr>
        <w:t>Department / Category</w:t>
      </w:r>
      <w:r>
        <w:t xml:space="preserve"> (free text, not linked to HR departments), </w:t>
      </w:r>
      <w:r>
        <w:rPr>
          <w:b/>
        </w:rPr>
        <w:t>Brand / Trade name</w:t>
      </w:r>
      <w:r>
        <w:t xml:space="preserve">, </w:t>
      </w:r>
      <w:r>
        <w:rPr>
          <w:b/>
        </w:rPr>
        <w:t>Manufacturer</w:t>
      </w:r>
      <w:r>
        <w:t xml:space="preserve">, </w:t>
      </w:r>
      <w:r>
        <w:rPr>
          <w:b/>
        </w:rPr>
        <w:t>HS Code</w:t>
      </w:r>
      <w:r>
        <w:t xml:space="preserve">, </w:t>
      </w:r>
      <w:r>
        <w:rPr>
          <w:b/>
        </w:rPr>
        <w:t>Image URL</w:t>
      </w:r>
      <w:r>
        <w:t xml:space="preserve">, the </w:t>
      </w:r>
      <w:r>
        <w:rPr>
          <w:b/>
        </w:rPr>
        <w:t>Sellable</w:t>
      </w:r>
      <w:r>
        <w:t xml:space="preserve"> / </w:t>
      </w:r>
      <w:r>
        <w:rPr>
          <w:b/>
        </w:rPr>
        <w:t>Stockable</w:t>
      </w:r>
      <w:r>
        <w:t xml:space="preserve"> / </w:t>
      </w:r>
      <w:r>
        <w:rPr>
          <w:b/>
        </w:rPr>
        <w:t>Purchasable</w:t>
      </w:r>
      <w:r>
        <w:t xml:space="preserve"> flags, the </w:t>
      </w:r>
      <w:r>
        <w:rPr>
          <w:b/>
        </w:rPr>
        <w:t>Lot tracked</w:t>
      </w:r>
      <w:r>
        <w:t xml:space="preserve"> / </w:t>
      </w:r>
      <w:r>
        <w:rPr>
          <w:b/>
        </w:rPr>
        <w:t>Serial tracked</w:t>
      </w:r>
      <w:r>
        <w:t xml:space="preserve"> / </w:t>
      </w:r>
      <w:r>
        <w:rPr>
          <w:b/>
        </w:rPr>
        <w:t>Expiry tracked</w:t>
      </w:r>
      <w:r>
        <w:t xml:space="preserve"> flags (disabled when </w:t>
      </w:r>
      <w:r>
        <w:rPr>
          <w:b/>
        </w:rPr>
        <w:t>Type</w:t>
      </w:r>
      <w:r>
        <w:t xml:space="preserve"> is Service), and </w:t>
      </w:r>
      <w:r>
        <w:rPr>
          <w:b/>
        </w:rPr>
        <w:t>Internal Notes</w:t>
      </w:r>
      <w:r>
        <w:t>.</w:t>
      </w:r>
    </w:p>
    <w:p>
      <w:pPr>
        <w:pStyle w:val="ListNumber"/>
      </w:pPr>
      <w:r>
        <w:t xml:space="preserve">On the </w:t>
      </w:r>
      <w:r>
        <w:rPr>
          <w:b/>
        </w:rPr>
        <w:t>Pricing</w:t>
      </w:r>
      <w:r>
        <w:t xml:space="preserve"> tab, enter the </w:t>
      </w:r>
      <w:r>
        <w:rPr>
          <w:b/>
        </w:rPr>
        <w:t>Cost (buying) price</w:t>
      </w:r>
      <w:r>
        <w:t xml:space="preserve"> — an </w:t>
      </w:r>
      <w:r>
        <w:rPr>
          <w:b/>
        </w:rPr>
        <w:t>Amount</w:t>
      </w:r>
      <w:r>
        <w:t xml:space="preserve"> and a </w:t>
      </w:r>
      <w:r>
        <w:rPr>
          <w:b/>
        </w:rPr>
        <w:t>Currency</w:t>
      </w:r>
      <w:r>
        <w:t xml:space="preserve"> (the </w:t>
      </w:r>
      <w:r>
        <w:rPr>
          <w:b/>
        </w:rPr>
        <w:t>Currency Picker</w:t>
      </w:r>
      <w:r>
        <w:t xml:space="preserve">) — then click </w:t>
      </w:r>
      <w:r>
        <w:rPr>
          <w:b/>
        </w:rPr>
        <w:t>Add price list</w:t>
      </w:r>
      <w:r>
        <w:t xml:space="preserve"> for each </w:t>
      </w:r>
      <w:r>
        <w:rPr>
          <w:b/>
        </w:rPr>
        <w:t>Selling price</w:t>
      </w:r>
      <w:r>
        <w:t xml:space="preserve"> row and set its </w:t>
      </w:r>
      <w:r>
        <w:rPr>
          <w:b/>
        </w:rPr>
        <w:t>Price list</w:t>
      </w:r>
      <w:r>
        <w:t xml:space="preserve">, </w:t>
      </w:r>
      <w:r>
        <w:rPr>
          <w:b/>
        </w:rPr>
        <w:t>Amount</w:t>
      </w:r>
      <w:r>
        <w:t xml:space="preserve">, </w:t>
      </w:r>
      <w:r>
        <w:rPr>
          <w:b/>
        </w:rPr>
        <w:t>Currency</w:t>
      </w:r>
      <w:r>
        <w:t xml:space="preserve">, and optional </w:t>
      </w:r>
      <w:r>
        <w:rPr>
          <w:b/>
        </w:rPr>
        <w:t>Effective from</w:t>
      </w:r>
      <w:r>
        <w:t xml:space="preserve"> date. A first selling-price row is pre-added automatically, pre-selected to the company's default price list where the system can resolve one (the list flagged as default, a list coded </w:t>
      </w:r>
      <w:r>
        <w:rPr>
          <w:rFonts w:ascii="Consolas" w:hAnsi="Consolas"/>
          <w:color w:val="B03060"/>
          <w:sz w:val="19"/>
        </w:rPr>
        <w:t>DEFAULT</w:t>
      </w:r>
      <w:r>
        <w:t>/</w:t>
      </w:r>
      <w:r>
        <w:rPr>
          <w:rFonts w:ascii="Consolas" w:hAnsi="Consolas"/>
          <w:color w:val="B03060"/>
          <w:sz w:val="19"/>
        </w:rPr>
        <w:t>STANDARD</w:t>
      </w:r>
      <w:r>
        <w:t>, or the only list that exists); otherwise it is left for you to choose.</w:t>
      </w:r>
    </w:p>
    <w:p>
      <w:pPr>
        <w:pStyle w:val="ListNumber"/>
      </w:pPr>
      <w:r>
        <w:t xml:space="preserve">On the </w:t>
      </w:r>
      <w:r>
        <w:rPr>
          <w:b/>
        </w:rPr>
        <w:t>Supplier &amp; UoM</w:t>
      </w:r>
      <w:r>
        <w:t xml:space="preserve"> tab (headed *Supplier &amp; Unit of Measure*), select the required </w:t>
      </w:r>
      <w:r>
        <w:rPr>
          <w:b/>
        </w:rPr>
        <w:t>Base unit of measure</w:t>
      </w:r>
      <w:r>
        <w:t xml:space="preserve">, optionally add </w:t>
      </w:r>
      <w:r>
        <w:rPr>
          <w:b/>
        </w:rPr>
        <w:t>Pack / bulk units</w:t>
      </w:r>
      <w:r>
        <w:t xml:space="preserve"> — a </w:t>
      </w:r>
      <w:r>
        <w:rPr>
          <w:b/>
        </w:rPr>
        <w:t>Unit</w:t>
      </w:r>
      <w:r>
        <w:t xml:space="preserve"> and a </w:t>
      </w:r>
      <w:r>
        <w:rPr>
          <w:b/>
        </w:rPr>
        <w:t>Factor to base</w:t>
      </w:r>
      <w:r>
        <w:t xml:space="preserve">, then click </w:t>
      </w:r>
      <w:r>
        <w:rPr>
          <w:b/>
        </w:rPr>
        <w:t>Add</w:t>
      </w:r>
      <w:r>
        <w:t xml:space="preserve"> — the same bulk-pack conversions described under *Bulk packs* below, optionally search for and select a </w:t>
      </w:r>
      <w:r>
        <w:rPr>
          <w:b/>
        </w:rPr>
        <w:t>Preferred supplier</w:t>
      </w:r>
      <w:r>
        <w:t xml:space="preserve">, and set the </w:t>
      </w:r>
      <w:r>
        <w:rPr>
          <w:b/>
        </w:rPr>
        <w:t>Stock planning defaults</w:t>
      </w:r>
      <w:r>
        <w:t xml:space="preserve"> (</w:t>
      </w:r>
      <w:r>
        <w:rPr>
          <w:b/>
        </w:rPr>
        <w:t>Reorder level</w:t>
      </w:r>
      <w:r>
        <w:t xml:space="preserve">, </w:t>
      </w:r>
      <w:r>
        <w:rPr>
          <w:b/>
        </w:rPr>
        <w:t>Reorder qty</w:t>
      </w:r>
      <w:r>
        <w:t xml:space="preserve">, </w:t>
      </w:r>
      <w:r>
        <w:rPr>
          <w:b/>
        </w:rPr>
        <w:t>Safety stock</w:t>
      </w:r>
      <w:r>
        <w:t xml:space="preserve">, </w:t>
      </w:r>
      <w:r>
        <w:rPr>
          <w:b/>
        </w:rPr>
        <w:t>Min stock</w:t>
      </w:r>
      <w:r>
        <w:t xml:space="preserve">, </w:t>
      </w:r>
      <w:r>
        <w:rPr>
          <w:b/>
        </w:rPr>
        <w:t>Max stock</w:t>
      </w:r>
      <w:r>
        <w:t xml:space="preserve"> — disabled when </w:t>
      </w:r>
      <w:r>
        <w:rPr>
          <w:b/>
        </w:rPr>
        <w:t>Type</w:t>
      </w:r>
      <w:r>
        <w:t xml:space="preserve"> is Service, since a Service product cannot be stockable).</w:t>
      </w:r>
    </w:p>
    <w:p>
      <w:pPr>
        <w:pStyle w:val="ListNumber"/>
      </w:pPr>
      <w:r>
        <w:t xml:space="preserve">On the </w:t>
      </w:r>
      <w:r>
        <w:rPr>
          <w:b/>
        </w:rPr>
        <w:t>Stock &amp; Barcodes</w:t>
      </w:r>
      <w:r>
        <w:t xml:space="preserve"> tab, add any </w:t>
      </w:r>
      <w:r>
        <w:rPr>
          <w:b/>
        </w:rPr>
        <w:t>Barcodes / Article numbers</w:t>
      </w:r>
      <w:r>
        <w:t xml:space="preserve"> — a </w:t>
      </w:r>
      <w:r>
        <w:rPr>
          <w:b/>
        </w:rPr>
        <w:t>Barcode value</w:t>
      </w:r>
      <w:r>
        <w:t xml:space="preserve">, optional </w:t>
      </w:r>
      <w:r>
        <w:rPr>
          <w:b/>
        </w:rPr>
        <w:t>Type</w:t>
      </w:r>
      <w:r>
        <w:t xml:space="preserve"> and </w:t>
      </w:r>
      <w:r>
        <w:rPr>
          <w:b/>
        </w:rPr>
        <w:t>Unit</w:t>
      </w:r>
      <w:r>
        <w:t xml:space="preserve">, and a </w:t>
      </w:r>
      <w:r>
        <w:rPr>
          <w:b/>
        </w:rPr>
        <w:t>Primary</w:t>
      </w:r>
      <w:r>
        <w:t xml:space="preserve"> checkbox (the first barcode you add is marked primary automatically even if you don't tick it) — and, if the product is stockable, an </w:t>
      </w:r>
      <w:r>
        <w:rPr>
          <w:b/>
        </w:rPr>
        <w:t>Opening stock Quantity</w:t>
      </w:r>
      <w:r>
        <w:t xml:space="preserve"> and </w:t>
      </w:r>
      <w:r>
        <w:rPr>
          <w:b/>
        </w:rPr>
        <w:t>Note</w:t>
      </w:r>
      <w:r>
        <w:t>, seeded into your current active branch.</w:t>
      </w:r>
    </w:p>
    <w:p>
      <w:pPr>
        <w:pStyle w:val="ListNumber"/>
      </w:pPr>
      <w:r>
        <w:t xml:space="preserve">On the </w:t>
      </w:r>
      <w:r>
        <w:rPr>
          <w:b/>
        </w:rPr>
        <w:t>Branches</w:t>
      </w:r>
      <w:r>
        <w:t xml:space="preserve"> tab, leave </w:t>
      </w:r>
      <w:r>
        <w:rPr>
          <w:b/>
        </w:rPr>
        <w:t>Make available in all branches</w:t>
      </w:r>
      <w:r>
        <w:t xml:space="preserve"> ticked (the default) to activate the product everywhere, or untick it and set each branch's own </w:t>
      </w:r>
      <w:r>
        <w:rPr>
          <w:b/>
        </w:rPr>
        <w:t>Active</w:t>
      </w:r>
      <w:r>
        <w:t xml:space="preserve"> switch, </w:t>
      </w:r>
      <w:r>
        <w:rPr>
          <w:b/>
        </w:rPr>
        <w:t>Reorder level</w:t>
      </w:r>
      <w:r>
        <w:t xml:space="preserve"> (stockable products only), and </w:t>
      </w:r>
      <w:r>
        <w:rPr>
          <w:b/>
        </w:rPr>
        <w:t>Branch price</w:t>
      </w:r>
      <w:r>
        <w:t xml:space="preserve"> (blank inherits the price-list price).</w:t>
      </w:r>
    </w:p>
    <w:p>
      <w:pPr>
        <w:pStyle w:val="ListNumber"/>
      </w:pPr>
      <w:r>
        <w:t xml:space="preserve">Click </w:t>
      </w:r>
      <w:r>
        <w:rPr>
          <w:b/>
        </w:rPr>
        <w:t>Create product</w:t>
      </w:r>
      <w:r>
        <w:t>.</w:t>
      </w:r>
    </w:p>
    <w:p>
      <w:r>
        <w:rPr>
          <w:b/>
        </w:rPr>
        <w:t>Validation.</w:t>
      </w:r>
      <w:r>
        <w:t xml:space="preserve"> </w:t>
      </w:r>
      <w:r>
        <w:rPr>
          <w:b/>
        </w:rPr>
        <w:t>Name</w:t>
      </w:r>
      <w:r>
        <w:t xml:space="preserve"> and </w:t>
      </w:r>
      <w:r>
        <w:rPr>
          <w:b/>
        </w:rPr>
        <w:t>Base unit of measure</w:t>
      </w:r>
      <w:r>
        <w:t xml:space="preserve"> are required — leaving either blank shows an error and switches you to the tab that needs it. If you add any barcodes, exactly one must be marked </w:t>
      </w:r>
      <w:r>
        <w:rPr>
          <w:b/>
        </w:rPr>
        <w:t>Primary</w:t>
      </w:r>
      <w:r>
        <w:t>.</w:t>
      </w:r>
    </w:p>
    <w:p>
      <w:r>
        <w:rPr>
          <w:b/>
        </w:rPr>
        <w:t>The save result.</w:t>
      </w:r>
      <w:r>
        <w:t xml:space="preserve"> If the product itself fails to save, the error is surfaced as a toast (for example a duplicate code) or, for an unexpected failure, the "Something went wrong" dialog — the form shows no inline message and the result panel below does not appear until the product has actually been created. Correct the issue and click </w:t>
      </w:r>
      <w:r>
        <w:rPr>
          <w:b/>
        </w:rPr>
        <w:t>Create product</w:t>
      </w:r>
      <w:r>
        <w:t xml:space="preserve"> again. Once the product itself has saved, the screen always shows a result panel listing every section —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w:t>
      </w:r>
      <w:r>
        <w:rPr>
          <w:b/>
        </w:rPr>
        <w:t>Opening stock</w:t>
      </w:r>
      <w:r>
        <w:t xml:space="preserve"> — each with a status: a check for a section that saved, a cross with the error message for one that failed, or a dash for one you left empty. Click </w:t>
      </w:r>
      <w:r>
        <w:rPr>
          <w:b/>
        </w:rPr>
        <w:t>Retry</w:t>
      </w:r>
      <w:r>
        <w:t xml:space="preserve"> next to a failed section (other than </w:t>
      </w:r>
      <w:r>
        <w:rPr>
          <w:b/>
        </w:rPr>
        <w:t>Product</w:t>
      </w:r>
      <w:r>
        <w:t xml:space="preserve"> itself) to resubmit just that part without repeating the whole form. From here, click </w:t>
      </w:r>
      <w:r>
        <w:rPr>
          <w:b/>
        </w:rPr>
        <w:t>Open product</w:t>
      </w:r>
      <w:r>
        <w:t xml:space="preserve"> to go to the product's detail page, </w:t>
      </w:r>
      <w:r>
        <w:rPr>
          <w:b/>
        </w:rPr>
        <w:t>Back to list</w:t>
      </w:r>
      <w:r>
        <w:t xml:space="preserve"> to return to the product list, or — if any section failed — </w:t>
      </w:r>
      <w:r>
        <w:rPr>
          <w:b/>
        </w:rPr>
        <w:t>Continue editing</w:t>
      </w:r>
      <w:r>
        <w:t xml:space="preserve"> to go back to the form.</w:t>
      </w:r>
    </w:p>
    <w:p>
      <w:r>
        <w:rPr>
          <w:b/>
        </w:rPr>
        <w:t>Editing.</w:t>
      </w:r>
      <w:r>
        <w:t xml:space="preserve"> The product list's </w:t>
      </w:r>
      <w:r>
        <w:rPr>
          <w:b/>
        </w:rPr>
        <w:t>Edit</w:t>
      </w:r>
      <w:r>
        <w:t xml:space="preserve"> action opens the classic product detail page described in the sections below (Barcodes, Bulk packs, Product prices, Product components, Branch Associations), not the Product Master screen.</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4"/>
      </w:pPr>
      <w:r>
        <w:t>Scale labels (weight and price barcodes)</w:t>
      </w:r>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r>
        <w:rPr>
          <w:b/>
        </w:rPr>
        <w:t>A product's allowed units of measure.</w:t>
      </w:r>
      <w:r>
        <w:t xml:space="preserve"> A product's base unit (set when it is created) plus any bulk packs added here together form the </w:t>
      </w:r>
      <w:r>
        <w:rPr>
          <w:b/>
        </w:rPr>
        <w:t>complete set of units this product can be transacted in</w:t>
      </w:r>
      <w:r>
        <w:t xml:space="preserve">. Everywhere a line item lets you pick a unit — purchase orders, sales orders, sales invoices, sales quotations, RFQs, blanket and standing orders, purchase requisitions, CRM opportunities, and Point of Sale — the </w:t>
      </w:r>
      <w:r>
        <w:rPr>
          <w:b/>
        </w:rPr>
        <w:t>Unit</w:t>
      </w:r>
      <w:r>
        <w:t xml:space="preserve"> field on that line loads only this product's configured units once you select the product, defaults to the base unit, and stays disabled until a product is chosen. You cannot pick a unit that isn't this product's base unit or one of its active bulk packs; the system rejects any other unit rather than silently mis-converting the quantity.</w:t>
      </w:r>
    </w:p>
    <w:p>
      <w:pPr>
        <w:pStyle w:val="Heading3"/>
      </w:pPr>
      <w:r>
        <w:t>Product prices</w:t>
      </w:r>
    </w:p>
    <w:p>
      <w:r>
        <w:t xml:space="preserve">A </w:t>
      </w:r>
      <w:r>
        <w:rPr>
          <w:b/>
        </w:rPr>
        <w:t>product price</w:t>
      </w:r>
      <w:r>
        <w:t xml:space="preserve"> is the selling price of this product on a specific price list. A price must be set on a price list before the product can be sold at that list's rate. You can maintain different prices on different lists — for example, a higher retail price and a lower wholesale price for the same product.</w:t>
      </w:r>
    </w:p>
    <w:p>
      <w:r>
        <w:t>You can set a selling price for this product on each of your price lists.</w:t>
      </w:r>
    </w:p>
    <w:p>
      <w:pPr>
        <w:pStyle w:val="ListNumber"/>
      </w:pPr>
      <w:r>
        <w:t xml:space="preserve">In the </w:t>
      </w:r>
      <w:r>
        <w:rPr>
          <w:b/>
        </w:rPr>
        <w:t>Prices</w:t>
      </w:r>
      <w:r>
        <w:t xml:space="preserve"> panel, select the </w:t>
      </w:r>
      <w:r>
        <w:rPr>
          <w:b/>
        </w:rPr>
        <w:t>Price list</w:t>
      </w:r>
      <w:r>
        <w:t xml:space="preserve"> by its code and name.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t xml:space="preserve">Setting a price on a price list that already has a price for this product overwrites the existing price. To remove a price, click </w:t>
      </w:r>
      <w:r>
        <w:rPr>
          <w:b/>
        </w:rPr>
        <w:t>Remove</w:t>
      </w:r>
      <w:r>
        <w:t xml:space="preserve"> on the row.</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r>
        <w:t xml:space="preserve">The product </w:t>
      </w:r>
      <w:r>
        <w:rPr>
          <w:rFonts w:ascii="Consolas" w:hAnsi="Consolas"/>
          <w:color w:val="B03060"/>
          <w:sz w:val="19"/>
        </w:rPr>
        <w:t>PROD-0034 — Sugar 1kg</w:t>
      </w:r>
      <w:r>
        <w:t xml:space="preserve"> is now available for sale at the correct retail price and will appear in stock movements tracked in kilograms.</w:t>
      </w:r>
    </w:p>
    <w:p>
      <w:r>
        <w:br/>
      </w:r>
    </w:p>
    <w:p>
      <w:r>
        <w:rPr>
          <w:b/>
        </w:rPr>
        <w:t>Example — Set up a product in one pass with the Product Master</w:t>
      </w:r>
    </w:p>
    <w:p>
      <w:r>
        <w:t>Scenario: Catalogue manager sets up Cooking Oil 5L from scratch using the one-screen template instead of the classic multi-panel flow.</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Full product form</w:t>
      </w:r>
      <w:r>
        <w:t>.</w:t>
      </w:r>
    </w:p>
    <w:p>
      <w:pPr>
        <w:pStyle w:val="ListNumber"/>
      </w:pPr>
      <w:r>
        <w:rPr>
          <w:b/>
        </w:rPr>
        <w:t>General tab:</w:t>
      </w:r>
      <w:r>
        <w:t xml:space="preserve"> leave Code blank, enter Name </w:t>
      </w:r>
      <w:r>
        <w:rPr>
          <w:rFonts w:ascii="Consolas" w:hAnsi="Consolas"/>
          <w:color w:val="B03060"/>
          <w:sz w:val="19"/>
        </w:rPr>
        <w:t>Cooking Oil 5L</w:t>
      </w:r>
      <w:r>
        <w:t xml:space="preserve">, Type </w:t>
      </w:r>
      <w:r>
        <w:rPr>
          <w:rFonts w:ascii="Consolas" w:hAnsi="Consolas"/>
          <w:color w:val="B03060"/>
          <w:sz w:val="19"/>
        </w:rPr>
        <w:t>Goods</w:t>
      </w:r>
      <w:r>
        <w:t xml:space="preserve">, VAT Status </w:t>
      </w:r>
      <w:r>
        <w:rPr>
          <w:rFonts w:ascii="Consolas" w:hAnsi="Consolas"/>
          <w:color w:val="B03060"/>
          <w:sz w:val="19"/>
        </w:rPr>
        <w:t>Standard</w:t>
      </w:r>
      <w:r>
        <w:t xml:space="preserve">, tick </w:t>
      </w:r>
      <w:r>
        <w:rPr>
          <w:b/>
        </w:rPr>
        <w:t>Sellable</w:t>
      </w:r>
      <w:r>
        <w:t xml:space="preserve"> and </w:t>
      </w:r>
      <w:r>
        <w:rPr>
          <w:b/>
        </w:rPr>
        <w:t>Stockable</w:t>
      </w:r>
      <w:r>
        <w:t>.</w:t>
      </w:r>
    </w:p>
    <w:p>
      <w:pPr>
        <w:pStyle w:val="ListNumber"/>
      </w:pPr>
      <w:r>
        <w:rPr>
          <w:b/>
        </w:rPr>
        <w:t>Pricing tab:</w:t>
      </w:r>
      <w:r>
        <w:t xml:space="preserve"> Cost (buying) price Amount </w:t>
      </w:r>
      <w:r>
        <w:rPr>
          <w:rFonts w:ascii="Consolas" w:hAnsi="Consolas"/>
          <w:color w:val="B03060"/>
          <w:sz w:val="19"/>
        </w:rPr>
        <w:t>12000</w:t>
      </w:r>
      <w:r>
        <w:t xml:space="preserve">, Currency left at the company default. On the pre-added Selling price row, leave the Price list at the resolved default and enter Amount </w:t>
      </w:r>
      <w:r>
        <w:rPr>
          <w:rFonts w:ascii="Consolas" w:hAnsi="Consolas"/>
          <w:color w:val="B03060"/>
          <w:sz w:val="19"/>
        </w:rPr>
        <w:t>15500</w:t>
      </w:r>
      <w:r>
        <w:t>.</w:t>
      </w:r>
    </w:p>
    <w:p>
      <w:pPr>
        <w:pStyle w:val="ListNumber"/>
      </w:pPr>
      <w:r>
        <w:rPr>
          <w:b/>
        </w:rPr>
        <w:t>Supplier &amp; UoM tab:</w:t>
      </w:r>
      <w:r>
        <w:t xml:space="preserve"> Base unit of measure </w:t>
      </w:r>
      <w:r>
        <w:rPr>
          <w:rFonts w:ascii="Consolas" w:hAnsi="Consolas"/>
          <w:color w:val="B03060"/>
          <w:sz w:val="19"/>
        </w:rPr>
        <w:t>LTR — Litre</w:t>
      </w:r>
      <w:r>
        <w:t xml:space="preserve">. Under Pack / bulk units, select Unit </w:t>
      </w:r>
      <w:r>
        <w:rPr>
          <w:rFonts w:ascii="Consolas" w:hAnsi="Consolas"/>
          <w:color w:val="B03060"/>
          <w:sz w:val="19"/>
        </w:rPr>
        <w:t>CTN — Carton</w:t>
      </w:r>
      <w:r>
        <w:t xml:space="preserve">, Factor to base </w:t>
      </w:r>
      <w:r>
        <w:rPr>
          <w:rFonts w:ascii="Consolas" w:hAnsi="Consolas"/>
          <w:color w:val="B03060"/>
          <w:sz w:val="19"/>
        </w:rPr>
        <w:t>4</w:t>
      </w:r>
      <w:r>
        <w:t xml:space="preserve">, click </w:t>
      </w:r>
      <w:r>
        <w:rPr>
          <w:b/>
        </w:rPr>
        <w:t>Add</w:t>
      </w:r>
      <w:r>
        <w:t>.</w:t>
      </w:r>
    </w:p>
    <w:p>
      <w:pPr>
        <w:pStyle w:val="ListNumber"/>
      </w:pPr>
      <w:r>
        <w:rPr>
          <w:b/>
        </w:rPr>
        <w:t>Stock &amp; Barcodes tab:</w:t>
      </w:r>
      <w:r>
        <w:t xml:space="preserve"> enter Barcode value </w:t>
      </w:r>
      <w:r>
        <w:rPr>
          <w:rFonts w:ascii="Consolas" w:hAnsi="Consolas"/>
          <w:color w:val="B03060"/>
          <w:sz w:val="19"/>
        </w:rPr>
        <w:t>6009876500001</w:t>
      </w:r>
      <w:r>
        <w:t xml:space="preserve"> (kept as primary automatically, being the first row). Opening stock Quantity </w:t>
      </w:r>
      <w:r>
        <w:rPr>
          <w:rFonts w:ascii="Consolas" w:hAnsi="Consolas"/>
          <w:color w:val="B03060"/>
          <w:sz w:val="19"/>
        </w:rPr>
        <w:t>200</w:t>
      </w:r>
      <w:r>
        <w:t>.</w:t>
      </w:r>
    </w:p>
    <w:p>
      <w:pPr>
        <w:pStyle w:val="ListNumber"/>
      </w:pPr>
      <w:r>
        <w:rPr>
          <w:b/>
        </w:rPr>
        <w:t>Branches tab:</w:t>
      </w:r>
      <w:r>
        <w:t xml:space="preserve"> leave </w:t>
      </w:r>
      <w:r>
        <w:rPr>
          <w:b/>
        </w:rPr>
        <w:t>Make available in all branches</w:t>
      </w:r>
      <w:r>
        <w:t xml:space="preserve"> ticked.</w:t>
      </w:r>
    </w:p>
    <w:p>
      <w:pPr>
        <w:pStyle w:val="ListNumber"/>
      </w:pPr>
      <w:r>
        <w:t xml:space="preserve">Click </w:t>
      </w:r>
      <w:r>
        <w:rPr>
          <w:b/>
        </w:rPr>
        <w:t>Create product</w:t>
      </w:r>
      <w:r>
        <w:t>.</w:t>
      </w:r>
    </w:p>
    <w:p>
      <w:r>
        <w:t xml:space="preserve">The save-result panel shows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and </w:t>
      </w:r>
      <w:r>
        <w:rPr>
          <w:b/>
        </w:rPr>
        <w:t>Opening stock</w:t>
      </w:r>
      <w:r>
        <w:t xml:space="preserve"> all marked done. Clicking </w:t>
      </w:r>
      <w:r>
        <w:rPr>
          <w:b/>
        </w:rPr>
        <w:t>Open product</w:t>
      </w:r>
      <w:r>
        <w:t xml:space="preserve"> opens the new record on the classic detail page, already carrying its retail price, its carton bulk pack, its barcode, and 200 litres of opening stock — all set up from the one screen.</w:t>
      </w:r>
    </w:p>
    <w:p>
      <w:r>
        <w:br/>
      </w:r>
    </w:p>
    <w:p>
      <w:pPr>
        <w:pStyle w:val="Heading2"/>
      </w:pPr>
      <w:r>
        <w:t>Units of Measure</w:t>
      </w:r>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pPr>
        <w:pStyle w:val="Heading2"/>
      </w:pPr>
      <w:r>
        <w:t>Price Lists</w:t>
      </w:r>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Create</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pPr>
        <w:pStyle w:val="Heading2"/>
      </w:pPr>
      <w:r>
        <w:t>Pricing Rules</w:t>
      </w:r>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pPr>
        <w:pStyle w:val="Heading3"/>
      </w:pPr>
      <w:r>
        <w:t>Price tiers (quantity breaks)</w:t>
      </w:r>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pPr>
      <w:r>
        <w:t xml:space="preserve">Click </w:t>
      </w:r>
      <w:r>
        <w:rPr>
          <w:b/>
        </w:rPr>
        <w:t>Add Price Tier</w:t>
      </w:r>
      <w:r>
        <w:t xml:space="preserve">. A </w:t>
      </w:r>
      <w:r>
        <w:rPr>
          <w:b/>
        </w:rPr>
        <w:t>New Price Tier</w:t>
      </w:r>
      <w:r>
        <w:t xml:space="preserve"> form appears.</w:t>
      </w:r>
    </w:p>
    <w:p>
      <w:pPr>
        <w:pStyle w:val="ListNumber"/>
      </w:pPr>
      <w:r>
        <w:t xml:space="preserve">Choose the </w:t>
      </w:r>
      <w:r>
        <w:rPr>
          <w:b/>
        </w:rPr>
        <w:t>Product</w:t>
      </w:r>
      <w:r>
        <w:t xml:space="preserve"> and </w:t>
      </w:r>
      <w:r>
        <w:rPr>
          <w:b/>
        </w:rPr>
        <w:t>Price List</w:t>
      </w:r>
      <w:r>
        <w:t xml:space="preserve"> from their pickers.</w:t>
      </w:r>
    </w:p>
    <w:p>
      <w:pPr>
        <w:pStyle w:val="ListNumber"/>
      </w:pPr>
      <w:r>
        <w:t xml:space="preserve">Enter the </w:t>
      </w:r>
      <w:r>
        <w:rPr>
          <w:b/>
        </w:rPr>
        <w:t>Min Quantity</w:t>
      </w:r>
      <w:r>
        <w:t xml:space="preserve"> (the order size at which this price starts to apply) and the </w:t>
      </w:r>
      <w:r>
        <w:rPr>
          <w:b/>
        </w:rPr>
        <w:t>Unit Price</w:t>
      </w:r>
      <w:r>
        <w:t>.</w:t>
      </w:r>
    </w:p>
    <w:p>
      <w:pPr>
        <w:pStyle w:val="ListNumbe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pPr>
        <w:pStyle w:val="Heading3"/>
      </w:pPr>
      <w:r>
        <w:t>Customer prices (contract prices)</w:t>
      </w:r>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pPr>
      <w:r>
        <w:t xml:space="preserve">Click </w:t>
      </w:r>
      <w:r>
        <w:rPr>
          <w:b/>
        </w:rPr>
        <w:t>Add Customer Price</w:t>
      </w:r>
      <w:r>
        <w:t xml:space="preserve">. A </w:t>
      </w:r>
      <w:r>
        <w:rPr>
          <w:b/>
        </w:rPr>
        <w:t>New Customer Price</w:t>
      </w:r>
      <w:r>
        <w:t xml:space="preserve"> form appears.</w:t>
      </w:r>
    </w:p>
    <w:p>
      <w:pPr>
        <w:pStyle w:val="ListNumber"/>
      </w:pPr>
      <w:r>
        <w:t xml:space="preserve">Choose the </w:t>
      </w:r>
      <w:r>
        <w:rPr>
          <w:b/>
        </w:rPr>
        <w:t>Customer</w:t>
      </w:r>
      <w:r>
        <w:t xml:space="preserve"> and the </w:t>
      </w:r>
      <w:r>
        <w:rPr>
          <w:b/>
        </w:rPr>
        <w:t>Product</w:t>
      </w:r>
      <w:r>
        <w:t xml:space="preserve"> from their pickers.</w:t>
      </w:r>
    </w:p>
    <w:p>
      <w:pPr>
        <w:pStyle w:val="ListNumber"/>
      </w:pPr>
      <w:r>
        <w:t xml:space="preserve">Enter the </w:t>
      </w:r>
      <w:r>
        <w:rPr>
          <w:b/>
        </w:rPr>
        <w:t>Unit Price</w:t>
      </w:r>
      <w:r>
        <w:t xml:space="preserve"> and choose the </w:t>
      </w:r>
      <w:r>
        <w:rPr>
          <w:b/>
        </w:rPr>
        <w:t>Currency</w:t>
      </w:r>
      <w:r>
        <w:t xml:space="preserve"> with the </w:t>
      </w:r>
      <w:r>
        <w:rPr>
          <w:b/>
        </w:rPr>
        <w:t>Currency Picker</w:t>
      </w:r>
      <w:r>
        <w:t>.</w:t>
      </w:r>
    </w:p>
    <w:p>
      <w:pPr>
        <w:pStyle w:val="ListNumber"/>
      </w:pPr>
      <w:r>
        <w:t xml:space="preserve">Optionally set </w:t>
      </w:r>
      <w:r>
        <w:rPr>
          <w:b/>
        </w:rPr>
        <w:t>Effective From</w:t>
      </w:r>
      <w:r>
        <w:t xml:space="preserve"> and </w:t>
      </w:r>
      <w:r>
        <w:rPr>
          <w:b/>
        </w:rPr>
        <w:t>Effective To</w:t>
      </w:r>
      <w:r>
        <w:t xml:space="preserve"> dates (leave them blank for a price with no time limit).</w:t>
      </w:r>
    </w:p>
    <w:p>
      <w:pPr>
        <w:pStyle w:val="ListNumber"/>
      </w:pPr>
      <w:r>
        <w:t xml:space="preserve">Click </w:t>
      </w:r>
      <w:r>
        <w:rPr>
          <w:b/>
        </w:rPr>
        <w:t>Save Price</w:t>
      </w:r>
      <w:r>
        <w:t>.</w:t>
      </w:r>
    </w:p>
    <w:p>
      <w:r>
        <w:t>As with tiers, a customer price is deactivated rather than deleted — click the deactivate button on its row to stop it applying.</w:t>
      </w:r>
    </w:p>
    <w:p>
      <w:r>
        <w:br/>
      </w:r>
    </w:p>
    <w:p>
      <w:pPr>
        <w:pStyle w:val="Heading2"/>
      </w:pPr>
      <w:r>
        <w:t>Currencies and FX Rates</w:t>
      </w:r>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pPr>
        <w:pStyle w:val="Heading2"/>
      </w:pPr>
      <w:r>
        <w:t>Tax Rates</w:t>
      </w:r>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create /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normally seeded automatically when a company is created, and you can only edit the rate of each one. The updated rate applies to all future transactions that reference that band; past transactions retain the rate that was in effect when they were created. If a company's seeding was skipped or only partially completed — so one or more classifications are missing — you can create the missing band(s) yourself from this screen instead of waiting on a seeder run; see *How to add a tax rate* below. There is no archive or delete on tax rates: once a band exists for a company it is permanent, and you can only ever have one row per classification.</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w:t>
      </w:r>
      <w:r>
        <w:rPr>
          <w:b/>
        </w:rPr>
        <w:t>Rate</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Save</w:t>
      </w:r>
      <w:r>
        <w:t>.</w:t>
      </w:r>
    </w:p>
    <w:p>
      <w:r>
        <w:t>The rate applies to all future transactions that reference this VAT band on a product.</w:t>
      </w:r>
    </w:p>
    <w:p>
      <w:pPr>
        <w:pStyle w:val="Heading3"/>
      </w:pPr>
      <w:r>
        <w:t>How to add a tax rate</w:t>
      </w:r>
    </w:p>
    <w:p>
      <w:r>
        <w:t xml:space="preserve">If a company is missing one or more of the three VAT classifications, an </w:t>
      </w:r>
      <w:r>
        <w:rPr>
          <w:b/>
        </w:rPr>
        <w:t>Add tax rate</w:t>
      </w:r>
      <w:r>
        <w:t xml:space="preserve"> section appears below the table.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Under </w:t>
      </w:r>
      <w:r>
        <w:rPr>
          <w:b/>
        </w:rPr>
        <w:t>Add tax rate</w:t>
      </w:r>
      <w:r>
        <w:t xml:space="preserve">, select the </w:t>
      </w:r>
      <w:r>
        <w:rPr>
          <w:b/>
        </w:rPr>
        <w:t>VAT classification</w:t>
      </w:r>
      <w:r>
        <w:t xml:space="preserve"> — the dropdown offers only classifications not yet configured for this company (Standard, Zero Rated, Exempt).</w:t>
      </w:r>
    </w:p>
    <w:p>
      <w:pPr>
        <w:pStyle w:val="ListNumber"/>
      </w:pPr>
      <w:r>
        <w:t xml:space="preserve">Enter the </w:t>
      </w:r>
      <w:r>
        <w:rPr>
          <w:b/>
        </w:rPr>
        <w:t>Rate (%)</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Add</w:t>
      </w:r>
      <w:r>
        <w:t>.</w:t>
      </w:r>
    </w:p>
    <w:p>
      <w:r>
        <w:t xml:space="preserve">The new band appears in the table immediately. Once all three classifications are configured, the </w:t>
      </w:r>
      <w:r>
        <w:rPr>
          <w:b/>
        </w:rPr>
        <w:t>Add tax rate</w:t>
      </w:r>
      <w:r>
        <w:t xml:space="preserve"> section is replaced by the message *All VAT classifications are configured.* Submitting a rate for a classification that already exists is rejected with *A rate for this classification already exists.* You need the </w:t>
      </w:r>
      <w:r>
        <w:rPr>
          <w:rFonts w:ascii="Consolas" w:hAnsi="Consolas"/>
          <w:color w:val="B03060"/>
          <w:sz w:val="19"/>
        </w:rPr>
        <w:t>TAXRATE.MANAGE</w:t>
      </w:r>
      <w:r>
        <w:t xml:space="preserve"> permission to add a rate, same as to edit one.</w:t>
      </w:r>
    </w:p>
    <w:p>
      <w:r>
        <w:br/>
      </w:r>
    </w:p>
    <w:p>
      <w:pPr>
        <w:pStyle w:val="Heading2"/>
      </w:pPr>
      <w:r>
        <w:t>Distribution Routes</w:t>
      </w:r>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pPr>
        <w:pStyle w:val="Heading1"/>
      </w:pPr>
      <w:r>
        <w:t>Sales and Point of Sale</w:t>
      </w:r>
    </w:p>
    <w:p>
      <w:r>
        <w:t>This chapter covers everything from quoting a customer through to collecting payment, including recurring and blanket agreements, advanced pricing, and the Point of Sale cashier workflow.</w:t>
      </w:r>
    </w:p>
    <w:p>
      <w:r>
        <w:br/>
      </w:r>
    </w:p>
    <w:p>
      <w:pPr>
        <w:pStyle w:val="Heading2"/>
      </w:pPr>
      <w:r>
        <w:t>Overview</w:t>
      </w:r>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pPr>
        <w:pStyle w:val="Heading2"/>
      </w:pPr>
      <w:r>
        <w:t>1. Quotations</w:t>
      </w:r>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rPr>
          <w:b/>
        </w:rPr>
        <w:t>Unit choices are product-scoped.</w:t>
      </w:r>
      <w:r>
        <w:t xml:space="preserve"> The </w:t>
      </w:r>
      <w:r>
        <w:rPr>
          <w:b/>
        </w:rPr>
        <w:t>Unit</w:t>
      </w:r>
      <w:r>
        <w:t xml:space="preserve"> dropdown is disabled until a product is selected. Once a product is chosen, it lists only that product's configured units — its base unit plus any active bulk-pack units (e.g. CARTON) — never the full company unit list, and it defaults to the base unit. This applies to every line form in this chapter (quotations, sales orders, invoices, blanket orders, standing orders, and POS sales): you can no longer select a unit that is not configured on the product, which previously could silently mis-record the quantity.</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pPr>
        <w:pStyle w:val="Heading2"/>
      </w:pPr>
      <w:r>
        <w:t>2. Sales Orders</w:t>
      </w:r>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Optionally pick an </w:t>
      </w:r>
      <w:r>
        <w:rPr>
          <w:b/>
        </w:rPr>
        <w:t>Agent</w:t>
      </w:r>
      <w:r>
        <w:t xml:space="preserve"> by name and add </w:t>
      </w:r>
      <w:r>
        <w:rPr>
          <w:b/>
        </w:rPr>
        <w:t>Notes</w:t>
      </w:r>
      <w:r>
        <w:t>.</w:t>
      </w:r>
    </w:p>
    <w:p>
      <w:pPr>
        <w:pStyle w:val="ListNumber"/>
      </w:pPr>
      <w:r>
        <w:t xml:space="preserve">Click </w:t>
      </w:r>
      <w:r>
        <w:rPr>
          <w:b/>
        </w:rPr>
        <w:t>Create Order</w:t>
      </w:r>
      <w:r>
        <w:t xml:space="preserve">. The order is created in </w:t>
      </w:r>
      <w:r>
        <w:rPr>
          <w:b/>
        </w:rPr>
        <w:t>DRAFT</w:t>
      </w:r>
      <w:r>
        <w:t>.</w:t>
      </w:r>
    </w:p>
    <w:p>
      <w:pPr>
        <w:pStyle w:val="Heading3"/>
      </w:pPr>
      <w:r>
        <w:t>2.2 Add lines to a Sales Order</w:t>
      </w:r>
    </w:p>
    <w:p>
      <w:r>
        <w:t xml:space="preserve">The same process as adding quotation lines, including the </w:t>
      </w:r>
      <w:r>
        <w:rPr>
          <w:b/>
        </w:rPr>
        <w:t>Unit</w:t>
      </w:r>
      <w:r>
        <w:t xml:space="preserve"> dropdown being scoped to the selected product's configured units (see section 1.2).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Set or change the agent</w:t>
      </w:r>
    </w:p>
    <w:p>
      <w:r>
        <w:rPr>
          <w:b/>
        </w:rPr>
        <w:t>What the order's agent is.</w:t>
      </w:r>
      <w:r>
        <w:t xml:space="preserve"> Every sales order carries a sales agent — the salesperson or route agent credited with the sale — which the invoicing flow depends on. An order can be created without one (Agent is optional in section 2.1), but an invoice generated from an agentless order cannot be finalised.</w:t>
      </w:r>
    </w:p>
    <w:p>
      <w:r>
        <w:rPr>
          <w:b/>
        </w:rPr>
        <w:t>Why this action exists.</w:t>
      </w:r>
      <w:r>
        <w:t xml:space="preserve"> Before this action, an order created with no agent (or the wrong one) had no way to be corrected in place — every attempt to invoice it would keep failing. </w:t>
      </w:r>
      <w:r>
        <w:rPr>
          <w:b/>
        </w:rPr>
        <w:t>Assign Agent</w:t>
      </w:r>
      <w:r>
        <w:t xml:space="preserve"> / </w:t>
      </w:r>
      <w:r>
        <w:rPr>
          <w:b/>
        </w:rPr>
        <w:t>Change Agent</w:t>
      </w:r>
      <w:r>
        <w:t xml:space="preserve"> lets an authorised user fix the agent on an existing order without recreating it.</w:t>
      </w:r>
    </w:p>
    <w:p>
      <w:pPr>
        <w:pStyle w:val="ListNumber"/>
      </w:pPr>
      <w:r>
        <w:t xml:space="preserve">Open the sales order (navigate to </w:t>
      </w:r>
      <w:r>
        <w:rPr>
          <w:rFonts w:ascii="Consolas" w:hAnsi="Consolas"/>
          <w:color w:val="B03060"/>
          <w:sz w:val="19"/>
        </w:rPr>
        <w:t>/admin/sales-orders/uid/{uid}</w:t>
      </w:r>
      <w:r>
        <w:t>).</w:t>
      </w:r>
    </w:p>
    <w:p>
      <w:pPr>
        <w:pStyle w:val="ListNumber"/>
      </w:pPr>
      <w:r>
        <w:t xml:space="preserve">Click </w:t>
      </w:r>
      <w:r>
        <w:rPr>
          <w:b/>
        </w:rPr>
        <w:t>Assign Agent</w:t>
      </w:r>
      <w:r>
        <w:t xml:space="preserve"> if the order has no agent, or </w:t>
      </w:r>
      <w:r>
        <w:rPr>
          <w:b/>
        </w:rPr>
        <w:t>Change Agent</w:t>
      </w:r>
      <w:r>
        <w:t xml:space="preserve"> if it already has one — both open the same form.</w:t>
      </w:r>
    </w:p>
    <w:p>
      <w:pPr>
        <w:pStyle w:val="ListNumber"/>
      </w:pPr>
      <w:r>
        <w:t xml:space="preserve">In the </w:t>
      </w:r>
      <w:r>
        <w:rPr>
          <w:b/>
        </w:rPr>
        <w:t>Agent</w:t>
      </w:r>
      <w:r>
        <w:t xml:space="preserve"> field, type part of the agent's name or code and select the correct entry from the suggestions list.</w:t>
      </w:r>
    </w:p>
    <w:p>
      <w:pPr>
        <w:pStyle w:val="ListNumber"/>
      </w:pPr>
      <w:r>
        <w:t xml:space="preserve">Click </w:t>
      </w:r>
      <w:r>
        <w:rPr>
          <w:b/>
        </w:rPr>
        <w:t>Save Agent</w:t>
      </w:r>
      <w:r>
        <w:t>.</w:t>
      </w:r>
    </w:p>
    <w:p>
      <w:r>
        <w:t>The order's agent is updated immediately and a confirmation is shown.</w:t>
      </w:r>
    </w:p>
    <w:p>
      <w:r>
        <w:rPr>
          <w:b/>
        </w:rPr>
        <w:t>When the action is available.</w:t>
      </w:r>
      <w:r>
        <w:t xml:space="preserve"> The button is shown only while the order is in a pre-invoice status — </w:t>
      </w:r>
      <w:r>
        <w:rPr>
          <w:b/>
        </w:rPr>
        <w:t>DRAFT</w:t>
      </w:r>
      <w:r>
        <w:t xml:space="preserve">, </w:t>
      </w:r>
      <w:r>
        <w:rPr>
          <w:b/>
        </w:rPr>
        <w:t>CONFIRMED</w:t>
      </w:r>
      <w:r>
        <w:t xml:space="preserve">, </w:t>
      </w:r>
      <w:r>
        <w:rPr>
          <w:b/>
        </w:rPr>
        <w:t>PARTIALLY_FULFILLED</w:t>
      </w:r>
      <w:r>
        <w:t xml:space="preserve">, or </w:t>
      </w:r>
      <w:r>
        <w:rPr>
          <w:b/>
        </w:rPr>
        <w:t>FULFILLED</w:t>
      </w:r>
      <w:r>
        <w:t>. Once the order has been invoiced (</w:t>
      </w:r>
      <w:r>
        <w:rPr>
          <w:b/>
        </w:rPr>
        <w:t>PARTIALLY_INVOICED</w:t>
      </w:r>
      <w:r>
        <w:t xml:space="preserve">, </w:t>
      </w:r>
      <w:r>
        <w:rPr>
          <w:b/>
        </w:rPr>
        <w:t>CLOSED</w:t>
      </w:r>
      <w:r>
        <w:t xml:space="preserve">) or is </w:t>
      </w:r>
      <w:r>
        <w:rPr>
          <w:b/>
        </w:rPr>
        <w:t>CANCELLED</w:t>
      </w:r>
      <w:r>
        <w:t>, the agent can no longer be changed this way.</w:t>
      </w:r>
    </w:p>
    <w:p>
      <w:r>
        <w:rPr>
          <w:b/>
        </w:rPr>
        <w:t>No-agent banner.</w:t>
      </w:r>
      <w:r>
        <w:t xml:space="preserve"> An order with no agent shows a warning banner on its detail page: *"No agent assigned. This order cannot be invoiced until a sales agent is assigned."*</w:t>
      </w:r>
    </w:p>
    <w:p>
      <w:r>
        <w:rPr>
          <w:b/>
        </w:rPr>
        <w:t>Required permission:</w:t>
      </w:r>
      <w:r>
        <w:t xml:space="preserve"> </w:t>
      </w:r>
      <w:r>
        <w:rPr>
          <w:rFonts w:ascii="Consolas" w:hAnsi="Consolas"/>
          <w:color w:val="B03060"/>
          <w:sz w:val="19"/>
        </w:rPr>
        <w:t>SALES.ORDER.CREATE</w:t>
      </w:r>
      <w:r>
        <w:t xml:space="preserve"> (the same permission used to create and edit draft orders — there is no separate set-agent permission).</w:t>
      </w:r>
    </w:p>
    <w:p>
      <w:pPr>
        <w:pStyle w:val="Heading3"/>
      </w:pPr>
      <w:r>
        <w:t>2.6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br/>
      </w:r>
    </w:p>
    <w:p>
      <w:pPr>
        <w:pStyle w:val="Heading2"/>
      </w:pPr>
      <w:r>
        <w:t>3. Deliveries</w:t>
      </w:r>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rPr>
          <w:b/>
        </w:rPr>
        <w:t>Prerequisite: the source order must have an agent.</w:t>
      </w:r>
      <w:r>
        <w:t xml:space="preserve"> Invoice this Delivery reads the agent from the underlying Sales Order. If that order has no agent, the action is refused with *"The sales order has no agent assigned."* Open the Sales Order and use </w:t>
      </w:r>
      <w:r>
        <w:rPr>
          <w:b/>
        </w:rPr>
        <w:t>Assign Agent</w:t>
      </w:r>
      <w:r>
        <w:t xml:space="preserve"> (section 2.5) to set one, then retry.</w:t>
      </w:r>
    </w:p>
    <w:p>
      <w:r>
        <w:t>Proceed to section 4 to finalise the invoice.</w:t>
      </w:r>
    </w:p>
    <w:p>
      <w:r>
        <w:br/>
      </w:r>
    </w:p>
    <w:p>
      <w:pPr>
        <w:pStyle w:val="Heading2"/>
      </w:pPr>
      <w:r>
        <w:t>4. Sales Invoices</w:t>
      </w:r>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Optionally pick an </w:t>
      </w:r>
      <w:r>
        <w:rPr>
          <w:b/>
        </w:rPr>
        <w:t>Agent</w:t>
      </w:r>
      <w:r>
        <w:t xml:space="preserve"> and a </w:t>
      </w:r>
      <w:r>
        <w:rPr>
          <w:b/>
        </w:rPr>
        <w:t>Route</w:t>
      </w:r>
      <w:r>
        <w:t>; if omitted the system uses the logged-in user's linked agent and that agent's primary route.</w:t>
      </w:r>
    </w:p>
    <w:p>
      <w:pPr>
        <w:pStyle w:val="ListNumber"/>
      </w:pPr>
      <w:r>
        <w:t xml:space="preserve">Click </w:t>
      </w:r>
      <w:r>
        <w:rPr>
          <w:b/>
        </w:rPr>
        <w:t>Create Invoice</w:t>
      </w:r>
      <w:r>
        <w:t>. A draft invoice is created.</w:t>
      </w:r>
    </w:p>
    <w:p>
      <w:pPr>
        <w:pStyle w:val="Heading3"/>
      </w:pPr>
      <w:r>
        <w:t>4.2 Add lines to an invoice</w:t>
      </w:r>
    </w:p>
    <w:p>
      <w:r>
        <w:t xml:space="preserve">Same process as adding lines to a quotation or order, including the product-scoped </w:t>
      </w:r>
      <w:r>
        <w:rPr>
          <w:b/>
        </w:rPr>
        <w:t>Unit</w:t>
      </w:r>
      <w:r>
        <w:t xml:space="preserve"> dropdown (see section 1.2).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pPr>
        <w:pStyle w:val="Heading2"/>
      </w:pPr>
      <w:r>
        <w:t>5. Sales Returns (RMA)</w:t>
      </w:r>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pPr>
        <w:pStyle w:val="Heading2"/>
      </w:pPr>
      <w:r>
        <w:t>6. Blanket Orders</w:t>
      </w:r>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(limited to that product's configured units — see section 1.2),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pPr>
        <w:pStyle w:val="Heading2"/>
      </w:pPr>
      <w:r>
        <w:t>7. Standing Orders (Recurring)</w:t>
      </w:r>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by name; the unit choices are limited to that product's configured units (see section 1.2);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pPr>
        <w:pStyle w:val="Heading2"/>
      </w:pPr>
      <w:r>
        <w:t>8. Pricing Rules</w:t>
      </w:r>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pPr>
        <w:pStyle w:val="Heading2"/>
      </w:pPr>
      <w:r>
        <w:t>9. Point of Sale</w:t>
      </w:r>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A </w:t>
      </w:r>
      <w:r>
        <w:rPr>
          <w:rFonts w:ascii="Consolas" w:hAnsi="Consolas"/>
          <w:color w:val="B03060"/>
          <w:sz w:val="19"/>
        </w:rPr>
        <w:t>POS</w:t>
      </w:r>
      <w:r>
        <w:t xml:space="preserve">-origin invoice issues stock at finalisation exactly like a walk-in </w:t>
      </w:r>
      <w:r>
        <w:rPr>
          <w:rFonts w:ascii="Consolas" w:hAnsi="Consolas"/>
          <w:color w:val="B03060"/>
          <w:sz w:val="19"/>
        </w:rPr>
        <w:t>DIRECT</w:t>
      </w:r>
      <w:r>
        <w:t xml:space="preserve"> invoice: finalising the invoice decrements on-hand stock for each line (the stock-issue step runs for both </w:t>
      </w:r>
      <w:r>
        <w:rPr>
          <w:rFonts w:ascii="Consolas" w:hAnsi="Consolas"/>
          <w:color w:val="B03060"/>
          <w:sz w:val="19"/>
        </w:rPr>
        <w:t>DIRECT</w:t>
      </w:r>
      <w:r>
        <w:t xml:space="preserve"> and </w:t>
      </w:r>
      <w:r>
        <w:rPr>
          <w:rFonts w:ascii="Consolas" w:hAnsi="Consolas"/>
          <w:color w:val="B03060"/>
          <w:sz w:val="19"/>
        </w:rPr>
        <w:t>POS</w:t>
      </w:r>
      <w:r>
        <w:t xml:space="preserve"> origins). A POS sale completed at the till therefore both posts revenue </w:t>
      </w:r>
      <w:r>
        <w:rPr>
          <w:b/>
        </w:rPr>
        <w:t>and</w:t>
      </w:r>
      <w:r>
        <w:t xml:space="preserve"> reduces inventory.</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(On completion a </w:t>
      </w:r>
      <w:r>
        <w:rPr>
          <w:rFonts w:ascii="Consolas" w:hAnsi="Consolas"/>
          <w:color w:val="B03060"/>
          <w:sz w:val="19"/>
        </w:rPr>
        <w:t>POS</w:t>
      </w:r>
      <w:r>
        <w:t xml:space="preserve">-origin invoice issues stock just like a </w:t>
      </w:r>
      <w:r>
        <w:rPr>
          <w:rFonts w:ascii="Consolas" w:hAnsi="Consolas"/>
          <w:color w:val="B03060"/>
          <w:sz w:val="19"/>
        </w:rPr>
        <w:t>DIRECT</w:t>
      </w:r>
      <w:r>
        <w:t xml:space="preserve"> walk-in invoice — see the stock note above.)</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the </w:t>
      </w:r>
      <w:r>
        <w:rPr>
          <w:b/>
        </w:rPr>
        <w:t>Unit</w:t>
      </w:r>
      <w:r>
        <w:t xml:space="preserve"> field is disabled until a product is picked and then lists only that product's configured units (defaulting to its base unit — see section 1.2), so confirm it or choose another from the list;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*Splitting payment across tenders*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w:t>
      </w:r>
      <w:r>
        <w:rPr>
          <w:b/>
        </w:rPr>
        <w:t>"This POS session is not OPEN."</w:t>
      </w:r>
      <w:r>
        <w:t xml:space="preserve">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pPr>
        <w:pStyle w:val="Heading4"/>
      </w:pPr>
      <w:r>
        <w:t>Splitting payment across tenders</w:t>
      </w:r>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pPr>
        <w:pStyle w:val="Heading4"/>
      </w:pPr>
      <w:r>
        <w:t>Age-restricted items</w:t>
      </w:r>
    </w:p>
    <w:p>
      <w:r>
        <w:t xml:space="preserve">If any product on the sale is </w:t>
      </w:r>
      <w:r>
        <w:rPr>
          <w:b/>
        </w:rPr>
        <w:t>age-restricted</w:t>
      </w:r>
      <w:r>
        <w:t xml:space="preserve"> (for example an 18+ or 21+ line — see *Products and Catalog*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pPr>
        <w:pStyle w:val="Heading4"/>
      </w:pPr>
      <w:r>
        <w:t>Scale labels (embedded weight or price barcodes)</w:t>
      </w:r>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pPr>
        <w:pStyle w:val="Heading4"/>
      </w:pPr>
      <w:r>
        <w:t>Reversing (voiding) a POS sale</w:t>
      </w:r>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pPr>
        <w:pStyle w:val="Heading1"/>
      </w:pPr>
      <w:r>
        <w:t>Procurement (Procure-to-Pay)</w:t>
      </w:r>
    </w:p>
    <w:p>
      <w:r>
        <w:t>This chapter covers the full procure-to-pay (P2P) chain from raising a purchase request through to settling the supplier's invoice, including goods receipt, landed costs, purchase returns, and purchase settings.</w:t>
      </w:r>
    </w:p>
    <w:p>
      <w:r>
        <w:br/>
      </w:r>
    </w:p>
    <w:p>
      <w:pPr>
        <w:pStyle w:val="Heading2"/>
      </w:pPr>
      <w:r>
        <w:t>Overview</w:t>
      </w:r>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 / Supplier Quotes</w:t>
            </w:r>
          </w:p>
        </w:tc>
        <w:tc>
          <w:tcPr>
            <w:tcW w:type="dxa" w:w="4320"/>
          </w:tcPr>
          <w:p>
            <w:r>
              <w:rPr>
                <w:rFonts w:ascii="Consolas" w:hAnsi="Consolas"/>
                <w:color w:val="B03060"/>
                <w:sz w:val="19"/>
              </w:rPr>
              <w:t>PURCHASE.RFQ.VIEW</w:t>
            </w:r>
            <w:r>
              <w:t xml:space="preserve">, </w:t>
            </w:r>
            <w:r>
              <w:rPr>
                <w:rFonts w:ascii="Consolas" w:hAnsi="Consolas"/>
                <w:color w:val="B03060"/>
                <w:sz w:val="19"/>
              </w:rPr>
              <w:t>PURCHASE.RFQ.MANAGE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PURCHASE.LANDEDCOST.VIEW</w:t>
            </w:r>
            <w:r>
              <w:t xml:space="preserve">, </w:t>
            </w:r>
            <w:r>
              <w:rPr>
                <w:rFonts w:ascii="Consolas" w:hAnsi="Consolas"/>
                <w:color w:val="B03060"/>
                <w:sz w:val="19"/>
              </w:rPr>
              <w:t>PURCHASE.LANDEDCOST.MANAGE</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p>
        </w:tc>
      </w:tr>
      <w:tr>
        <w:tc>
          <w:tcPr>
            <w:tcW w:type="dxa" w:w="4320"/>
          </w:tcPr>
          <w:p>
            <w:r>
              <w:t>Purchase Settings</w:t>
            </w:r>
          </w:p>
        </w:tc>
        <w:tc>
          <w:tcPr>
            <w:tcW w:type="dxa" w:w="4320"/>
          </w:tcPr>
          <w:p>
            <w:r>
              <w:rPr>
                <w:rFonts w:ascii="Consolas" w:hAnsi="Consolas"/>
                <w:color w:val="B03060"/>
                <w:sz w:val="19"/>
              </w:rPr>
              <w:t>PURCHASE.SETTINGS.MANAGE</w:t>
            </w:r>
          </w:p>
        </w:tc>
      </w:tr>
    </w:tbl>
    <w:p/>
    <w:p>
      <w:r>
        <w:t>Contact your administrator if an expected menu item is missing.</w:t>
      </w:r>
    </w:p>
    <w:p>
      <w:r>
        <w:br/>
      </w:r>
    </w:p>
    <w:p>
      <w:pPr>
        <w:pStyle w:val="Heading2"/>
      </w:pPr>
      <w:r>
        <w:t>1. Purchase Requisitions</w:t>
      </w:r>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 xml:space="preserve">. The </w:t>
      </w:r>
      <w:r>
        <w:rPr>
          <w:b/>
        </w:rPr>
        <w:t>Unit</w:t>
      </w:r>
      <w:r>
        <w:t xml:space="preserve"> field is disabled until a product is picked; once picked, it lists only that product's configured units (its base unit and any active bulk-pack units) — not every unit in the system.</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An approved requisition can be converted into either a Purchase Order or an RFQ:</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An inline conversion form opens.</w:t>
      </w:r>
    </w:p>
    <w:p>
      <w:pPr>
        <w:pStyle w:val="ListNumber"/>
      </w:pPr>
      <w:r>
        <w:t>Choose the target type:</w:t>
      </w:r>
    </w:p>
    <w:p>
      <w:pPr>
        <w:pStyle w:val="ListBullet"/>
        <w:ind w:left="720"/>
      </w:pPr>
      <w:r>
        <w:rPr>
          <w:b/>
        </w:rPr>
        <w:t>Purchase Order</w:t>
      </w:r>
      <w:r>
        <w:t xml:space="preserve"> — a DRAFT PO is created immediately from the requisition lines.</w:t>
      </w:r>
    </w:p>
    <w:p>
      <w:pPr>
        <w:pStyle w:val="ListBullet"/>
        <w:ind w:left="720"/>
      </w:pPr>
      <w:r>
        <w:rPr>
          <w:b/>
        </w:rPr>
        <w:t>RFQ</w:t>
      </w:r>
      <w:r>
        <w:t xml:space="preserve"> — a DRAFT RFQ is created; proceed to section 2 to send it to suppliers.</w:t>
      </w:r>
    </w:p>
    <w:p>
      <w:pPr>
        <w:pStyle w:val="ListNumber"/>
      </w:pPr>
      <w:r>
        <w:t xml:space="preserve">Click </w:t>
      </w:r>
      <w:r>
        <w:rPr>
          <w:b/>
        </w:rPr>
        <w:t>Confirm Convert</w:t>
      </w:r>
      <w:r>
        <w:t xml:space="preserve">. A link to the created document appears. The requisition status changes to </w:t>
      </w:r>
      <w:r>
        <w:rPr>
          <w:b/>
        </w:rPr>
        <w:t>CONVERTED</w:t>
      </w:r>
      <w:r>
        <w:t>.</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picks </w:t>
      </w:r>
      <w:r>
        <w:rPr>
          <w:b/>
        </w:rPr>
        <w:t>RFQ</w:t>
      </w:r>
      <w:r>
        <w:t xml:space="preserve">, and clicks </w:t>
      </w:r>
      <w:r>
        <w:rPr>
          <w:b/>
        </w:rPr>
        <w:t>Confirm Convert</w:t>
      </w:r>
      <w:r>
        <w:t xml:space="preserve"> — RFQ </w:t>
      </w:r>
      <w:r>
        <w:rPr>
          <w:b/>
        </w:rPr>
        <w:t>RFQ-0031</w:t>
      </w:r>
      <w:r>
        <w:t xml:space="preserve"> is created in DRAFT.</w:t>
      </w:r>
    </w:p>
    <w:p>
      <w:r>
        <w:br/>
      </w:r>
    </w:p>
    <w:p>
      <w:pPr>
        <w:pStyle w:val="Heading2"/>
      </w:pPr>
      <w:r>
        <w:t>2. RFQ (Request for Quotation)</w:t>
      </w:r>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creating and sending the RFQ, capturing quotes, and awarding it holds the </w:t>
      </w:r>
      <w:r>
        <w:rPr>
          <w:rFonts w:ascii="Consolas" w:hAnsi="Consolas"/>
          <w:color w:val="B03060"/>
          <w:sz w:val="19"/>
        </w:rPr>
        <w:t>PURCHASE.RFQ.MANAGE</w:t>
      </w:r>
      <w:r>
        <w:t xml:space="preserve"> permission (the same permission covers all three actions); viewing an RFQ requires </w:t>
      </w:r>
      <w:r>
        <w:rPr>
          <w:rFonts w:ascii="Consolas" w:hAnsi="Consolas"/>
          <w:color w:val="B03060"/>
          <w:sz w:val="19"/>
        </w:rPr>
        <w:t>PURCHASE.RFQ.VIEW</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 Each added supplier is shown by name and code — both in this list and later on the RFQ detail screen's </w:t>
      </w:r>
      <w:r>
        <w:rPr>
          <w:b/>
        </w:rPr>
        <w:t>Invited Suppliers</w:t>
      </w:r>
      <w:r>
        <w:t xml:space="preserve"> panel — never as a raw reference number.</w:t>
      </w:r>
    </w:p>
    <w:p>
      <w:pPr>
        <w:pStyle w:val="ListNumber"/>
      </w:pPr>
      <w:r>
        <w:t>Add lines: pick each product by name, choose a unit, and enter the required quantity. The unit dropdown is disabled until a product is picked, and then lists only that product's configured units.</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pPr>
        <w:pStyle w:val="Heading2"/>
      </w:pPr>
      <w:r>
        <w:t>3. Purchase Orders</w:t>
      </w:r>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If a PO approval threshold is enabled in Purchase Settings and this order's total is at or above the configured amount, the DRAFT must be submitted for approval and approved before it can be placed (section 3.3) — the system refuses to place an over-threshold PO that has not yet been approved. When the lines are finalised (and approved, if required),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 The </w:t>
      </w:r>
      <w:r>
        <w:rPr>
          <w:b/>
        </w:rPr>
        <w:t>Unit</w:t>
      </w:r>
      <w:r>
        <w:t xml:space="preserve"> field is disabled until a product is picked; once picked, it lists only that product's configured units (its base unit and any active bulk-pack units).</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Submit a Purchase Order for approval</w:t>
      </w:r>
    </w:p>
    <w:p>
      <w:r>
        <w:t xml:space="preserve">If your administrator has enabled a PO approval threshold in Purchase Settings (section 8) and this order's total is at or above the configured amount, it must clear approval before it can be placed. Once submitted, the order shows an </w:t>
      </w:r>
      <w:r>
        <w:rPr>
          <w:b/>
        </w:rPr>
        <w:t>Awaiting approval</w:t>
      </w:r>
      <w:r>
        <w:t xml:space="preserve"> / </w:t>
      </w:r>
      <w:r>
        <w:rPr>
          <w:b/>
        </w:rPr>
        <w:t>Approved</w:t>
      </w:r>
      <w:r>
        <w:t xml:space="preserve"> / </w:t>
      </w:r>
      <w:r>
        <w:rPr>
          <w:b/>
        </w:rPr>
        <w:t>Approval rejected</w:t>
      </w:r>
      <w:r>
        <w:t xml:space="preserve"> status tag next to its status.</w:t>
      </w:r>
    </w:p>
    <w:p>
      <w:pPr>
        <w:pStyle w:val="ListNumber"/>
      </w:pPr>
      <w:r>
        <w:t xml:space="preserve">Open the DRAFT PO (navigate to </w:t>
      </w:r>
      <w:r>
        <w:rPr>
          <w:rFonts w:ascii="Consolas" w:hAnsi="Consolas"/>
          <w:color w:val="B03060"/>
          <w:sz w:val="19"/>
        </w:rPr>
        <w:t>/admin/purchase-orders/uid/{uid}</w:t>
      </w:r>
      <w:r>
        <w:t>) — it must have at least one line.</w:t>
      </w:r>
    </w:p>
    <w:p>
      <w:pPr>
        <w:pStyle w:val="ListNumber"/>
      </w:pPr>
      <w:r>
        <w:t xml:space="preserve">Click </w:t>
      </w:r>
      <w:r>
        <w:rPr>
          <w:b/>
        </w:rPr>
        <w:t>Submit for Approval</w:t>
      </w:r>
      <w:r>
        <w:t>. This button appears only when the order's total requires approval and it has not already been submitted or approved.</w:t>
      </w:r>
    </w:p>
    <w:p>
      <w:pPr>
        <w:pStyle w:val="ListNumber"/>
      </w:pPr>
      <w:r>
        <w:t xml:space="preserve">An </w:t>
      </w:r>
      <w:r>
        <w:rPr>
          <w:b/>
        </w:rPr>
        <w:t>Awaiting approval</w:t>
      </w:r>
      <w:r>
        <w:t xml:space="preserve"> banner appears, with a link to </w:t>
      </w:r>
      <w:r>
        <w:rPr>
          <w:b/>
        </w:rPr>
        <w:t>Go to Approvals inbox</w:t>
      </w:r>
      <w:r>
        <w:t xml:space="preserve">, and the </w:t>
      </w:r>
      <w:r>
        <w:rPr>
          <w:b/>
        </w:rPr>
        <w:t>Place Order</w:t>
      </w:r>
      <w:r>
        <w:t xml:space="preserve"> button is removed from the screen. The order is routed to an approver as an approval request (see chapter 11, Approvals).</w:t>
      </w:r>
    </w:p>
    <w:p>
      <w:r>
        <w:t xml:space="preserve">Requires </w:t>
      </w:r>
      <w:r>
        <w:rPr>
          <w:rFonts w:ascii="Consolas" w:hAnsi="Consolas"/>
          <w:color w:val="B03060"/>
          <w:sz w:val="19"/>
        </w:rPr>
        <w:t>PURCHASE.ORDER.CREATE</w:t>
      </w:r>
      <w:r>
        <w:t xml:space="preserve"> (the same permission used to create, add lines to, and place a PO).</w:t>
      </w:r>
    </w:p>
    <w:p>
      <w:r>
        <w:rPr>
          <w:b/>
        </w:rPr>
        <w:t>After a decision is made.</w:t>
      </w:r>
      <w:r>
        <w:t xml:space="preserve"> When the approver approves or rejects the request in the Approvals inbox (chapter 11), </w:t>
      </w:r>
      <w:r>
        <w:rPr>
          <w:b/>
        </w:rPr>
        <w:t>reopen or refresh the Purchase Order</w:t>
      </w:r>
      <w:r>
        <w:t xml:space="preserve"> to pick up the outcome: the banner updates to </w:t>
      </w:r>
      <w:r>
        <w:rPr>
          <w:b/>
        </w:rPr>
        <w:t>Approved</w:t>
      </w:r>
      <w:r>
        <w:t xml:space="preserve"> — and </w:t>
      </w:r>
      <w:r>
        <w:rPr>
          <w:b/>
        </w:rPr>
        <w:t>Place Order</w:t>
      </w:r>
      <w:r>
        <w:t xml:space="preserve"> reappears so you can place the order — or to </w:t>
      </w:r>
      <w:r>
        <w:rPr>
          <w:b/>
        </w:rPr>
        <w:t>Approval rejected</w:t>
      </w:r>
      <w:r>
        <w:t xml:space="preserve">. The screen reconciles the decision from the approvals engine every time it is opened, so a manual refresh after the approver acts is all that is needed (there is no live auto-refresh yet). An administrator may also record the decision directly via the </w:t>
      </w:r>
      <w:r>
        <w:rPr>
          <w:rFonts w:ascii="Consolas" w:hAnsi="Consolas"/>
          <w:color w:val="B03060"/>
          <w:sz w:val="19"/>
        </w:rPr>
        <w:t>PURCHASE.ORDER.APPROVE</w:t>
      </w:r>
      <w:r>
        <w:t xml:space="preserve"> action. Orders whose total is *below* the approval threshold never enter this flow and place normally.</w:t>
      </w:r>
    </w:p>
    <w:p>
      <w:pPr>
        <w:pStyle w:val="Heading3"/>
      </w:pPr>
      <w:r>
        <w:t>3.4 Place a Purchase Order</w:t>
      </w:r>
    </w:p>
    <w:p>
      <w:r>
        <w:t xml:space="preserve">Placing the PO sends it to the supplier and locks the lines. If the order requires approval (section 3.3) but has not yet been submitted, </w:t>
      </w:r>
      <w:r>
        <w:rPr>
          <w:b/>
        </w:rPr>
        <w:t>Place Order</w:t>
      </w:r>
      <w:r>
        <w:t xml:space="preserve"> is shown but disabled (with a *Submit for approval before placing* tooltip). While an order is </w:t>
      </w:r>
      <w:r>
        <w:rPr>
          <w:b/>
        </w:rPr>
        <w:t>Awaiting approval</w:t>
      </w:r>
      <w:r>
        <w:t xml:space="preserve"> the control is hidden; once it has been </w:t>
      </w:r>
      <w:r>
        <w:rPr>
          <w:b/>
        </w:rPr>
        <w:t>Approved</w:t>
      </w:r>
      <w:r>
        <w:t xml:space="preserve"> — reopen or refresh the order to pick up the decision (section 3.3) — </w:t>
      </w:r>
      <w:r>
        <w:rPr>
          <w:b/>
        </w:rPr>
        <w:t>Place Order</w:t>
      </w:r>
      <w:r>
        <w:t xml:space="preserve"> reappears and the order can be placed.</w:t>
      </w:r>
    </w:p>
    <w:p>
      <w:pPr>
        <w:pStyle w:val="ListNumber"/>
      </w:pPr>
      <w:r>
        <w:t>Open the DRAFT PO (it must have at least one line, and be approved if approval is required).</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3.5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3.6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pPr>
        <w:pStyle w:val="Heading2"/>
      </w:pPr>
      <w:r>
        <w:t>4. Goods Receipt</w:t>
      </w:r>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records a lot/batch number, manufacture date, expiry date, or serial numbers per line, adds notes, and records the receipt. The GR is created with status RECEIVED, a GRN number is assigned, stock increases at the branch, and the PO's outstanding quantities are updated. Any batch or serial details captured at receipt feed the read-only Stock Batches and Stock Serials screens (see the Inventory &amp; Manufacturing chapter, sections 6–7). The PO moves to PARTIALLY_RECEIVED or RECEIVED depending on whether all lines are now complete. A GR cannot be edited after submission; errors are corrected by voiding the GR (an API-level operation)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and untick any lines not in this delivery. The quantity cannot exceed the outstanding balance on each line.</w:t>
      </w:r>
    </w:p>
    <w:p>
      <w:pPr>
        <w:pStyle w:val="ListNumber"/>
      </w:pPr>
      <w:r>
        <w:t xml:space="preserve">For any line — typically a lot-tracked or serialised product — click </w:t>
      </w:r>
      <w:r>
        <w:rPr>
          <w:b/>
        </w:rPr>
        <w:t>Batch</w:t>
      </w:r>
      <w:r>
        <w:t xml:space="preserve"> to expand its batch/serial details, and optionally enter the </w:t>
      </w:r>
      <w:r>
        <w:rPr>
          <w:b/>
        </w:rPr>
        <w:t>Lot / Batch number</w:t>
      </w:r>
      <w:r>
        <w:t xml:space="preserve">, </w:t>
      </w:r>
      <w:r>
        <w:rPr>
          <w:b/>
        </w:rPr>
        <w:t>Manufacture date</w:t>
      </w:r>
      <w:r>
        <w:t xml:space="preserve">, </w:t>
      </w:r>
      <w:r>
        <w:rPr>
          <w:b/>
        </w:rPr>
        <w:t>Expiry date</w:t>
      </w:r>
      <w:r>
        <w:t xml:space="preserve">, and </w:t>
      </w:r>
      <w:r>
        <w:rPr>
          <w:b/>
        </w:rPr>
        <w:t>Serial / IMEI numbers</w:t>
      </w:r>
      <w:r>
        <w:t xml:space="preserve"> (one per line). The </w:t>
      </w:r>
      <w:r>
        <w:rPr>
          <w:b/>
        </w:rPr>
        <w:t>Batch</w:t>
      </w:r>
      <w:r>
        <w:t xml:space="preserve"> toggle appears on every receipt line regardless of the product's tracking settings; all of these fields are optional at receipt time.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decremented (API only)</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pPr>
        <w:pStyle w:val="Heading2"/>
      </w:pPr>
      <w:r>
        <w:t>5. Landed Costs</w:t>
      </w:r>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PURCHASE.LANDEDCOST.MANAGE</w:t>
      </w:r>
      <w:r>
        <w:t xml:space="preserve"> (covers both creating and confirming); viewing requires </w:t>
      </w:r>
      <w:r>
        <w:rPr>
          <w:rFonts w:ascii="Consolas" w:hAnsi="Consolas"/>
          <w:color w:val="B03060"/>
          <w:sz w:val="19"/>
        </w:rPr>
        <w:t>PURCHASE.LANDEDCOST.VIEW</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pPr>
        <w:pStyle w:val="Heading2"/>
      </w:pPr>
      <w:r>
        <w:t>6. Supplier Bills and 3-Way Bill Match</w:t>
      </w:r>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pPr>
        <w:pStyle w:val="Heading2"/>
      </w:pPr>
      <w:r>
        <w:t>7. Purchase Returns</w:t>
      </w:r>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 required is </w:t>
      </w:r>
      <w:r>
        <w:rPr>
          <w:rFonts w:ascii="Consolas" w:hAnsi="Consolas"/>
          <w:color w:val="B03060"/>
          <w:sz w:val="19"/>
        </w:rPr>
        <w:t>PURCHASE.RETURN.CREATE</w:t>
      </w:r>
      <w:r>
        <w:t xml:space="preserve"> (it covers both creating and confirming a return); viewing requires </w:t>
      </w:r>
      <w:r>
        <w:rPr>
          <w:rFonts w:ascii="Consolas" w:hAnsi="Consolas"/>
          <w:color w:val="B03060"/>
          <w:sz w:val="19"/>
        </w:rPr>
        <w:t>PURCHASE.RETURN.VIEW</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pPr>
        <w:pStyle w:val="Heading2"/>
      </w:pPr>
      <w:r>
        <w:t>8. Purchase Settings</w:t>
      </w:r>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an order that exceeds the threshold is submitted from its detail screen (section 3.3) and decided by an approver in the Approvals inbox (requires </w:t>
      </w:r>
      <w:r>
        <w:rPr>
          <w:rFonts w:ascii="Consolas" w:hAnsi="Consolas"/>
          <w:color w:val="B03060"/>
          <w:sz w:val="19"/>
        </w:rPr>
        <w:t>APPROVALS.DECIDE</w:t>
      </w:r>
      <w:r>
        <w:t xml:space="preserve">; see chapter 11, Approvals). </w:t>
      </w:r>
      <w:r>
        <w:rPr>
          <w:rFonts w:ascii="Consolas" w:hAnsi="Consolas"/>
          <w:color w:val="B03060"/>
          <w:sz w:val="19"/>
        </w:rPr>
        <w:t>PURCHASE.ORDER.APPROVE</w:t>
      </w:r>
      <w:r>
        <w:t xml:space="preserve"> gates a separate, administrative approve/reject action on the order itself, available only via the API — see the Known limitation note in section 3.3.</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br/>
      </w:r>
    </w:p>
    <w:p>
      <w:pPr>
        <w:pStyle w:val="Heading2"/>
      </w:pPr>
      <w:r>
        <w:t>9. End-to-end procure-to-pay example</w:t>
      </w:r>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selects </w:t>
      </w:r>
      <w:r>
        <w:rPr>
          <w:b/>
        </w:rPr>
        <w:t>RFQ</w:t>
      </w:r>
      <w:r>
        <w:t xml:space="preserve">, and clicks </w:t>
      </w:r>
      <w:r>
        <w:rPr>
          <w:b/>
        </w:rPr>
        <w:t>Confirm Convert</w:t>
      </w:r>
      <w:r>
        <w:t xml:space="preserve"> — RFQ-0031 is created in DRAFT.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pPr>
        <w:pStyle w:val="Heading1"/>
      </w:pPr>
      <w:r>
        <w:t>Inventory and Manufacturing</w:t>
      </w:r>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pPr>
        <w:pStyle w:val="Heading2"/>
      </w:pPr>
      <w:r>
        <w:t>1. Permissions quick reference</w:t>
      </w:r>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stock batches (by-location / detail)</w:t>
            </w:r>
          </w:p>
        </w:tc>
        <w:tc>
          <w:tcPr>
            <w:tcW w:type="dxa" w:w="4320"/>
          </w:tcPr>
          <w:p>
            <w:r>
              <w:rPr>
                <w:rFonts w:ascii="Consolas" w:hAnsi="Consolas"/>
                <w:color w:val="B03060"/>
                <w:sz w:val="19"/>
              </w:rPr>
              <w:t>STOCK.VIEW</w:t>
            </w:r>
          </w:p>
        </w:tc>
      </w:tr>
      <w:tr>
        <w:tc>
          <w:tcPr>
            <w:tcW w:type="dxa" w:w="4320"/>
          </w:tcPr>
          <w:p>
            <w:r>
              <w:t>View stock serials (by-location / by-product / lookup)</w:t>
            </w:r>
          </w:p>
        </w:tc>
        <w:tc>
          <w:tcPr>
            <w:tcW w:type="dxa" w:w="4320"/>
          </w:tcPr>
          <w:p>
            <w:r>
              <w:rPr>
                <w:rFonts w:ascii="Consolas" w:hAnsi="Consolas"/>
                <w:color w:val="B03060"/>
                <w:sz w:val="19"/>
              </w:rPr>
              <w:t>STOCK.VIEW</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pPr>
        <w:pStyle w:val="Heading2"/>
      </w:pPr>
      <w:r>
        <w:t>2. Stock on-hand</w:t>
      </w:r>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pPr>
        <w:pStyle w:val="Heading2"/>
      </w:pPr>
      <w:r>
        <w:t>3. Stock locations</w:t>
      </w:r>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r>
        <w:rPr>
          <w:b/>
        </w:rPr>
        <w:t>Finding locations across branches.</w:t>
      </w:r>
      <w:r>
        <w:t xml:space="preserve"> The list shows locations for one branch at a time, chosen from the </w:t>
      </w:r>
      <w:r>
        <w:rPr>
          <w:b/>
        </w:rPr>
        <w:t>Branch</w:t>
      </w:r>
      <w:r>
        <w:t xml:space="preserve"> filter above the table. It defaults to your active branch (the one set by the branch switcher), and the filter lists </w:t>
      </w:r>
      <w:r>
        <w:rPr>
          <w:b/>
        </w:rPr>
        <w:t>every</w:t>
      </w:r>
      <w:r>
        <w:t xml:space="preserve"> branch in the company — not only the branches you are assigned to. If you pick a branch you are not assigned to, the list responds with a </w:t>
      </w:r>
      <w:r>
        <w:rPr>
          <w:b/>
        </w:rPr>
        <w:t>Forbidden</w:t>
      </w:r>
      <w:r>
        <w:t xml:space="preserve"> message (the same </w:t>
      </w:r>
      <w:r>
        <w:rPr>
          <w:rFonts w:ascii="Consolas" w:hAnsi="Consolas"/>
          <w:color w:val="B03060"/>
          <w:sz w:val="19"/>
        </w:rPr>
        <w:t>STOCK.LOCATION.VIEW</w:t>
      </w:r>
      <w:r>
        <w:t xml:space="preserve"> scope that guards the screen). For a branch you *are* assigned to, a location created for it is no longer invisible — it simply appears once you filter to that branch. After you create a new location, the filter switches automatically to the branch it was created for, so the new row is visible immediately without an extra step.</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Click the edit icon on a row. You can change the name and location type. The code is not editable after creation.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pPr>
        <w:pStyle w:val="Heading2"/>
      </w:pPr>
      <w:r>
        <w:t>4. Stock transfers</w:t>
      </w:r>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reports the available and requested quantities and states that the source location does not allow negative stock (it does not name the product, so check the transfer's lines to see which one is short).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pPr>
        <w:pStyle w:val="Heading2"/>
      </w:pPr>
      <w:r>
        <w:t>5. Stock counts</w:t>
      </w:r>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pPr>
        <w:pStyle w:val="Heading2"/>
      </w:pPr>
      <w:r>
        <w:t>6. Batches and lot tracking</w:t>
      </w:r>
    </w:p>
    <w:p>
      <w:r>
        <w:t xml:space="preserve">Navigate to </w:t>
      </w:r>
      <w:r>
        <w:rPr>
          <w:b/>
        </w:rPr>
        <w:t>Inventory &gt; Stock Batches</w:t>
      </w:r>
      <w:r>
        <w:t xml:space="preserve"> (</w:t>
      </w:r>
      <w:r>
        <w:rPr>
          <w:rFonts w:ascii="Consolas" w:hAnsi="Consolas"/>
          <w:color w:val="B03060"/>
          <w:sz w:val="19"/>
        </w:rPr>
        <w:t>/admin/stock/batches</w:t>
      </w:r>
      <w:r>
        <w:t xml:space="preserve">). Requires the </w:t>
      </w:r>
      <w:r>
        <w:rPr>
          <w:rFonts w:ascii="Consolas" w:hAnsi="Consolas"/>
          <w:color w:val="B03060"/>
          <w:sz w:val="19"/>
        </w:rPr>
        <w:t>STOCK.VIEW</w:t>
      </w:r>
      <w:r>
        <w:t xml:space="preserve"> permission.</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t>Batches (lots) are created automatically when lot-tracked products are received. This screen provides a read-only view; you cannot create or edit batches directly.</w:t>
      </w:r>
    </w:p>
    <w:p>
      <w:pPr>
        <w:pStyle w:val="Heading3"/>
      </w:pPr>
      <w:r>
        <w:t>6.1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6.2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br/>
      </w:r>
    </w:p>
    <w:p>
      <w:pPr>
        <w:pStyle w:val="Heading2"/>
      </w:pPr>
      <w:r>
        <w:t>7. Serial number tracking</w:t>
      </w:r>
    </w:p>
    <w:p>
      <w:r>
        <w:t xml:space="preserve">Navigate to </w:t>
      </w:r>
      <w:r>
        <w:rPr>
          <w:b/>
        </w:rPr>
        <w:t>Inventory &gt; Stock Serials</w:t>
      </w:r>
      <w:r>
        <w:t xml:space="preserve"> (</w:t>
      </w:r>
      <w:r>
        <w:rPr>
          <w:rFonts w:ascii="Consolas" w:hAnsi="Consolas"/>
          <w:color w:val="B03060"/>
          <w:sz w:val="19"/>
        </w:rPr>
        <w:t>/admin/stock/serials</w:t>
      </w:r>
      <w:r>
        <w:t xml:space="preserve">). Requires the </w:t>
      </w:r>
      <w:r>
        <w:rPr>
          <w:rFonts w:ascii="Consolas" w:hAnsi="Consolas"/>
          <w:color w:val="B03060"/>
          <w:sz w:val="19"/>
        </w:rPr>
        <w:t>STOCK.VIEW</w:t>
      </w:r>
      <w:r>
        <w:t xml:space="preserve"> permission.</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t>Serial numbers are assigned to individual units of serialised products. This screen is read-only; serials are created and updated by the purchasing, sales, and transfer flows.</w:t>
      </w:r>
    </w:p>
    <w:p>
      <w:r>
        <w:t xml:space="preserve">The screen has two view-mode tabs: </w:t>
      </w:r>
      <w:r>
        <w:rPr>
          <w:b/>
        </w:rPr>
        <w:t>By Location</w:t>
      </w:r>
      <w:r>
        <w:t xml:space="preserve"> and </w:t>
      </w:r>
      <w:r>
        <w:rPr>
          <w:b/>
        </w:rPr>
        <w:t>Product History</w:t>
      </w:r>
      <w:r>
        <w:t>.</w:t>
      </w:r>
    </w:p>
    <w:p>
      <w:pPr>
        <w:pStyle w:val="Heading3"/>
      </w:pPr>
      <w:r>
        <w:t>7.1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7.2 Viewing serial history by product</w:t>
      </w:r>
    </w:p>
    <w:p>
      <w:r>
        <w:t xml:space="preserve">Switch to the </w:t>
      </w:r>
      <w:r>
        <w:rPr>
          <w:b/>
        </w:rPr>
        <w:t>Product History</w:t>
      </w:r>
      <w:r>
        <w:t xml:space="preserve"> tab. Pick a product to see all of its serials across all statuses and locations.</w:t>
      </w:r>
    </w:p>
    <w:p>
      <w:pPr>
        <w:pStyle w:val="Heading3"/>
      </w:pPr>
      <w:r>
        <w:t>7.3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pPr>
        <w:pStyle w:val="Heading2"/>
      </w:pPr>
      <w:r>
        <w:t>8. Inventory valuation</w:t>
      </w:r>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8.1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8.2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pPr>
        <w:pStyle w:val="Heading2"/>
      </w:pPr>
      <w:r>
        <w:t>9. Bills of Materials</w:t>
      </w:r>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9.1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9.2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9.3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9.4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9.5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pPr>
        <w:pStyle w:val="Heading2"/>
      </w:pPr>
      <w:r>
        <w:t>10. Work Orders</w:t>
      </w:r>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10.1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10.2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10.3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10.4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10.5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10.6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10.7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10.8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10.9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10.10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pPr>
        <w:pStyle w:val="Heading2"/>
      </w:pPr>
      <w:r>
        <w:t>11. WIP reconciliation</w:t>
      </w:r>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pPr>
        <w:pStyle w:val="Heading2"/>
      </w:pPr>
      <w:r>
        <w:t>12. Frequently asked questions</w:t>
      </w:r>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pPr>
        <w:pStyle w:val="Heading1"/>
      </w:pPr>
      <w:r>
        <w:t>Fixed Assets</w:t>
      </w:r>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pPr>
        <w:pStyle w:val="Heading2"/>
      </w:pPr>
      <w:r>
        <w:t>2. Asset categories</w:t>
      </w:r>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pPr>
        <w:pStyle w:val="Heading2"/>
      </w:pPr>
      <w:r>
        <w:t>3. Asset register</w:t>
      </w:r>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pPr>
        <w:pStyle w:val="Heading2"/>
      </w:pPr>
      <w:r>
        <w:t>4. Placing an asset in service</w:t>
      </w:r>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pPr>
        <w:pStyle w:val="Heading2"/>
      </w:pPr>
      <w:r>
        <w:t>5. Transferring an asset</w:t>
      </w:r>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pPr>
        <w:pStyle w:val="Heading2"/>
      </w:pPr>
      <w:r>
        <w:t>6. Depreciation</w:t>
      </w:r>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pPr>
        <w:pStyle w:val="Heading2"/>
      </w:pPr>
      <w:r>
        <w:t>7. Revaluing an asset</w:t>
      </w:r>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pPr>
        <w:pStyle w:val="Heading2"/>
      </w:pPr>
      <w:r>
        <w:t>8. Disposing of an asset</w:t>
      </w:r>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pPr>
        <w:pStyle w:val="Heading2"/>
      </w:pPr>
      <w:r>
        <w:t>9. FA to GL reconciliation</w:t>
      </w:r>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pPr>
        <w:pStyle w:val="Heading2"/>
      </w:pPr>
      <w:r>
        <w:t>10. Frequently asked questions</w:t>
      </w:r>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pPr>
        <w:pStyle w:val="Heading1"/>
      </w:pPr>
      <w:r>
        <w:t>Projects</w:t>
      </w:r>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pPr>
        <w:pStyle w:val="Heading2"/>
      </w:pPr>
      <w:r>
        <w:t>2. Project lifecycle</w:t>
      </w:r>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pPr>
        <w:pStyle w:val="Heading2"/>
      </w:pPr>
      <w:r>
        <w:t>3. Creating a project</w:t>
      </w:r>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pPr>
        <w:pStyle w:val="Heading2"/>
      </w:pPr>
      <w:r>
        <w:t>4. Project detail</w:t>
      </w:r>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pPr>
        <w:pStyle w:val="Heading2"/>
      </w:pPr>
      <w:r>
        <w:t>5. Project tasks</w:t>
      </w:r>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pPr>
        <w:pStyle w:val="Heading2"/>
      </w:pPr>
      <w:r>
        <w:t>6. Timesheets</w:t>
      </w:r>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pPr>
        <w:pStyle w:val="Heading2"/>
      </w:pPr>
      <w:r>
        <w:t>7. Issuing materials to a project</w:t>
      </w:r>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pPr>
        <w:pStyle w:val="Heading2"/>
      </w:pPr>
      <w:r>
        <w:t>8. Project P&amp;L</w:t>
      </w:r>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pPr>
        <w:pStyle w:val="Heading2"/>
      </w:pPr>
      <w:r>
        <w:t>9. Cross-project WIP report</w:t>
      </w:r>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pPr>
        <w:pStyle w:val="Heading2"/>
      </w:pPr>
      <w:r>
        <w:t>10. Frequently asked questions</w:t>
      </w:r>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pPr>
        <w:pStyle w:val="Heading1"/>
      </w:pPr>
      <w:r>
        <w:t>Finance &amp; Accounting</w:t>
      </w:r>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pPr>
        <w:pStyle w:val="Heading2"/>
      </w:pPr>
      <w:r>
        <w:t>General Ledger</w:t>
      </w:r>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Alongside these, every company has two further, initially-unused dimension </w:t>
      </w:r>
      <w:r>
        <w:rPr>
          <w:b/>
        </w:rPr>
        <w:t>slots</w:t>
      </w:r>
      <w:r>
        <w:t xml:space="preserve"> ("Dimension 3" and "Dimension 4") that a user with </w:t>
      </w:r>
      <w:r>
        <w:rPr>
          <w:rFonts w:ascii="Consolas" w:hAnsi="Consolas"/>
          <w:color w:val="B03060"/>
          <w:sz w:val="19"/>
        </w:rPr>
        <w:t>COSTING.MANAGE</w:t>
      </w:r>
      <w:r>
        <w:t xml:space="preserve"> can manually claim for a custom dimension — see *Adding a Custom Dimension* below. Whichever type a dimension slot holds, you create the actual values under it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w:t>
      </w:r>
      <w:r>
        <w:rPr>
          <w:b/>
        </w:rPr>
        <w:t>Cost Centre</w:t>
      </w:r>
      <w:r>
        <w:t xml:space="preserve"> and </w:t>
      </w:r>
      <w:r>
        <w:rPr>
          <w:b/>
        </w:rPr>
        <w:t>Department</w:t>
      </w:r>
      <w:r>
        <w:t xml:space="preserve"> are </w:t>
      </w:r>
      <w:r>
        <w:rPr>
          <w:b/>
        </w:rPr>
        <w:t>built-in</w:t>
      </w:r>
      <w:r>
        <w:t xml:space="preserve"> (shown with a lock icon in the </w:t>
      </w:r>
      <w:r>
        <w:rPr>
          <w:b/>
        </w:rPr>
        <w:t>Built-in</w:t>
      </w:r>
      <w:r>
        <w:t xml:space="preserve"> column) and can never be created, renamed, or deleted. A company also has two spare custom slots — while a slot is free, a user with </w:t>
      </w:r>
      <w:r>
        <w:rPr>
          <w:rFonts w:ascii="Consolas" w:hAnsi="Consolas"/>
          <w:color w:val="B03060"/>
          <w:sz w:val="19"/>
        </w:rPr>
        <w:t>COSTING.MANAGE</w:t>
      </w:r>
      <w:r>
        <w:t xml:space="preserve"> can claim it with a custom dimension type of their own naming (see below). Every dimension type, built-in or custom, can only have its </w:t>
      </w:r>
      <w:r>
        <w:rPr>
          <w:b/>
        </w:rPr>
        <w:t>mandatory</w:t>
      </w:r>
      <w:r>
        <w:t xml:space="preserve"> flag toggled afterwards — there is no rename or delete.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Adding a custom dimension (requires `COSTING.MANAGE`):</w:t>
      </w:r>
    </w:p>
    <w:p>
      <w:r>
        <w:rPr>
          <w:b/>
        </w:rPr>
        <w:t>What it is.</w:t>
      </w:r>
      <w:r>
        <w:t xml:space="preserve"> A custom dimension is a company-defined dimension type — for example "Project" or "Region" — that claims one of the two spare slots (</w:t>
      </w:r>
      <w:r>
        <w:rPr>
          <w:rFonts w:ascii="Consolas" w:hAnsi="Consolas"/>
          <w:color w:val="B03060"/>
          <w:sz w:val="19"/>
        </w:rPr>
        <w:t>DIMENSION_3</w:t>
      </w:r>
      <w:r>
        <w:t xml:space="preserve">, then </w:t>
      </w:r>
      <w:r>
        <w:rPr>
          <w:rFonts w:ascii="Consolas" w:hAnsi="Consolas"/>
          <w:color w:val="B03060"/>
          <w:sz w:val="19"/>
        </w:rPr>
        <w:t>DIMENSION_4</w:t>
      </w:r>
      <w:r>
        <w:t>) behind the built-in Cost Centre and Department types. A company can have at most two custom dimensions.</w:t>
      </w:r>
    </w:p>
    <w:p>
      <w:pPr>
        <w:pStyle w:val="ListNumber"/>
      </w:pPr>
      <w:r>
        <w:t xml:space="preserve">On the Dimensions screen, while at least one custom slot is free, an </w:t>
      </w:r>
      <w:r>
        <w:rPr>
          <w:b/>
        </w:rPr>
        <w:t>Add Dimension</w:t>
      </w:r>
      <w:r>
        <w:t xml:space="preserve"> form is shown above the dimension-types table.</w:t>
      </w:r>
    </w:p>
    <w:p>
      <w:pPr>
        <w:pStyle w:val="ListNumber"/>
      </w:pPr>
      <w:r>
        <w:t xml:space="preserve">Enter a unique </w:t>
      </w:r>
      <w:r>
        <w:rPr>
          <w:b/>
        </w:rPr>
        <w:t>Code</w:t>
      </w:r>
      <w:r>
        <w:t xml:space="preserve"> and </w:t>
      </w:r>
      <w:r>
        <w:rPr>
          <w:b/>
        </w:rPr>
        <w:t>Name</w:t>
      </w:r>
      <w:r>
        <w:t xml:space="preserve"> for the new dimension type, and an optional </w:t>
      </w:r>
      <w:r>
        <w:rPr>
          <w:b/>
        </w:rPr>
        <w:t>Description</w:t>
      </w:r>
      <w:r>
        <w:t>.</w:t>
      </w:r>
    </w:p>
    <w:p>
      <w:pPr>
        <w:pStyle w:val="ListNumber"/>
      </w:pPr>
      <w:r>
        <w:t xml:space="preserve">Click </w:t>
      </w:r>
      <w:r>
        <w:rPr>
          <w:b/>
        </w:rPr>
        <w:t>Add Dimension</w:t>
      </w:r>
      <w:r>
        <w:t>. The system assigns the next free slot automatically — you do not choose the slot — and the new type appears in the table, listed with its assigned slot (</w:t>
      </w:r>
      <w:r>
        <w:rPr>
          <w:rFonts w:ascii="Consolas" w:hAnsi="Consolas"/>
          <w:color w:val="B03060"/>
          <w:sz w:val="19"/>
        </w:rPr>
        <w:t>DIMENSION_3</w:t>
      </w:r>
      <w:r>
        <w:t xml:space="preserve"> or </w:t>
      </w:r>
      <w:r>
        <w:rPr>
          <w:rFonts w:ascii="Consolas" w:hAnsi="Consolas"/>
          <w:color w:val="B03060"/>
          <w:sz w:val="19"/>
        </w:rPr>
        <w:t>DIMENSION_4</w:t>
      </w:r>
      <w:r>
        <w:t xml:space="preserve">) in the </w:t>
      </w:r>
      <w:r>
        <w:rPr>
          <w:b/>
        </w:rPr>
        <w:t>Slot</w:t>
      </w:r>
      <w:r>
        <w:t xml:space="preserve"> column.</w:t>
      </w:r>
    </w:p>
    <w:p>
      <w:r>
        <w:t>Once both custom slots are in use, the form is replaced by the message "Both custom dimension slots are in use. You can have at most 2 custom dimensions." If another administrator claims the last slot first (a race), submitting from an already-open form is instead rejected with a shorter inline error under the form fields: "You can have at most 2 custom dimensions."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w:t>
      </w:r>
      <w:r>
        <w:rPr>
          <w:b/>
        </w:rPr>
        <w:t>Dimension slot</w:t>
      </w:r>
      <w:r>
        <w:t xml:space="preserve"> (Cost Centre, Department, Dimension 3, or Dimension 4 — the last two are offered whether or not the company has claimed them as a custom dimension),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pPr>
        <w:pStyle w:val="Heading2"/>
      </w:pPr>
      <w:r>
        <w:t>Accounts Receivable</w:t>
      </w:r>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pPr>
        <w:pStyle w:val="Heading2"/>
      </w:pPr>
      <w:r>
        <w:t>Accounts Payable</w:t>
      </w:r>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pPr>
        <w:pStyle w:val="Heading2"/>
      </w:pPr>
      <w:r>
        <w:t>Cash &amp; Bank</w:t>
      </w:r>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2"/>
      </w:pPr>
      <w:r>
        <w:t>Tax</w:t>
      </w:r>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pPr>
        <w:pStyle w:val="Heading2"/>
      </w:pPr>
      <w:r>
        <w:t>Foreign Exchange (FX)</w:t>
      </w:r>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pPr>
        <w:pStyle w:val="Heading1"/>
      </w:pPr>
      <w:r>
        <w:t>CRM — Customer Relationship Management</w:t>
      </w:r>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pPr>
        <w:pStyle w:val="Heading2"/>
      </w:pPr>
      <w:r>
        <w:t>Leads</w:t>
      </w:r>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pPr>
        <w:pStyle w:val="Heading2"/>
      </w:pPr>
      <w:r>
        <w:t>Opportunities</w:t>
      </w:r>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pPr>
        <w:pStyle w:val="Heading2"/>
      </w:pPr>
      <w:r>
        <w:t>Pipeline Dashboard</w:t>
      </w:r>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pPr>
        <w:pStyle w:val="Heading2"/>
      </w:pPr>
      <w:r>
        <w:t>Pipeline Stages (Settings)</w:t>
      </w:r>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pPr>
        <w:pStyle w:val="Heading2"/>
      </w:pPr>
      <w:r>
        <w:t>Activities</w:t>
      </w:r>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pPr>
        <w:pStyle w:val="Heading1"/>
      </w:pPr>
      <w:r>
        <w:t>Reporting and Business Intelligence</w:t>
      </w:r>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pPr>
        <w:pStyle w:val="Heading2"/>
      </w:pPr>
      <w:r>
        <w:t>Financial Statement Reports</w:t>
      </w:r>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pPr>
        <w:pStyle w:val="Heading2"/>
      </w:pPr>
      <w:r>
        <w:t>Business Intelligence Dashboard</w:t>
      </w:r>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xml:space="preserve">); the dashboard re-fetches as soon as you change it. Only the </w:t>
      </w:r>
      <w:r>
        <w:rPr>
          <w:b/>
        </w:rPr>
        <w:t>CRM pipeline panel</w:t>
      </w:r>
      <w:r>
        <w:t xml:space="preserve"> and the </w:t>
      </w:r>
      <w:r>
        <w:rPr>
          <w:b/>
        </w:rPr>
        <w:t>Sales by Branch panel</w:t>
      </w:r>
      <w:r>
        <w:t xml:space="preserve"> actually vary by branch — the Finance, Cash Position, Working Capital, and Inventory panels are anchored to the GL at company level and show the same figures regardless of which branch is selected.</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rPr>
          <w:b/>
        </w:rPr>
        <w:t>Sales by Branch panel</w:t>
      </w:r>
      <w:r>
        <w:t xml:space="preserve"> — with </w:t>
      </w:r>
      <w:r>
        <w:rPr>
          <w:b/>
        </w:rPr>
        <w:t>Branch</w:t>
      </w:r>
      <w:r>
        <w:t xml:space="preserve"> still on "All branches", the table lists every branch in descending order of sales: </w:t>
      </w:r>
      <w:r>
        <w:rPr>
          <w:rFonts w:ascii="Consolas" w:hAnsi="Consolas"/>
          <w:color w:val="B03060"/>
          <w:sz w:val="19"/>
        </w:rPr>
        <w:t>DSM Main</w:t>
      </w:r>
      <w:r>
        <w:t xml:space="preserve"> leads with TZS 5,120,000 across 34 finalised invoices, followed by </w:t>
      </w:r>
      <w:r>
        <w:rPr>
          <w:rFonts w:ascii="Consolas" w:hAnsi="Consolas"/>
          <w:color w:val="B03060"/>
          <w:sz w:val="19"/>
        </w:rPr>
        <w:t>Arusha Branch</w:t>
      </w:r>
      <w:r>
        <w:t xml:space="preserve"> with TZS 2,890,000 across 19 invoices and the remaining branches, with a </w:t>
      </w:r>
      <w:r>
        <w:rPr>
          <w:b/>
        </w:rPr>
        <w:t>Total</w:t>
      </w:r>
      <w:r>
        <w:t xml:space="preserve"> row of TZS 9,715,000 across 61 invoices. (This total is sourced from finalised sales invoices, so it need not exactly match the Finance panel's GL-derived Revenue figure above.) Gideon clicks the drill icon in the </w:t>
      </w:r>
      <w:r>
        <w:rPr>
          <w:b/>
        </w:rPr>
        <w:t>Sales by Branch</w:t>
      </w:r>
      <w:r>
        <w:t xml:space="preserve"> heading — this opens the sales invoices list.</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Only the </w:t>
      </w:r>
      <w:r>
        <w:rPr>
          <w:b/>
        </w:rPr>
        <w:t>CRM panel</w:t>
      </w:r>
      <w:r>
        <w:t xml:space="preserve"> and the </w:t>
      </w:r>
      <w:r>
        <w:rPr>
          <w:b/>
        </w:rPr>
        <w:t>Sales by Branch panel</w:t>
      </w:r>
      <w:r>
        <w:t xml:space="preserve"> actually vary by branch — the Sales by Branch table now shows a single row, for </w:t>
      </w:r>
      <w:r>
        <w:rPr>
          <w:rFonts w:ascii="Consolas" w:hAnsi="Consolas"/>
          <w:color w:val="B03060"/>
          <w:sz w:val="19"/>
        </w:rPr>
        <w:t>Arusha Branch</w:t>
      </w:r>
      <w:r>
        <w:t xml:space="preserve"> only; the Finance, Cash Position, Working Capital, and Inventory panels stay company-level and show the same figures as before.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rPr>
          <w:b/>
        </w:rPr>
        <w:t>Sales by Branch panel (requires `BI.FINANCE.VIEW`):</w:t>
      </w:r>
    </w:p>
    <w:p>
      <w:pPr>
        <w:pStyle w:val="ListBullet"/>
      </w:pPr>
      <w:r>
        <w:t xml:space="preserve">A table of finalised sales invoices for the selected date range, broken down by branch: </w:t>
      </w:r>
      <w:r>
        <w:rPr>
          <w:b/>
        </w:rPr>
        <w:t>Branch</w:t>
      </w:r>
      <w:r>
        <w:t xml:space="preserve"> (shown as </w:t>
      </w:r>
      <w:r>
        <w:rPr>
          <w:rFonts w:ascii="Consolas" w:hAnsi="Consolas"/>
          <w:color w:val="B03060"/>
          <w:sz w:val="19"/>
        </w:rPr>
        <w:t>code — name</w:t>
      </w:r>
      <w:r>
        <w:t xml:space="preserve">), </w:t>
      </w:r>
      <w:r>
        <w:rPr>
          <w:b/>
        </w:rPr>
        <w:t>Sales</w:t>
      </w:r>
      <w:r>
        <w:t xml:space="preserve"> (total invoiced value in the company's currency), and </w:t>
      </w:r>
      <w:r>
        <w:rPr>
          <w:b/>
        </w:rPr>
        <w:t>Invoices</w:t>
      </w:r>
      <w:r>
        <w:t xml:space="preserve"> (count of finalised invoices), sorted with the highest-selling branch first. A </w:t>
      </w:r>
      <w:r>
        <w:rPr>
          <w:b/>
        </w:rPr>
        <w:t>Total</w:t>
      </w:r>
      <w:r>
        <w:t xml:space="preserve"> footer row sums the sales value and invoice count across all rows shown.</w:t>
      </w:r>
    </w:p>
    <w:p>
      <w:pPr>
        <w:pStyle w:val="ListBullet"/>
      </w:pPr>
      <w:r>
        <w:t xml:space="preserve">This is the one finance-domain panel that genuinely honours the </w:t>
      </w:r>
      <w:r>
        <w:rPr>
          <w:b/>
        </w:rPr>
        <w:t>Branch</w:t>
      </w:r>
      <w:r>
        <w:t xml:space="preserve"> filter at the top of the page: with the filter left on "All branches" the table shows the full per-branch breakdown; selecting a single branch narrows the table to that branch's row only. (The other finance panels above stay company-level regardless of the Branch filter — see *Filters at the top of the page*.)</w:t>
      </w:r>
    </w:p>
    <w:p>
      <w:pPr>
        <w:pStyle w:val="ListBullet"/>
      </w:pPr>
      <w:r>
        <w:t xml:space="preserve">Only </w:t>
      </w:r>
      <w:r>
        <w:rPr>
          <w:b/>
        </w:rPr>
        <w:t>FINALISED</w:t>
      </w:r>
      <w:r>
        <w:t xml:space="preserve"> invoices count; draft or voided invoices are excluded.</w:t>
      </w:r>
    </w:p>
    <w:p>
      <w:pPr>
        <w:pStyle w:val="ListBullet"/>
      </w:pPr>
      <w:r>
        <w:t>If no invoices were finalised in the period, the panel shows *No finalised invoices for this period.*</w:t>
      </w:r>
    </w:p>
    <w:p>
      <w:pPr>
        <w:pStyle w:val="ListBullet"/>
      </w:pPr>
      <w:r>
        <w:t>The drill icon in the panel heading opens the sales invoices list (</w:t>
      </w:r>
      <w:r>
        <w:rPr>
          <w:b/>
        </w:rPr>
        <w:t>Sales › Invoices</w:t>
      </w:r>
      <w:r>
        <w:t xml:space="preserve">, </w:t>
      </w:r>
      <w:r>
        <w:rPr>
          <w:rFonts w:ascii="Consolas" w:hAnsi="Consolas"/>
          <w:color w:val="B03060"/>
          <w:sz w:val="19"/>
        </w:rPr>
        <w:t>/admin/sales-invoices</w:t>
      </w:r>
      <w:r>
        <w:t>).</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Sales by Branch → Sales Invoices)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Sales)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pPr>
        <w:pStyle w:val="Heading2"/>
      </w:pPr>
      <w:r>
        <w:t>Analytical Reports</w:t>
      </w:r>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pPr>
        <w:pStyle w:val="Heading1"/>
      </w:pPr>
      <w:r>
        <w:t>HR &amp; Payroll, Budgeting, and Platform Services</w:t>
      </w:r>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pPr>
        <w:pStyle w:val="Heading2"/>
      </w:pPr>
      <w:r>
        <w:t>Part 1 — Human Resources and Payroll</w:t>
      </w:r>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w:t>
      </w:r>
      <w:r>
        <w:t xml:space="preserve">, and </w:t>
      </w:r>
      <w:r>
        <w:rPr>
          <w:b/>
        </w:rPr>
        <w:t>Branch</w:t>
      </w:r>
      <w:r>
        <w:t xml:space="preserve">. </w:t>
      </w:r>
      <w:r>
        <w:rPr>
          <w:b/>
        </w:rPr>
        <w:t>Department</w:t>
      </w:r>
      <w:r>
        <w:t xml:space="preserve"> and </w:t>
      </w:r>
      <w:r>
        <w:rPr>
          <w:b/>
        </w:rPr>
        <w:t>Branch</w:t>
      </w:r>
      <w:r>
        <w:t xml:space="preserve"> are dropdowns — pick the department and branch by name from the lists (each defaults to "— none —" to leave unset). Departments must be set up first (see </w:t>
      </w:r>
      <w:r>
        <w:rPr>
          <w:b/>
        </w:rPr>
        <w:t>Departments</w:t>
      </w:r>
      <w:r>
        <w:t xml:space="preserve"> above) for them to appear in the list.</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xml:space="preserve">, you can edit the employee's fields — including </w:t>
      </w:r>
      <w:r>
        <w:rPr>
          <w:b/>
        </w:rPr>
        <w:t>Department</w:t>
      </w:r>
      <w:r>
        <w:t xml:space="preserve"> and </w:t>
      </w:r>
      <w:r>
        <w:rPr>
          <w:b/>
        </w:rPr>
        <w:t>Branch</w:t>
      </w:r>
      <w:r>
        <w:t>, both dropdowns as on the create form —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pPr>
        <w:pStyle w:val="Heading2"/>
      </w:pPr>
      <w:r>
        <w:t>Part 2 — Budgeting</w:t>
      </w:r>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pPr>
        <w:pStyle w:val="Heading2"/>
      </w:pPr>
      <w:r>
        <w:t>Part 3 — Platform Services</w:t>
      </w:r>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