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Companies to Users</w:t>
      </w:r>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Sales Settings — sales-order approval threshold</w:t>
      </w:r>
    </w:p>
    <w:p>
      <w:r>
        <w:rPr>
          <w:b/>
        </w:rPr>
        <w:t>What this screen is.</w:t>
      </w:r>
      <w:r>
        <w:t xml:space="preserve"> Sales Settings is a per-company configuration screen that controls whether large </w:t>
      </w:r>
      <w:r>
        <w:rPr>
          <w:b/>
        </w:rPr>
        <w:t>sales orders</w:t>
      </w:r>
      <w:r>
        <w:t xml:space="preserve"> must be approved before they can be confirmed, and above what value that approval kicks in. It holds one setting group per company.</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pPr>
        <w:pStyle w:val="Heading3"/>
      </w:pPr>
      <w:r>
        <w:t>Setting the sales-order approval threshold</w:t>
      </w:r>
    </w:p>
    <w:p>
      <w:pPr>
        <w:pStyle w:val="ListNumbe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pPr>
      <w:r>
        <w:t>With the workflow enabled, fill in:</w:t>
      </w:r>
    </w:p>
    <w:p>
      <w:pPr>
        <w:pStyle w:val="ListBullet"/>
        <w:ind w:left="720"/>
      </w:pPr>
      <w:r>
        <w:rPr>
          <w:b/>
        </w:rPr>
        <w:t>Approval Threshold Amount</w:t>
      </w:r>
      <w:r>
        <w:t xml:space="preserve"> — the order value at or above which approval is required. The hint beneath the field reads *"Sales orders above this value require approval."*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pPr>
      <w:r>
        <w:t xml:space="preserve">Click </w:t>
      </w:r>
      <w:r>
        <w:rPr>
          <w:b/>
        </w:rPr>
        <w:t>Save Settings</w:t>
      </w:r>
      <w:r>
        <w:t>. A confirmation *"Sales settings saved"*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r>
        <w:rPr>
          <w:b/>
        </w:rPr>
        <w:t>A zero or empty threshold catches everything.</w:t>
      </w:r>
      <w:r>
        <w:t xml:space="preserve"> If the workflow is enabled and you leave the threshold at </w:t>
      </w:r>
      <w:r>
        <w:rPr>
          <w:rFonts w:ascii="Consolas" w:hAnsi="Consolas"/>
          <w:color w:val="B03060"/>
          <w:sz w:val="19"/>
        </w:rPr>
        <w:t>0</w:t>
      </w:r>
      <w:r>
        <w:t>, every order (any value) requires approval. The amount must be zero or positive — a negative value is rejected with *"Threshold amount must be zero or positive."*</w:t>
      </w:r>
    </w:p>
    <w:p>
      <w:r>
        <w:rPr>
          <w:b/>
        </w:rPr>
        <w:t>The threshold is per company, not per branch.</w:t>
      </w:r>
      <w:r>
        <w:t xml:space="preserve"> All branches of the selected company share the same threshold. Configure each company separately.</w:t>
      </w:r>
    </w:p>
    <w:p>
      <w:r>
        <w:br/>
      </w:r>
    </w:p>
    <w:p>
      <w:pPr>
        <w:pStyle w:val="Heading2"/>
      </w:pPr>
      <w:r>
        <w:t>Fiscal / EFD Configuration</w:t>
      </w:r>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*seam*: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b/>
        </w:rPr>
        <w:t>`none`</w:t>
      </w:r>
      <w:r>
        <w:t xml:space="preserve"> (the default) — no device is wired. Every fiscalisation attempt returns the honest status </w:t>
      </w:r>
      <w:r>
        <w:rPr>
          <w:b/>
        </w:rPr>
        <w:t>NOT_CONFIGURED</w:t>
      </w:r>
      <w:r>
        <w:t>; nothing is invented.</w:t>
      </w:r>
    </w:p>
    <w:p>
      <w:pPr>
        <w:pStyle w:val="ListBullet"/>
      </w:pPr>
      <w:r>
        <w:rPr>
          <w:b/>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b/>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pPr>
        <w:pStyle w:val="Heading3"/>
      </w:pPr>
      <w:r>
        <w:t>Where operators see fiscal status</w:t>
      </w:r>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*"No EFD device is configured for this company yet."*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*Bulk packs* above). Pick </w:t>
      </w:r>
      <w:r>
        <w:rPr>
          <w:b/>
        </w:rPr>
        <w:t>Base unit</w:t>
      </w:r>
      <w:r>
        <w:t xml:space="preserve"> to price the base unit, or a pack unit to set that pack's own price.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*not*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pPr>
      <w:r>
        <w:t xml:space="preserve">Click </w:t>
      </w:r>
      <w:r>
        <w:rPr>
          <w:b/>
        </w:rPr>
        <w:t>Create Order</w:t>
      </w:r>
      <w:r>
        <w:t xml:space="preserve">. The order is created in </w:t>
      </w:r>
      <w:r>
        <w:rPr>
          <w:b/>
        </w:rPr>
        <w:t>DRAFT</w:t>
      </w:r>
      <w:r>
        <w:t>.</w:t>
      </w:r>
    </w:p>
    <w:p>
      <w:r>
        <w:rPr>
          <w:b/>
        </w:rPr>
        <w:t>Agent pre-fill.</w:t>
      </w:r>
      <w:r>
        <w:t xml:space="preserve"> The Agent box shows *your*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*Sales Settings*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*"This order exceeds the approval threshold and has been submitted for approval. It can be confirmed once it is approved."*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Issue a fiscal (EFD) receipt</w:t>
      </w:r>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pPr>
      <w:r>
        <w:t xml:space="preserve">Open the </w:t>
      </w:r>
      <w:r>
        <w:rPr>
          <w:b/>
        </w:rPr>
        <w:t>FINALISED</w:t>
      </w:r>
      <w:r>
        <w:t xml:space="preserve"> invoice.</w:t>
      </w:r>
    </w:p>
    <w:p>
      <w:pPr>
        <w:pStyle w:val="ListNumber"/>
      </w:pPr>
      <w:r>
        <w:t xml:space="preserve">In the </w:t>
      </w:r>
      <w:r>
        <w:rPr>
          <w:b/>
        </w:rPr>
        <w:t>Fiscal Receipt</w:t>
      </w:r>
      <w:r>
        <w:t xml:space="preserve"> panel, read the current status tag (see the table below). If no receipt exists yet it reads </w:t>
      </w:r>
      <w:r>
        <w:rPr>
          <w:b/>
        </w:rPr>
        <w:t>Not issued</w:t>
      </w:r>
      <w:r>
        <w:t>.</w:t>
      </w:r>
    </w:p>
    <w:p>
      <w:pPr>
        <w:pStyle w:val="ListNumbe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pPr>
        <w:pStyle w:val="Heading3"/>
      </w:pPr>
      <w:r>
        <w:t>4.7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xml:space="preserve">. An inline </w:t>
      </w:r>
      <w:r>
        <w:rPr>
          <w:b/>
        </w:rPr>
        <w:t>Convert Requisition</w:t>
      </w:r>
      <w:r>
        <w:t xml:space="preserve"> form opens.</w:t>
      </w:r>
    </w:p>
    <w:p>
      <w:pPr>
        <w:pStyle w:val="ListNumbe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pPr>
      <w:r>
        <w:t xml:space="preserve">Click </w:t>
      </w:r>
      <w:r>
        <w:rPr>
          <w:b/>
        </w:rPr>
        <w:t>Confirm Convert</w:t>
      </w:r>
      <w:r>
        <w:t>. This button stays disabled until you have chosen the required supplier(s) — a PO needs one supplier, an RFQ needs at least one invitee.</w:t>
      </w:r>
    </w:p>
    <w:p>
      <w:pPr>
        <w:pStyle w:val="ListNumbe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Void a goods receipt</w:t>
      </w:r>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pPr>
      <w:r>
        <w:t xml:space="preserve">Open the receipt (navigate to </w:t>
      </w:r>
      <w:r>
        <w:rPr>
          <w:rFonts w:ascii="Consolas" w:hAnsi="Consolas"/>
          <w:color w:val="B03060"/>
          <w:sz w:val="19"/>
        </w:rPr>
        <w:t>/admin/goods-receipts/uid/{uid}</w:t>
      </w:r>
      <w:r>
        <w:t>) — it must be in status RECEIVED.</w:t>
      </w:r>
    </w:p>
    <w:p>
      <w:pPr>
        <w:pStyle w:val="ListNumber"/>
      </w:pPr>
      <w:r>
        <w:t xml:space="preserve">Click </w:t>
      </w:r>
      <w:r>
        <w:rPr>
          <w:b/>
        </w:rPr>
        <w:t>Void Receipt</w:t>
      </w:r>
      <w:r>
        <w:t>. An inline form opens.</w:t>
      </w:r>
    </w:p>
    <w:p>
      <w:pPr>
        <w:pStyle w:val="ListNumber"/>
      </w:pPr>
      <w:r>
        <w:t xml:space="preserve">Enter a mandatory </w:t>
      </w:r>
      <w:r>
        <w:rPr>
          <w:b/>
        </w:rPr>
        <w:t>Reason</w:t>
      </w:r>
      <w:r>
        <w:t xml:space="preserve"> and click </w:t>
      </w:r>
      <w:r>
        <w:rPr>
          <w:b/>
        </w:rPr>
        <w:t>Confirm Void</w:t>
      </w:r>
      <w:r>
        <w:t>.</w:t>
      </w:r>
    </w:p>
    <w:p>
      <w:pPr>
        <w:pStyle w:val="ListNumbe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pPr>
        <w:pStyle w:val="Heading3"/>
      </w:pPr>
      <w:r>
        <w:t>4.4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If you chose the </w:t>
      </w:r>
      <w:r>
        <w:rPr>
          <w:b/>
        </w:rPr>
        <w:t>VAN</w:t>
      </w:r>
      <w:r>
        <w:t xml:space="preserve"> type, an </w:t>
      </w:r>
      <w:r>
        <w:rPr>
          <w:b/>
        </w:rPr>
        <w:t>Agent</w:t>
      </w:r>
      <w:r>
        <w:t xml:space="preserve"> picker appears. Optionally select the route agent who runs this van — the hint reads *"Assigns this van to the route agent who runs it."* The assignment is company-scoped and carries onto that van's day-end reconciliation worksheets (section 6). The Agent field is shown only for VAN locations; switching the type away from VAN clears it.</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Van-stock reconciliation</w:t>
      </w:r>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p>
    <w:p>
      <w:r>
        <w:t xml:space="preserve">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*did the stock that left the van get accounted for by sales plus returns?*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p>
    <w:p>
      <w:r>
        <w:t xml:space="preserve">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p>
    <w:p>
      <w:r>
        <w:t xml:space="preserve">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pPr>
        <w:pStyle w:val="Heading3"/>
      </w:pPr>
      <w:r>
        <w:t>Reconciliation status lifecycle</w:t>
      </w:r>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pPr>
        <w:pStyle w:val="Heading3"/>
      </w:pPr>
      <w:r>
        <w:t>6.1 Creating a reconciliation</w:t>
      </w:r>
    </w:p>
    <w:p>
      <w:pPr>
        <w:pStyle w:val="ListNumbe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pPr>
      <w:r>
        <w:t xml:space="preserve">Set the </w:t>
      </w:r>
      <w:r>
        <w:rPr>
          <w:b/>
        </w:rPr>
        <w:t>Business Date</w:t>
      </w:r>
      <w:r>
        <w:t xml:space="preserve"> (defaults to today) — the route day being reconciled.</w:t>
      </w:r>
    </w:p>
    <w:p>
      <w:pPr>
        <w:pStyle w:val="ListNumber"/>
      </w:pPr>
      <w:r>
        <w:t xml:space="preserve">Optionally add </w:t>
      </w:r>
      <w:r>
        <w:rPr>
          <w:b/>
        </w:rPr>
        <w:t>Notes</w:t>
      </w:r>
      <w:r>
        <w:t>.</w:t>
      </w:r>
    </w:p>
    <w:p>
      <w:pPr>
        <w:pStyle w:val="ListNumbe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*into* the van location that day (the sum of Transfer-In movements).</w:t>
      </w:r>
    </w:p>
    <w:p>
      <w:pPr>
        <w:pStyle w:val="ListBullet"/>
      </w:pPr>
      <w:r>
        <w:rPr>
          <w:b/>
        </w:rPr>
        <w:t>Returned</w:t>
      </w:r>
      <w:r>
        <w:t xml:space="preserve"> — the total stock transferred *out of*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pPr>
        <w:pStyle w:val="Heading3"/>
      </w:pPr>
      <w:r>
        <w:t>6.2 Entering sold and physical counts</w:t>
      </w:r>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pPr>
      <w:r>
        <w:t xml:space="preserve">Enter the </w:t>
      </w:r>
      <w:r>
        <w:rPr>
          <w:b/>
        </w:rPr>
        <w:t>Physical</w:t>
      </w:r>
      <w:r>
        <w:t xml:space="preserve"> count — what is actually still on the van at day-end. Leave it blank on any line you have not yet counted.</w:t>
      </w:r>
    </w:p>
    <w:p>
      <w:pPr>
        <w:pStyle w:val="ListNumbe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*should*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pPr>
        <w:pStyle w:val="Heading3"/>
      </w:pPr>
      <w:r>
        <w:t>6.3 Reconciling</w:t>
      </w:r>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pPr>
        <w:pStyle w:val="Heading3"/>
      </w:pPr>
      <w:r>
        <w:t>6.4 Cancelling</w:t>
      </w:r>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pPr>
        <w:pStyle w:val="Heading3"/>
      </w:pPr>
      <w:r>
        <w:t>6.5 Viewing the reconciliation list</w:t>
      </w:r>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pPr>
        <w:pStyle w:val="Heading2"/>
      </w:pPr>
      <w:r>
        <w:t>7. Batches and lot tracking</w:t>
      </w:r>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p>
    <w:p>
      <w:r>
        <w:t>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pPr>
        <w:pStyle w:val="Heading3"/>
      </w:pPr>
      <w:r>
        <w:t>7.1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7.2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pPr>
        <w:pStyle w:val="Heading2"/>
      </w:pPr>
      <w:r>
        <w:t>8. Serial number tracking</w:t>
      </w:r>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p>
    <w:p>
      <w:r>
        <w:t xml:space="preserve">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pPr>
        <w:pStyle w:val="Heading3"/>
      </w:pPr>
      <w:r>
        <w:t>8.1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8.2 Viewing serial history by product</w:t>
      </w:r>
    </w:p>
    <w:p>
      <w:r>
        <w:t xml:space="preserve">Switch to the </w:t>
      </w:r>
      <w:r>
        <w:rPr>
          <w:b/>
        </w:rPr>
        <w:t>Product History</w:t>
      </w:r>
      <w:r>
        <w:t xml:space="preserve"> tab. Pick a product to see all of its serials across all statuses and locations.</w:t>
      </w:r>
    </w:p>
    <w:p>
      <w:pPr>
        <w:pStyle w:val="Heading3"/>
      </w:pPr>
      <w:r>
        <w:t>8.3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9.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9.1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9.2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10.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10.1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10.2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10.3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10.4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10.5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11.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11.1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11.2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11.3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11.4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11.5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11.6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11.7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11.8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11.9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11.10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12.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13.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p>
    <w:p>
      <w:r>
        <w:t>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p>
    <w:p>
      <w:r>
        <w:t>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3"/>
      </w:pPr>
      <w:r>
        <w:t>End-of-Day Cash Count</w:t>
      </w:r>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Opening a count (requires `CASH.COUNT.MANAGE`):</w:t>
      </w:r>
    </w:p>
    <w:p>
      <w:pPr>
        <w:pStyle w:val="ListNumbe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r>
        <w:t>Only one live count per till per day. If an OPEN or COUNTED count already exists for that till and date, opening another is rejected — finish or reconcile the first.</w:t>
      </w:r>
    </w:p>
    <w:p>
      <w:r>
        <w:rPr>
          <w:b/>
        </w:rPr>
        <w:t>Entering the count and saving:</w:t>
      </w:r>
    </w:p>
    <w:p>
      <w:pPr>
        <w:pStyle w:val="ListNumbe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pPr>
      <w:r>
        <w:t xml:space="preserve">Once the count is COUNTED, click </w:t>
      </w:r>
      <w:r>
        <w:rPr>
          <w:b/>
        </w:rPr>
        <w:t>Reconcile</w:t>
      </w:r>
      <w:r>
        <w:t>.</w:t>
      </w:r>
    </w:p>
    <w:p>
      <w:pPr>
        <w:pStyle w:val="ListNumbe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r>
        <w:t>The denomination ladder is fixed to the standard TZS notes and coins in this release — a configurable per-currency ladder is a planned follow-up.</w:t>
      </w:r>
    </w:p>
    <w:p>
      <w:r>
        <w:br/>
      </w:r>
    </w:p>
    <w:p>
      <w:pPr>
        <w:pStyle w:val="Heading3"/>
      </w:pPr>
      <w:r>
        <w:t>Petty Cash</w:t>
      </w:r>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Creating a fund (requires `PETTY_CASH.MANAGE`):</w:t>
      </w:r>
    </w:p>
    <w:p>
      <w:pPr>
        <w:pStyle w:val="ListNumbe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pPr>
      <w:r>
        <w:t xml:space="preserve">Optionally select a </w:t>
      </w:r>
      <w:r>
        <w:rPr>
          <w:b/>
        </w:rPr>
        <w:t>Custodian</w:t>
      </w:r>
      <w:r>
        <w:t xml:space="preserve"> (a user in the company) who is responsible for the float.</w:t>
      </w:r>
    </w:p>
    <w:p>
      <w:pPr>
        <w:pStyle w:val="ListNumber"/>
      </w:pPr>
      <w:r>
        <w:t xml:space="preserve">Enter the </w:t>
      </w:r>
      <w:r>
        <w:rPr>
          <w:b/>
        </w:rPr>
        <w:t>Float Amount</w:t>
      </w:r>
      <w:r>
        <w:t xml:space="preserve"> (the authorised ceiling) and the </w:t>
      </w:r>
      <w:r>
        <w:rPr>
          <w:b/>
        </w:rPr>
        <w:t>Currency</w:t>
      </w:r>
      <w:r>
        <w:t xml:space="preserve"> (defaults to the company base currency).</w:t>
      </w:r>
    </w:p>
    <w:p>
      <w:pPr>
        <w:pStyle w:val="ListNumber"/>
      </w:pPr>
      <w:r>
        <w:t xml:space="preserve">Click </w:t>
      </w:r>
      <w:r>
        <w:rPr>
          <w:b/>
        </w:rPr>
        <w:t>Create Fund</w:t>
      </w:r>
      <w:r>
        <w:t>. The fund opens with a balance of zero — record a replenishment to put the opening cash in.</w:t>
      </w:r>
    </w:p>
    <w:p>
      <w:r>
        <w:t>The company must already have at least one branch before a petty cash fund can be created.</w:t>
      </w:r>
    </w:p>
    <w:p>
      <w:r>
        <w:rPr>
          <w:b/>
        </w:rPr>
        <w:t>Recording a transaction (requires `PETTY_CASH.MANAGE`):</w:t>
      </w:r>
    </w:p>
    <w:p>
      <w:r>
        <w:t xml:space="preserve">On the fund detail screen, use the </w:t>
      </w:r>
      <w:r>
        <w:rPr>
          <w:b/>
        </w:rPr>
        <w:t>Record Transaction</w:t>
      </w:r>
      <w:r>
        <w:t xml:space="preserve"> panel:</w:t>
      </w:r>
    </w:p>
    <w:p>
      <w:pPr>
        <w:pStyle w:val="ListNumbe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pPr>
      <w:r>
        <w:t xml:space="preserve">Optionally add a </w:t>
      </w:r>
      <w:r>
        <w:rPr>
          <w:b/>
        </w:rPr>
        <w:t>Reference</w:t>
      </w:r>
      <w:r>
        <w:t xml:space="preserve"> and a </w:t>
      </w:r>
      <w:r>
        <w:rPr>
          <w:b/>
        </w:rPr>
        <w:t>Description</w:t>
      </w:r>
      <w:r>
        <w:t>.</w:t>
      </w:r>
    </w:p>
    <w:p>
      <w:pPr>
        <w:pStyle w:val="ListNumbe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r>
        <w:t xml:space="preserve">A transaction that would take the balance below zero is rejected. Transactions can be recorded only against an </w:t>
      </w:r>
      <w:r>
        <w:rPr>
          <w:b/>
        </w:rPr>
        <w:t>ACTIVE</w:t>
      </w:r>
      <w:r>
        <w:t xml:space="preserve"> fund.</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