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871F" w14:textId="77777777" w:rsidR="006D258F" w:rsidRPr="002F6723" w:rsidRDefault="006D258F" w:rsidP="002F6723">
      <w:pPr>
        <w:spacing w:line="360" w:lineRule="auto"/>
        <w:jc w:val="center"/>
        <w:rPr>
          <w:rFonts w:ascii="Calibri" w:hAnsi="Calibri" w:cs="Calibri"/>
          <w:sz w:val="36"/>
          <w:szCs w:val="36"/>
        </w:rPr>
      </w:pPr>
      <w:r w:rsidRPr="002F6723">
        <w:rPr>
          <w:rFonts w:ascii="Calibri" w:hAnsi="Calibri" w:cs="Calibri"/>
          <w:sz w:val="36"/>
          <w:szCs w:val="36"/>
        </w:rPr>
        <w:t>St. Clair College of Applied Arts and Technology</w:t>
      </w:r>
    </w:p>
    <w:p w14:paraId="35195221" w14:textId="595D9174" w:rsidR="006D258F" w:rsidRPr="002F6723" w:rsidRDefault="006D258F" w:rsidP="002F6723">
      <w:pPr>
        <w:spacing w:line="360" w:lineRule="auto"/>
        <w:jc w:val="center"/>
        <w:rPr>
          <w:rFonts w:ascii="Calibri" w:hAnsi="Calibri" w:cs="Calibri"/>
          <w:sz w:val="36"/>
          <w:szCs w:val="36"/>
        </w:rPr>
      </w:pPr>
      <w:r w:rsidRPr="002F6723">
        <w:rPr>
          <w:rFonts w:ascii="Calibri" w:hAnsi="Calibri" w:cs="Calibri"/>
          <w:sz w:val="36"/>
          <w:szCs w:val="36"/>
        </w:rPr>
        <w:t>Zekalman School of Business &amp; Information Technology</w:t>
      </w:r>
    </w:p>
    <w:p w14:paraId="277099BA" w14:textId="77777777" w:rsidR="006D258F" w:rsidRPr="002F6723" w:rsidRDefault="006D258F" w:rsidP="002F6723">
      <w:pPr>
        <w:spacing w:line="360" w:lineRule="auto"/>
        <w:jc w:val="center"/>
        <w:rPr>
          <w:rFonts w:ascii="Calibri" w:hAnsi="Calibri" w:cs="Calibri"/>
          <w:sz w:val="36"/>
          <w:szCs w:val="36"/>
        </w:rPr>
      </w:pPr>
      <w:r w:rsidRPr="002F6723">
        <w:rPr>
          <w:rFonts w:ascii="Calibri" w:hAnsi="Calibri" w:cs="Calibri"/>
          <w:sz w:val="36"/>
          <w:szCs w:val="36"/>
        </w:rPr>
        <w:t>Data Analytics for Business</w:t>
      </w:r>
    </w:p>
    <w:p w14:paraId="3F5136A4" w14:textId="77777777" w:rsidR="006D258F" w:rsidRPr="002F6723" w:rsidRDefault="006D258F" w:rsidP="002F6723">
      <w:pPr>
        <w:spacing w:line="360" w:lineRule="auto"/>
        <w:rPr>
          <w:rFonts w:ascii="Calibri" w:hAnsi="Calibri" w:cs="Calibri"/>
          <w:sz w:val="36"/>
          <w:szCs w:val="36"/>
        </w:rPr>
      </w:pPr>
    </w:p>
    <w:p w14:paraId="29AA1349" w14:textId="04952083" w:rsidR="006D258F" w:rsidRPr="002F6723" w:rsidRDefault="00FE786C" w:rsidP="002F6723">
      <w:pPr>
        <w:spacing w:line="360" w:lineRule="auto"/>
        <w:jc w:val="center"/>
        <w:rPr>
          <w:rFonts w:ascii="Calibri" w:hAnsi="Calibri" w:cs="Calibri"/>
          <w:b/>
          <w:bCs/>
          <w:sz w:val="36"/>
          <w:szCs w:val="36"/>
        </w:rPr>
      </w:pPr>
      <w:r w:rsidRPr="002F6723">
        <w:rPr>
          <w:rFonts w:ascii="Calibri" w:hAnsi="Calibri" w:cs="Calibri"/>
          <w:b/>
          <w:bCs/>
          <w:sz w:val="36"/>
          <w:szCs w:val="36"/>
        </w:rPr>
        <w:t xml:space="preserve">FINANCIAL ANALYSIS OF BUSINESS </w:t>
      </w:r>
      <w:r w:rsidR="00B757E5" w:rsidRPr="002F6723">
        <w:rPr>
          <w:rFonts w:ascii="Calibri" w:hAnsi="Calibri" w:cs="Calibri"/>
          <w:b/>
          <w:bCs/>
          <w:sz w:val="36"/>
          <w:szCs w:val="36"/>
        </w:rPr>
        <w:t>– DAB 401</w:t>
      </w:r>
    </w:p>
    <w:p w14:paraId="7CB2ABF6" w14:textId="77777777" w:rsidR="006D258F" w:rsidRPr="002F6723" w:rsidRDefault="006D258F" w:rsidP="002F6723">
      <w:pPr>
        <w:spacing w:line="360" w:lineRule="auto"/>
        <w:jc w:val="center"/>
        <w:rPr>
          <w:rFonts w:ascii="Calibri" w:hAnsi="Calibri" w:cs="Calibri"/>
          <w:b/>
          <w:bCs/>
          <w:sz w:val="36"/>
          <w:szCs w:val="36"/>
        </w:rPr>
      </w:pPr>
    </w:p>
    <w:p w14:paraId="6D7BF167" w14:textId="7556A1FC" w:rsidR="006D258F" w:rsidRPr="002F6723" w:rsidRDefault="006D258F" w:rsidP="002F6723">
      <w:pPr>
        <w:spacing w:line="360" w:lineRule="auto"/>
        <w:jc w:val="center"/>
        <w:rPr>
          <w:rFonts w:ascii="Calibri" w:hAnsi="Calibri" w:cs="Calibri"/>
          <w:b/>
          <w:bCs/>
          <w:sz w:val="36"/>
          <w:szCs w:val="36"/>
        </w:rPr>
      </w:pPr>
      <w:r w:rsidRPr="002F6723">
        <w:rPr>
          <w:rFonts w:ascii="Calibri" w:hAnsi="Calibri" w:cs="Calibri"/>
          <w:b/>
          <w:bCs/>
          <w:sz w:val="36"/>
          <w:szCs w:val="36"/>
        </w:rPr>
        <w:t>Final Report</w:t>
      </w:r>
    </w:p>
    <w:p w14:paraId="46E8F221" w14:textId="77777777" w:rsidR="006D258F" w:rsidRPr="002F6723" w:rsidRDefault="006D258F" w:rsidP="002F6723">
      <w:pPr>
        <w:spacing w:line="360" w:lineRule="auto"/>
        <w:jc w:val="center"/>
        <w:rPr>
          <w:rFonts w:ascii="Calibri" w:hAnsi="Calibri" w:cs="Calibri"/>
          <w:sz w:val="36"/>
          <w:szCs w:val="36"/>
        </w:rPr>
      </w:pPr>
      <w:bookmarkStart w:id="0" w:name="_Hlk199836166"/>
    </w:p>
    <w:p w14:paraId="719DC39D" w14:textId="169E75D7" w:rsidR="006D258F" w:rsidRPr="002F6723" w:rsidRDefault="006D258F" w:rsidP="002F6723">
      <w:pPr>
        <w:spacing w:line="360" w:lineRule="auto"/>
        <w:jc w:val="center"/>
        <w:rPr>
          <w:rFonts w:ascii="Calibri" w:hAnsi="Calibri" w:cs="Calibri"/>
          <w:b/>
          <w:bCs/>
          <w:sz w:val="36"/>
          <w:szCs w:val="36"/>
        </w:rPr>
      </w:pPr>
      <w:r w:rsidRPr="002F6723">
        <w:rPr>
          <w:rFonts w:ascii="Calibri" w:hAnsi="Calibri" w:cs="Calibri"/>
          <w:sz w:val="36"/>
          <w:szCs w:val="36"/>
        </w:rPr>
        <w:t>Financial Analysis of JPMorgan Chase</w:t>
      </w:r>
      <w:bookmarkEnd w:id="0"/>
    </w:p>
    <w:p w14:paraId="4C663FE4" w14:textId="77777777" w:rsidR="006D258F" w:rsidRPr="002F6723" w:rsidRDefault="006D258F" w:rsidP="002F6723">
      <w:pPr>
        <w:spacing w:line="360" w:lineRule="auto"/>
        <w:jc w:val="center"/>
        <w:rPr>
          <w:rFonts w:ascii="Calibri" w:hAnsi="Calibri" w:cs="Calibri"/>
          <w:b/>
          <w:bCs/>
        </w:rPr>
      </w:pPr>
    </w:p>
    <w:p w14:paraId="09ADF05D" w14:textId="2B6C6EF6" w:rsidR="006D258F" w:rsidRPr="002F6723" w:rsidRDefault="006D258F" w:rsidP="002F6723">
      <w:pPr>
        <w:spacing w:line="360" w:lineRule="auto"/>
        <w:jc w:val="center"/>
        <w:rPr>
          <w:rFonts w:ascii="Calibri" w:hAnsi="Calibri" w:cs="Calibri"/>
          <w:b/>
          <w:bCs/>
          <w:sz w:val="36"/>
          <w:szCs w:val="36"/>
        </w:rPr>
      </w:pPr>
      <w:r w:rsidRPr="002F6723">
        <w:rPr>
          <w:rFonts w:ascii="Calibri" w:hAnsi="Calibri" w:cs="Calibri"/>
          <w:b/>
          <w:bCs/>
          <w:sz w:val="36"/>
          <w:szCs w:val="36"/>
        </w:rPr>
        <w:t xml:space="preserve">Group </w:t>
      </w:r>
      <w:r w:rsidR="00A25039" w:rsidRPr="002F6723">
        <w:rPr>
          <w:rFonts w:ascii="Calibri" w:hAnsi="Calibri" w:cs="Calibri"/>
          <w:b/>
          <w:bCs/>
          <w:sz w:val="36"/>
          <w:szCs w:val="36"/>
        </w:rPr>
        <w:t>11</w:t>
      </w:r>
    </w:p>
    <w:p w14:paraId="40DA63F5" w14:textId="77777777" w:rsidR="006D258F" w:rsidRPr="002F6723" w:rsidRDefault="006D258F" w:rsidP="002F6723">
      <w:pPr>
        <w:spacing w:line="360" w:lineRule="auto"/>
        <w:rPr>
          <w:rFonts w:ascii="Calibri" w:hAnsi="Calibri" w:cs="Calibri"/>
          <w:b/>
          <w:bCs/>
        </w:rPr>
      </w:pPr>
    </w:p>
    <w:p w14:paraId="3369D3E3" w14:textId="77777777" w:rsidR="0034709D" w:rsidRPr="002F6723" w:rsidRDefault="0034709D" w:rsidP="002F6723">
      <w:pPr>
        <w:spacing w:line="360" w:lineRule="auto"/>
        <w:jc w:val="center"/>
        <w:rPr>
          <w:rFonts w:ascii="Calibri" w:hAnsi="Calibri" w:cs="Calibri"/>
          <w:b/>
          <w:bCs/>
          <w:sz w:val="32"/>
          <w:szCs w:val="32"/>
          <w:lang w:val="en-IN"/>
        </w:rPr>
      </w:pPr>
      <w:r w:rsidRPr="002F6723">
        <w:rPr>
          <w:rFonts w:ascii="Calibri" w:hAnsi="Calibri" w:cs="Calibri"/>
          <w:b/>
          <w:bCs/>
          <w:sz w:val="32"/>
          <w:szCs w:val="32"/>
          <w:lang w:val="en-IN"/>
        </w:rPr>
        <w:t>Prince Girdharbhai Godhani</w:t>
      </w:r>
    </w:p>
    <w:p w14:paraId="7DF2866D" w14:textId="77777777" w:rsidR="0034709D" w:rsidRPr="002F6723" w:rsidRDefault="0034709D" w:rsidP="002F6723">
      <w:pPr>
        <w:spacing w:line="360" w:lineRule="auto"/>
        <w:jc w:val="center"/>
        <w:rPr>
          <w:rFonts w:ascii="Calibri" w:hAnsi="Calibri" w:cs="Calibri"/>
          <w:b/>
          <w:bCs/>
          <w:sz w:val="32"/>
          <w:szCs w:val="32"/>
          <w:lang w:val="en-IN"/>
        </w:rPr>
      </w:pPr>
      <w:r w:rsidRPr="002F6723">
        <w:rPr>
          <w:rFonts w:ascii="Calibri" w:hAnsi="Calibri" w:cs="Calibri"/>
          <w:b/>
          <w:bCs/>
          <w:sz w:val="32"/>
          <w:szCs w:val="32"/>
          <w:lang w:val="en-IN"/>
        </w:rPr>
        <w:t>Vivek Jagannathbhai Batra</w:t>
      </w:r>
    </w:p>
    <w:p w14:paraId="5C1BF111" w14:textId="77777777" w:rsidR="0034709D" w:rsidRPr="002F6723" w:rsidRDefault="0034709D" w:rsidP="002F6723">
      <w:pPr>
        <w:spacing w:line="360" w:lineRule="auto"/>
        <w:jc w:val="center"/>
        <w:rPr>
          <w:rFonts w:ascii="Calibri" w:hAnsi="Calibri" w:cs="Calibri"/>
          <w:b/>
          <w:bCs/>
          <w:sz w:val="32"/>
          <w:szCs w:val="32"/>
          <w:lang w:val="en-IN"/>
        </w:rPr>
      </w:pPr>
      <w:r w:rsidRPr="002F6723">
        <w:rPr>
          <w:rFonts w:ascii="Calibri" w:hAnsi="Calibri" w:cs="Calibri"/>
          <w:b/>
          <w:bCs/>
          <w:sz w:val="32"/>
          <w:szCs w:val="32"/>
          <w:lang w:val="en-IN"/>
        </w:rPr>
        <w:t>Aman Sirajbhai Makhani</w:t>
      </w:r>
    </w:p>
    <w:p w14:paraId="36FC018D" w14:textId="77777777" w:rsidR="0034709D" w:rsidRPr="002F6723" w:rsidRDefault="0034709D" w:rsidP="002F6723">
      <w:pPr>
        <w:spacing w:line="360" w:lineRule="auto"/>
        <w:jc w:val="center"/>
        <w:rPr>
          <w:rFonts w:ascii="Calibri" w:hAnsi="Calibri" w:cs="Calibri"/>
          <w:b/>
          <w:bCs/>
          <w:sz w:val="32"/>
          <w:szCs w:val="32"/>
          <w:lang w:val="en-IN"/>
        </w:rPr>
      </w:pPr>
      <w:r w:rsidRPr="002F6723">
        <w:rPr>
          <w:rFonts w:ascii="Calibri" w:hAnsi="Calibri" w:cs="Calibri"/>
          <w:b/>
          <w:bCs/>
          <w:sz w:val="32"/>
          <w:szCs w:val="32"/>
          <w:lang w:val="en-IN"/>
        </w:rPr>
        <w:t>Abhinav Sambangi</w:t>
      </w:r>
    </w:p>
    <w:p w14:paraId="7CD45908" w14:textId="77777777" w:rsidR="0034709D" w:rsidRPr="002F6723" w:rsidRDefault="0034709D" w:rsidP="002F6723">
      <w:pPr>
        <w:spacing w:line="360" w:lineRule="auto"/>
        <w:jc w:val="center"/>
        <w:rPr>
          <w:rFonts w:ascii="Calibri" w:hAnsi="Calibri" w:cs="Calibri"/>
          <w:b/>
          <w:bCs/>
          <w:sz w:val="32"/>
          <w:szCs w:val="32"/>
          <w:lang w:val="en-IN"/>
        </w:rPr>
      </w:pPr>
      <w:r w:rsidRPr="002F6723">
        <w:rPr>
          <w:rFonts w:ascii="Calibri" w:hAnsi="Calibri" w:cs="Calibri"/>
          <w:b/>
          <w:bCs/>
          <w:sz w:val="32"/>
          <w:szCs w:val="32"/>
          <w:lang w:val="en-IN"/>
        </w:rPr>
        <w:t>Nidhi Vipulbhai Gelani</w:t>
      </w:r>
    </w:p>
    <w:p w14:paraId="129B912B" w14:textId="77777777" w:rsidR="00512832" w:rsidRDefault="00512832" w:rsidP="002F6723">
      <w:pPr>
        <w:spacing w:line="360" w:lineRule="auto"/>
        <w:rPr>
          <w:rFonts w:ascii="Calibri" w:hAnsi="Calibri" w:cs="Calibri"/>
          <w:b/>
          <w:bCs/>
        </w:rPr>
      </w:pPr>
    </w:p>
    <w:p w14:paraId="15F91B86" w14:textId="77777777" w:rsidR="002F6723" w:rsidRPr="002F6723" w:rsidRDefault="002F6723" w:rsidP="002F6723">
      <w:pPr>
        <w:spacing w:line="360" w:lineRule="auto"/>
        <w:rPr>
          <w:rFonts w:ascii="Calibri" w:hAnsi="Calibri" w:cs="Calibri"/>
          <w:b/>
          <w:bCs/>
        </w:rPr>
      </w:pPr>
    </w:p>
    <w:p w14:paraId="4C6D7786" w14:textId="751CD4CB" w:rsidR="000C4960" w:rsidRPr="002F6723" w:rsidRDefault="000C4960" w:rsidP="002F6723">
      <w:pPr>
        <w:spacing w:line="360" w:lineRule="auto"/>
        <w:rPr>
          <w:rFonts w:ascii="Calibri" w:hAnsi="Calibri" w:cs="Calibri"/>
          <w:b/>
          <w:bCs/>
          <w:sz w:val="28"/>
          <w:szCs w:val="28"/>
        </w:rPr>
      </w:pPr>
      <w:r w:rsidRPr="002F6723">
        <w:rPr>
          <w:rFonts w:ascii="Calibri" w:hAnsi="Calibri" w:cs="Calibri"/>
          <w:b/>
          <w:bCs/>
          <w:sz w:val="28"/>
          <w:szCs w:val="28"/>
        </w:rPr>
        <w:t>Introduction</w:t>
      </w:r>
    </w:p>
    <w:p w14:paraId="1E8F35BC" w14:textId="293429CB" w:rsidR="000C4960" w:rsidRPr="002F6723" w:rsidRDefault="000C4960" w:rsidP="002F6723">
      <w:pPr>
        <w:spacing w:line="360" w:lineRule="auto"/>
        <w:jc w:val="both"/>
        <w:rPr>
          <w:rFonts w:ascii="Calibri" w:hAnsi="Calibri" w:cs="Calibri"/>
        </w:rPr>
      </w:pPr>
      <w:r w:rsidRPr="002F6723">
        <w:rPr>
          <w:rFonts w:ascii="Calibri" w:hAnsi="Calibri" w:cs="Calibri"/>
        </w:rPr>
        <w:t xml:space="preserve">The purpose of this report is to conduct a comprehensive financial analysis of </w:t>
      </w:r>
      <w:r w:rsidR="002F6723" w:rsidRPr="002F6723">
        <w:rPr>
          <w:rFonts w:ascii="Calibri" w:hAnsi="Calibri" w:cs="Calibri"/>
        </w:rPr>
        <w:t>a</w:t>
      </w:r>
      <w:r w:rsidRPr="002F6723">
        <w:rPr>
          <w:rFonts w:ascii="Calibri" w:hAnsi="Calibri" w:cs="Calibri"/>
        </w:rPr>
        <w:t xml:space="preserve"> major financial institution: </w:t>
      </w:r>
      <w:r w:rsidRPr="002F6723">
        <w:rPr>
          <w:rFonts w:ascii="Calibri" w:hAnsi="Calibri" w:cs="Calibri"/>
          <w:b/>
          <w:bCs/>
        </w:rPr>
        <w:t>JPMorgan Chase &amp; Co.</w:t>
      </w:r>
      <w:r w:rsidRPr="002F6723">
        <w:rPr>
          <w:rFonts w:ascii="Calibri" w:hAnsi="Calibri" w:cs="Calibri"/>
        </w:rPr>
        <w:t xml:space="preserve"> As part of the DAB401 Financial Analysis course, this project provides an opportunity to apply key financial concepts and tools, including ratio analysis, stock valuation, technical forecasting, and Monte Carlo simulation. </w:t>
      </w:r>
      <w:r w:rsidR="002F6723" w:rsidRPr="002F6723">
        <w:rPr>
          <w:rFonts w:ascii="Calibri" w:hAnsi="Calibri" w:cs="Calibri"/>
        </w:rPr>
        <w:t xml:space="preserve">The company </w:t>
      </w:r>
      <w:r w:rsidRPr="002F6723">
        <w:rPr>
          <w:rFonts w:ascii="Calibri" w:hAnsi="Calibri" w:cs="Calibri"/>
        </w:rPr>
        <w:t>lead</w:t>
      </w:r>
      <w:r w:rsidR="002F6723" w:rsidRPr="002F6723">
        <w:rPr>
          <w:rFonts w:ascii="Calibri" w:hAnsi="Calibri" w:cs="Calibri"/>
        </w:rPr>
        <w:t>s</w:t>
      </w:r>
      <w:r w:rsidRPr="002F6723">
        <w:rPr>
          <w:rFonts w:ascii="Calibri" w:hAnsi="Calibri" w:cs="Calibri"/>
        </w:rPr>
        <w:t xml:space="preserve"> in the global financial services industry and </w:t>
      </w:r>
      <w:r w:rsidR="000D01B7" w:rsidRPr="002F6723">
        <w:rPr>
          <w:rFonts w:ascii="Calibri" w:hAnsi="Calibri" w:cs="Calibri"/>
        </w:rPr>
        <w:t>plays</w:t>
      </w:r>
      <w:r w:rsidRPr="002F6723">
        <w:rPr>
          <w:rFonts w:ascii="Calibri" w:hAnsi="Calibri" w:cs="Calibri"/>
        </w:rPr>
        <w:t xml:space="preserve"> a crucial role in investment banking, asset management, and consumer banking.</w:t>
      </w:r>
    </w:p>
    <w:p w14:paraId="770D2FE8" w14:textId="4F286B9D" w:rsidR="000C4960" w:rsidRPr="002F6723" w:rsidRDefault="000C4960" w:rsidP="002F6723">
      <w:pPr>
        <w:spacing w:line="360" w:lineRule="auto"/>
        <w:jc w:val="both"/>
        <w:rPr>
          <w:rFonts w:ascii="Calibri" w:hAnsi="Calibri" w:cs="Calibri"/>
        </w:rPr>
      </w:pPr>
      <w:r w:rsidRPr="002F6723">
        <w:rPr>
          <w:rFonts w:ascii="Calibri" w:hAnsi="Calibri" w:cs="Calibri"/>
        </w:rPr>
        <w:t xml:space="preserve">This report integrates real-world financial data with academic theory to assess the performance, stability, and investment potential of </w:t>
      </w:r>
      <w:r w:rsidR="002F6723" w:rsidRPr="002F6723">
        <w:rPr>
          <w:rFonts w:ascii="Calibri" w:hAnsi="Calibri" w:cs="Calibri"/>
        </w:rPr>
        <w:t>the</w:t>
      </w:r>
      <w:r w:rsidRPr="002F6723">
        <w:rPr>
          <w:rFonts w:ascii="Calibri" w:hAnsi="Calibri" w:cs="Calibri"/>
        </w:rPr>
        <w:t xml:space="preserve"> firm. Using historical financial statements, stock market data, and analytical models such as the Capital Asset Pricing Model (CAPM), the report aims to evaluate the overall financial health and market value of </w:t>
      </w:r>
      <w:r w:rsidR="002F6723" w:rsidRPr="002F6723">
        <w:rPr>
          <w:rFonts w:ascii="Calibri" w:hAnsi="Calibri" w:cs="Calibri"/>
        </w:rPr>
        <w:t>the</w:t>
      </w:r>
      <w:r w:rsidRPr="002F6723">
        <w:rPr>
          <w:rFonts w:ascii="Calibri" w:hAnsi="Calibri" w:cs="Calibri"/>
        </w:rPr>
        <w:t xml:space="preserve"> company. Visual tools such as stock trend graphs, Monte Carlo simulations, and time-series forecasting are used to support the analysis and provide data-driven recommendations.</w:t>
      </w:r>
    </w:p>
    <w:p w14:paraId="435E3243" w14:textId="77777777" w:rsidR="00C66EBE" w:rsidRPr="002F6723" w:rsidRDefault="00C66EBE" w:rsidP="002F6723">
      <w:pPr>
        <w:spacing w:line="360" w:lineRule="auto"/>
        <w:rPr>
          <w:rFonts w:ascii="Calibri" w:hAnsi="Calibri" w:cs="Calibri"/>
        </w:rPr>
      </w:pPr>
    </w:p>
    <w:p w14:paraId="4BFE1501" w14:textId="77777777" w:rsidR="000C4960" w:rsidRPr="002F6723" w:rsidRDefault="000C4960" w:rsidP="002F6723">
      <w:pPr>
        <w:spacing w:line="360" w:lineRule="auto"/>
        <w:rPr>
          <w:rFonts w:ascii="Calibri" w:hAnsi="Calibri" w:cs="Calibri"/>
          <w:b/>
          <w:bCs/>
          <w:sz w:val="28"/>
          <w:szCs w:val="28"/>
        </w:rPr>
      </w:pPr>
      <w:r w:rsidRPr="002F6723">
        <w:rPr>
          <w:rFonts w:ascii="Calibri" w:hAnsi="Calibri" w:cs="Calibri"/>
          <w:b/>
          <w:bCs/>
          <w:sz w:val="28"/>
          <w:szCs w:val="28"/>
        </w:rPr>
        <w:t>Objectives</w:t>
      </w:r>
    </w:p>
    <w:p w14:paraId="6D78A326" w14:textId="77777777" w:rsidR="000C4960" w:rsidRPr="002F6723" w:rsidRDefault="000C4960" w:rsidP="002F6723">
      <w:pPr>
        <w:spacing w:line="360" w:lineRule="auto"/>
        <w:jc w:val="both"/>
        <w:rPr>
          <w:rFonts w:ascii="Calibri" w:hAnsi="Calibri" w:cs="Calibri"/>
        </w:rPr>
      </w:pPr>
      <w:r w:rsidRPr="002F6723">
        <w:rPr>
          <w:rFonts w:ascii="Calibri" w:hAnsi="Calibri" w:cs="Calibri"/>
        </w:rPr>
        <w:t>The key objectives of this financial analysis project are:</w:t>
      </w:r>
    </w:p>
    <w:p w14:paraId="4817D633" w14:textId="440A901D" w:rsidR="000C4960" w:rsidRPr="002F6723" w:rsidRDefault="000C4960" w:rsidP="002F6723">
      <w:pPr>
        <w:numPr>
          <w:ilvl w:val="0"/>
          <w:numId w:val="1"/>
        </w:numPr>
        <w:spacing w:line="360" w:lineRule="auto"/>
        <w:jc w:val="both"/>
        <w:rPr>
          <w:rFonts w:ascii="Calibri" w:hAnsi="Calibri" w:cs="Calibri"/>
        </w:rPr>
      </w:pPr>
      <w:r w:rsidRPr="002F6723">
        <w:rPr>
          <w:rFonts w:ascii="Calibri" w:hAnsi="Calibri" w:cs="Calibri"/>
          <w:b/>
          <w:bCs/>
        </w:rPr>
        <w:t>To perform a comparative business and industry analysis</w:t>
      </w:r>
      <w:r w:rsidRPr="002F6723">
        <w:rPr>
          <w:rFonts w:ascii="Calibri" w:hAnsi="Calibri" w:cs="Calibri"/>
        </w:rPr>
        <w:t xml:space="preserve"> </w:t>
      </w:r>
      <w:r w:rsidR="009F0FEC" w:rsidRPr="002F6723">
        <w:rPr>
          <w:rFonts w:ascii="Calibri" w:hAnsi="Calibri" w:cs="Calibri"/>
        </w:rPr>
        <w:t xml:space="preserve">of </w:t>
      </w:r>
      <w:r w:rsidRPr="002F6723">
        <w:rPr>
          <w:rFonts w:ascii="Calibri" w:hAnsi="Calibri" w:cs="Calibri"/>
        </w:rPr>
        <w:t>JPMorgan Chase, including their history, current operations, and competitive environment.</w:t>
      </w:r>
    </w:p>
    <w:p w14:paraId="558143DC" w14:textId="705FE678" w:rsidR="000C4960" w:rsidRPr="002F6723" w:rsidRDefault="000C4960" w:rsidP="002F6723">
      <w:pPr>
        <w:numPr>
          <w:ilvl w:val="0"/>
          <w:numId w:val="1"/>
        </w:numPr>
        <w:spacing w:line="360" w:lineRule="auto"/>
        <w:jc w:val="both"/>
        <w:rPr>
          <w:rFonts w:ascii="Calibri" w:hAnsi="Calibri" w:cs="Calibri"/>
        </w:rPr>
      </w:pPr>
      <w:r w:rsidRPr="002F6723">
        <w:rPr>
          <w:rFonts w:ascii="Calibri" w:hAnsi="Calibri" w:cs="Calibri"/>
          <w:b/>
          <w:bCs/>
        </w:rPr>
        <w:t>To evaluate the financial performance</w:t>
      </w:r>
      <w:r w:rsidRPr="002F6723">
        <w:rPr>
          <w:rFonts w:ascii="Calibri" w:hAnsi="Calibri" w:cs="Calibri"/>
        </w:rPr>
        <w:t xml:space="preserve"> of </w:t>
      </w:r>
      <w:r w:rsidR="002F6723" w:rsidRPr="002F6723">
        <w:rPr>
          <w:rFonts w:ascii="Calibri" w:hAnsi="Calibri" w:cs="Calibri"/>
        </w:rPr>
        <w:t>the</w:t>
      </w:r>
      <w:r w:rsidRPr="002F6723">
        <w:rPr>
          <w:rFonts w:ascii="Calibri" w:hAnsi="Calibri" w:cs="Calibri"/>
        </w:rPr>
        <w:t xml:space="preserve"> firm by calculating and analyzing a comprehensive set of financial ratios, including profitability, liquidity, solvency, and market-based ratios.</w:t>
      </w:r>
    </w:p>
    <w:p w14:paraId="5B1526E3" w14:textId="77777777" w:rsidR="000C4960" w:rsidRPr="002F6723" w:rsidRDefault="000C4960" w:rsidP="002F6723">
      <w:pPr>
        <w:numPr>
          <w:ilvl w:val="0"/>
          <w:numId w:val="1"/>
        </w:numPr>
        <w:spacing w:line="360" w:lineRule="auto"/>
        <w:jc w:val="both"/>
        <w:rPr>
          <w:rFonts w:ascii="Calibri" w:hAnsi="Calibri" w:cs="Calibri"/>
        </w:rPr>
      </w:pPr>
      <w:r w:rsidRPr="002F6723">
        <w:rPr>
          <w:rFonts w:ascii="Calibri" w:hAnsi="Calibri" w:cs="Calibri"/>
          <w:b/>
          <w:bCs/>
        </w:rPr>
        <w:t>To calculate the expected return on equity using the CAPM model</w:t>
      </w:r>
      <w:r w:rsidRPr="002F6723">
        <w:rPr>
          <w:rFonts w:ascii="Calibri" w:hAnsi="Calibri" w:cs="Calibri"/>
        </w:rPr>
        <w:t>, determine the Beta value through regression, and analyze its implications on investment risk.</w:t>
      </w:r>
    </w:p>
    <w:p w14:paraId="5581B5BE" w14:textId="77777777" w:rsidR="000C4960" w:rsidRPr="002F6723" w:rsidRDefault="000C4960" w:rsidP="002F6723">
      <w:pPr>
        <w:numPr>
          <w:ilvl w:val="0"/>
          <w:numId w:val="1"/>
        </w:numPr>
        <w:spacing w:line="360" w:lineRule="auto"/>
        <w:jc w:val="both"/>
        <w:rPr>
          <w:rFonts w:ascii="Calibri" w:hAnsi="Calibri" w:cs="Calibri"/>
        </w:rPr>
      </w:pPr>
      <w:r w:rsidRPr="002F6723">
        <w:rPr>
          <w:rFonts w:ascii="Calibri" w:hAnsi="Calibri" w:cs="Calibri"/>
          <w:b/>
          <w:bCs/>
        </w:rPr>
        <w:lastRenderedPageBreak/>
        <w:t>To forecast stock price trends</w:t>
      </w:r>
      <w:r w:rsidRPr="002F6723">
        <w:rPr>
          <w:rFonts w:ascii="Calibri" w:hAnsi="Calibri" w:cs="Calibri"/>
        </w:rPr>
        <w:t xml:space="preserve"> using technical tools like Monte Carlo Simulation and Facebook Prophet for short-term projections.</w:t>
      </w:r>
    </w:p>
    <w:p w14:paraId="6C262DB6" w14:textId="7DA3A63A" w:rsidR="000C4960" w:rsidRPr="002F6723" w:rsidRDefault="000C4960" w:rsidP="002F6723">
      <w:pPr>
        <w:numPr>
          <w:ilvl w:val="0"/>
          <w:numId w:val="1"/>
        </w:numPr>
        <w:spacing w:line="360" w:lineRule="auto"/>
        <w:jc w:val="both"/>
        <w:rPr>
          <w:rFonts w:ascii="Calibri" w:hAnsi="Calibri" w:cs="Calibri"/>
        </w:rPr>
      </w:pPr>
      <w:r w:rsidRPr="002F6723">
        <w:rPr>
          <w:rFonts w:ascii="Calibri" w:hAnsi="Calibri" w:cs="Calibri"/>
          <w:b/>
          <w:bCs/>
        </w:rPr>
        <w:t>To provide investment recommendations</w:t>
      </w:r>
      <w:r w:rsidRPr="002F6723">
        <w:rPr>
          <w:rFonts w:ascii="Calibri" w:hAnsi="Calibri" w:cs="Calibri"/>
        </w:rPr>
        <w:t xml:space="preserve"> based on both fundamental and technical analysis, helping investors determine whether to buy, hold, or sell stock.</w:t>
      </w:r>
    </w:p>
    <w:p w14:paraId="26961A7B" w14:textId="77777777" w:rsidR="002F6723" w:rsidRDefault="002F6723" w:rsidP="002F6723">
      <w:pPr>
        <w:spacing w:line="360" w:lineRule="auto"/>
        <w:jc w:val="both"/>
        <w:rPr>
          <w:rFonts w:ascii="Calibri" w:hAnsi="Calibri" w:cs="Calibri"/>
        </w:rPr>
      </w:pPr>
    </w:p>
    <w:p w14:paraId="24D7ACB9" w14:textId="77777777" w:rsidR="002F6723" w:rsidRPr="002F6723" w:rsidRDefault="002F6723" w:rsidP="002F6723">
      <w:pPr>
        <w:spacing w:line="360" w:lineRule="auto"/>
        <w:jc w:val="both"/>
        <w:rPr>
          <w:rFonts w:ascii="Calibri" w:hAnsi="Calibri" w:cs="Calibri"/>
        </w:rPr>
      </w:pPr>
    </w:p>
    <w:p w14:paraId="1A353B25" w14:textId="77777777" w:rsidR="002F6723" w:rsidRPr="002F6723" w:rsidRDefault="002F6723" w:rsidP="002F6723">
      <w:pPr>
        <w:spacing w:line="360" w:lineRule="auto"/>
        <w:jc w:val="both"/>
        <w:rPr>
          <w:rFonts w:ascii="Calibri" w:hAnsi="Calibri" w:cs="Calibri"/>
        </w:rPr>
      </w:pPr>
    </w:p>
    <w:p w14:paraId="3C3C1AE2" w14:textId="385C417B" w:rsidR="000C4960" w:rsidRPr="002F6723" w:rsidRDefault="000C4960" w:rsidP="002F6723">
      <w:pPr>
        <w:spacing w:line="360" w:lineRule="auto"/>
        <w:rPr>
          <w:rFonts w:ascii="Calibri" w:hAnsi="Calibri" w:cs="Calibri"/>
          <w:b/>
          <w:bCs/>
          <w:sz w:val="28"/>
          <w:szCs w:val="28"/>
        </w:rPr>
      </w:pPr>
      <w:r w:rsidRPr="002F6723">
        <w:rPr>
          <w:rFonts w:ascii="Calibri" w:hAnsi="Calibri" w:cs="Calibri"/>
          <w:b/>
          <w:bCs/>
          <w:sz w:val="28"/>
          <w:szCs w:val="28"/>
        </w:rPr>
        <w:t>Dataset:</w:t>
      </w:r>
    </w:p>
    <w:p w14:paraId="339E5A1E" w14:textId="072AA980" w:rsidR="0034709D" w:rsidRPr="002F6723" w:rsidRDefault="000C4960" w:rsidP="002F6723">
      <w:pPr>
        <w:spacing w:line="360" w:lineRule="auto"/>
        <w:ind w:left="720"/>
        <w:jc w:val="both"/>
        <w:rPr>
          <w:rFonts w:ascii="Calibri" w:hAnsi="Calibri" w:cs="Calibri"/>
        </w:rPr>
      </w:pPr>
      <w:r w:rsidRPr="002F6723">
        <w:rPr>
          <w:rFonts w:ascii="Calibri" w:hAnsi="Calibri" w:cs="Calibri"/>
        </w:rPr>
        <w:t xml:space="preserve">The financial dataset used in this project was sourced from </w:t>
      </w:r>
      <w:r w:rsidR="009F0FEC" w:rsidRPr="002F6723">
        <w:rPr>
          <w:rFonts w:ascii="Calibri" w:hAnsi="Calibri" w:cs="Calibri"/>
          <w:b/>
          <w:bCs/>
        </w:rPr>
        <w:t xml:space="preserve">NASDAQ </w:t>
      </w:r>
      <w:r w:rsidRPr="002F6723">
        <w:rPr>
          <w:rFonts w:ascii="Calibri" w:hAnsi="Calibri" w:cs="Calibri"/>
        </w:rPr>
        <w:t xml:space="preserve">for convenience and accessibility, JPMorgan Chase </w:t>
      </w:r>
      <w:r w:rsidR="002F6723" w:rsidRPr="002F6723">
        <w:rPr>
          <w:rFonts w:ascii="Calibri" w:hAnsi="Calibri" w:cs="Calibri"/>
        </w:rPr>
        <w:t>is a</w:t>
      </w:r>
      <w:r w:rsidRPr="002F6723">
        <w:rPr>
          <w:rFonts w:ascii="Calibri" w:hAnsi="Calibri" w:cs="Calibri"/>
        </w:rPr>
        <w:t xml:space="preserve"> </w:t>
      </w:r>
      <w:r w:rsidRPr="002F6723">
        <w:rPr>
          <w:rFonts w:ascii="Calibri" w:hAnsi="Calibri" w:cs="Calibri"/>
          <w:b/>
          <w:bCs/>
        </w:rPr>
        <w:t>publicly traded compan</w:t>
      </w:r>
      <w:r w:rsidR="009F0FEC" w:rsidRPr="002F6723">
        <w:rPr>
          <w:rFonts w:ascii="Calibri" w:hAnsi="Calibri" w:cs="Calibri"/>
          <w:b/>
          <w:bCs/>
        </w:rPr>
        <w:t>y</w:t>
      </w:r>
      <w:r w:rsidRPr="002F6723">
        <w:rPr>
          <w:rFonts w:ascii="Calibri" w:hAnsi="Calibri" w:cs="Calibri"/>
          <w:b/>
          <w:bCs/>
        </w:rPr>
        <w:t xml:space="preserve"> listed on </w:t>
      </w:r>
      <w:r w:rsidR="009F0FEC" w:rsidRPr="002F6723">
        <w:rPr>
          <w:rFonts w:ascii="Calibri" w:hAnsi="Calibri" w:cs="Calibri"/>
          <w:b/>
          <w:bCs/>
        </w:rPr>
        <w:t>NASDAQ</w:t>
      </w:r>
      <w:r w:rsidRPr="002F6723">
        <w:rPr>
          <w:rFonts w:ascii="Calibri" w:hAnsi="Calibri" w:cs="Calibri"/>
          <w:b/>
          <w:bCs/>
        </w:rPr>
        <w:t xml:space="preserve"> and registered with Yahoo Finance</w:t>
      </w:r>
      <w:r w:rsidRPr="002F6723">
        <w:rPr>
          <w:rFonts w:ascii="Calibri" w:hAnsi="Calibri" w:cs="Calibri"/>
        </w:rPr>
        <w:t>. Their financial performance and stock data are widely tracked by investors, analysts, and researchers worldwide. This provides a reliable foundation for analysis, enabling us to validate the dataset with publicly available financial data.</w:t>
      </w:r>
    </w:p>
    <w:p w14:paraId="67D831D6" w14:textId="77777777" w:rsidR="002F6723" w:rsidRPr="002F6723" w:rsidRDefault="002F6723" w:rsidP="002F6723">
      <w:pPr>
        <w:spacing w:line="360" w:lineRule="auto"/>
        <w:ind w:left="720"/>
        <w:jc w:val="both"/>
        <w:rPr>
          <w:rFonts w:ascii="Calibri" w:hAnsi="Calibri" w:cs="Calibri"/>
        </w:rPr>
      </w:pPr>
    </w:p>
    <w:p w14:paraId="451151AA" w14:textId="7D25F113" w:rsidR="000B78DC" w:rsidRPr="002F6723" w:rsidRDefault="000C4960" w:rsidP="002F6723">
      <w:pPr>
        <w:spacing w:line="360" w:lineRule="auto"/>
        <w:rPr>
          <w:rFonts w:ascii="Calibri" w:hAnsi="Calibri" w:cs="Calibri"/>
          <w:b/>
          <w:bCs/>
          <w:sz w:val="28"/>
          <w:szCs w:val="28"/>
        </w:rPr>
      </w:pPr>
      <w:r w:rsidRPr="002F6723">
        <w:rPr>
          <w:rFonts w:ascii="Calibri" w:hAnsi="Calibri" w:cs="Calibri"/>
          <w:b/>
          <w:bCs/>
          <w:sz w:val="28"/>
          <w:szCs w:val="28"/>
        </w:rPr>
        <w:t>A. Business Analysis</w:t>
      </w:r>
    </w:p>
    <w:p w14:paraId="02BB2E12" w14:textId="3BB5B5EE" w:rsidR="000C4960" w:rsidRPr="002F6723" w:rsidRDefault="000C4960" w:rsidP="002F6723">
      <w:pPr>
        <w:spacing w:line="360" w:lineRule="auto"/>
        <w:rPr>
          <w:rFonts w:ascii="Calibri" w:hAnsi="Calibri" w:cs="Calibri"/>
          <w:b/>
          <w:bCs/>
        </w:rPr>
      </w:pPr>
      <w:r w:rsidRPr="002F6723">
        <w:rPr>
          <w:rFonts w:ascii="Calibri" w:hAnsi="Calibri" w:cs="Calibri"/>
          <w:b/>
          <w:bCs/>
        </w:rPr>
        <w:t>1. Company Overview</w:t>
      </w:r>
    </w:p>
    <w:p w14:paraId="10228654" w14:textId="7CD06CB0" w:rsidR="000C4960" w:rsidRPr="002F6723" w:rsidRDefault="00532479" w:rsidP="002F6723">
      <w:pPr>
        <w:pStyle w:val="ListParagraph"/>
        <w:numPr>
          <w:ilvl w:val="0"/>
          <w:numId w:val="3"/>
        </w:numPr>
        <w:spacing w:after="0"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JPMorgan Chase &amp; Co. ($JPM$) traces its lineage over 200 years to the founding of The Manhattan Company in 1799. Its modern identity as the largest bank in the United States was forged through massive mergers, including the 2000 merger of J.P. Morgan &amp; Co. and Chase Manhattan Corp. </w:t>
      </w:r>
      <w:r w:rsidRPr="002F6723">
        <w:rPr>
          <w:rFonts w:ascii="Calibri" w:eastAsia="Times New Roman" w:hAnsi="Calibri" w:cs="Calibri"/>
          <w:kern w:val="0"/>
          <w:lang w:eastAsia="en-IN"/>
          <w14:ligatures w14:val="none"/>
        </w:rPr>
        <w:t xml:space="preserve">The firm’s mission is grounded in its </w:t>
      </w:r>
      <w:r w:rsidRPr="002F6723">
        <w:rPr>
          <w:rFonts w:ascii="Calibri" w:eastAsia="Times New Roman" w:hAnsi="Calibri" w:cs="Calibri"/>
          <w:b/>
          <w:bCs/>
          <w:kern w:val="0"/>
          <w:lang w:eastAsia="en-IN"/>
          <w14:ligatures w14:val="none"/>
        </w:rPr>
        <w:t>"Fortress Balance Sheet"</w:t>
      </w:r>
      <w:r w:rsidRPr="002F6723">
        <w:rPr>
          <w:rFonts w:ascii="Calibri" w:eastAsia="Times New Roman" w:hAnsi="Calibri" w:cs="Calibri"/>
          <w:kern w:val="0"/>
          <w:lang w:eastAsia="en-IN"/>
          <w14:ligatures w14:val="none"/>
        </w:rPr>
        <w:t xml:space="preserve"> philosophy, aiming to support clients and communities through any economic environment. Strategically, the firm focuses on relentless innovation, global scale, and generating long-term shareholder value through diversified business lines.</w:t>
      </w:r>
    </w:p>
    <w:p w14:paraId="15DD2F58" w14:textId="77777777" w:rsidR="00532479" w:rsidRPr="002F6723" w:rsidRDefault="00532479" w:rsidP="002F6723">
      <w:pPr>
        <w:pStyle w:val="NormalWeb"/>
        <w:spacing w:line="360" w:lineRule="auto"/>
        <w:jc w:val="both"/>
        <w:rPr>
          <w:rFonts w:ascii="Calibri" w:hAnsi="Calibri" w:cs="Calibri"/>
        </w:rPr>
      </w:pPr>
      <w:r w:rsidRPr="002F6723">
        <w:rPr>
          <w:rFonts w:ascii="Calibri" w:hAnsi="Calibri" w:cs="Calibri"/>
          <w:b/>
          <w:bCs/>
        </w:rPr>
        <w:t>Major Milestones</w:t>
      </w:r>
      <w:r w:rsidRPr="002F6723">
        <w:rPr>
          <w:rFonts w:ascii="Calibri" w:hAnsi="Calibri" w:cs="Calibri"/>
        </w:rPr>
        <w:t>:</w:t>
      </w:r>
    </w:p>
    <w:p w14:paraId="616E038E" w14:textId="77777777" w:rsidR="00532479" w:rsidRPr="002F6723" w:rsidRDefault="00532479" w:rsidP="002F6723">
      <w:pPr>
        <w:pStyle w:val="NormalWeb"/>
        <w:numPr>
          <w:ilvl w:val="0"/>
          <w:numId w:val="3"/>
        </w:numPr>
        <w:spacing w:line="360" w:lineRule="auto"/>
        <w:jc w:val="both"/>
        <w:rPr>
          <w:rFonts w:ascii="Calibri" w:hAnsi="Calibri" w:cs="Calibri"/>
        </w:rPr>
      </w:pPr>
      <w:r w:rsidRPr="002F6723">
        <w:rPr>
          <w:rStyle w:val="citation-524"/>
          <w:rFonts w:ascii="Calibri" w:eastAsiaTheme="majorEastAsia" w:hAnsi="Calibri" w:cs="Calibri"/>
          <w:b/>
          <w:bCs/>
        </w:rPr>
        <w:lastRenderedPageBreak/>
        <w:t>2023</w:t>
      </w:r>
      <w:r w:rsidRPr="002F6723">
        <w:rPr>
          <w:rStyle w:val="citation-524"/>
          <w:rFonts w:ascii="Calibri" w:eastAsiaTheme="majorEastAsia" w:hAnsi="Calibri" w:cs="Calibri"/>
        </w:rPr>
        <w:t>: Navigated the regional banking crisis by acquiring First Republic Bank.</w:t>
      </w:r>
    </w:p>
    <w:p w14:paraId="548B4E74" w14:textId="77777777" w:rsidR="00532479" w:rsidRPr="002F6723" w:rsidRDefault="00532479" w:rsidP="002F6723">
      <w:pPr>
        <w:pStyle w:val="NormalWeb"/>
        <w:numPr>
          <w:ilvl w:val="0"/>
          <w:numId w:val="3"/>
        </w:numPr>
        <w:spacing w:line="360" w:lineRule="auto"/>
        <w:jc w:val="both"/>
        <w:rPr>
          <w:rFonts w:ascii="Calibri" w:hAnsi="Calibri" w:cs="Calibri"/>
        </w:rPr>
      </w:pPr>
      <w:r w:rsidRPr="002F6723">
        <w:rPr>
          <w:rStyle w:val="citation-523"/>
          <w:rFonts w:ascii="Calibri" w:eastAsiaTheme="majorEastAsia" w:hAnsi="Calibri" w:cs="Calibri"/>
          <w:b/>
          <w:bCs/>
        </w:rPr>
        <w:t>January 2026</w:t>
      </w:r>
      <w:r w:rsidRPr="002F6723">
        <w:rPr>
          <w:rStyle w:val="citation-523"/>
          <w:rFonts w:ascii="Calibri" w:eastAsiaTheme="majorEastAsia" w:hAnsi="Calibri" w:cs="Calibri"/>
        </w:rPr>
        <w:t xml:space="preserve">: Integrated the </w:t>
      </w:r>
      <w:r w:rsidRPr="002F6723">
        <w:rPr>
          <w:rStyle w:val="citation-523"/>
          <w:rFonts w:ascii="Calibri" w:eastAsiaTheme="majorEastAsia" w:hAnsi="Calibri" w:cs="Calibri"/>
          <w:b/>
          <w:bCs/>
        </w:rPr>
        <w:t>Apple Card</w:t>
      </w:r>
      <w:r w:rsidRPr="002F6723">
        <w:rPr>
          <w:rStyle w:val="citation-523"/>
          <w:rFonts w:ascii="Calibri" w:eastAsiaTheme="majorEastAsia" w:hAnsi="Calibri" w:cs="Calibri"/>
        </w:rPr>
        <w:t xml:space="preserve"> portfolio, expanding its footprint in digital finance.</w:t>
      </w:r>
    </w:p>
    <w:p w14:paraId="1787FC7D" w14:textId="010A0409" w:rsidR="000C4960" w:rsidRPr="002F6723" w:rsidRDefault="00532479" w:rsidP="002F6723">
      <w:pPr>
        <w:pStyle w:val="NormalWeb"/>
        <w:numPr>
          <w:ilvl w:val="0"/>
          <w:numId w:val="3"/>
        </w:numPr>
        <w:spacing w:line="360" w:lineRule="auto"/>
        <w:jc w:val="both"/>
        <w:rPr>
          <w:rFonts w:ascii="Calibri" w:hAnsi="Calibri" w:cs="Calibri"/>
        </w:rPr>
      </w:pPr>
      <w:r w:rsidRPr="002F6723">
        <w:rPr>
          <w:rStyle w:val="citation-522"/>
          <w:rFonts w:ascii="Calibri" w:eastAsiaTheme="majorEastAsia" w:hAnsi="Calibri" w:cs="Calibri"/>
          <w:b/>
          <w:bCs/>
        </w:rPr>
        <w:t>March 2026</w:t>
      </w:r>
      <w:r w:rsidRPr="002F6723">
        <w:rPr>
          <w:rStyle w:val="citation-522"/>
          <w:rFonts w:ascii="Calibri" w:eastAsiaTheme="majorEastAsia" w:hAnsi="Calibri" w:cs="Calibri"/>
        </w:rPr>
        <w:t xml:space="preserve">: Launched the </w:t>
      </w:r>
      <w:r w:rsidRPr="002F6723">
        <w:rPr>
          <w:rStyle w:val="citation-522"/>
          <w:rFonts w:ascii="Calibri" w:eastAsiaTheme="majorEastAsia" w:hAnsi="Calibri" w:cs="Calibri"/>
          <w:b/>
          <w:bCs/>
        </w:rPr>
        <w:t>"American Dream Initiative,"</w:t>
      </w:r>
      <w:r w:rsidRPr="002F6723">
        <w:rPr>
          <w:rStyle w:val="citation-522"/>
          <w:rFonts w:ascii="Calibri" w:eastAsiaTheme="majorEastAsia" w:hAnsi="Calibri" w:cs="Calibri"/>
        </w:rPr>
        <w:t xml:space="preserve"> an $80 billion commitment to small business and community lending.</w:t>
      </w:r>
    </w:p>
    <w:p w14:paraId="2EE9E119" w14:textId="43222369" w:rsidR="00532479" w:rsidRPr="002F6723" w:rsidRDefault="00532479" w:rsidP="002F6723">
      <w:pPr>
        <w:spacing w:line="360" w:lineRule="auto"/>
        <w:rPr>
          <w:rFonts w:ascii="Calibri" w:hAnsi="Calibri" w:cs="Calibri"/>
          <w:b/>
          <w:bCs/>
        </w:rPr>
      </w:pPr>
      <w:r w:rsidRPr="002F6723">
        <w:rPr>
          <w:rFonts w:ascii="Calibri" w:hAnsi="Calibri" w:cs="Calibri"/>
          <w:b/>
          <w:bCs/>
        </w:rPr>
        <w:t>2. Current Operations</w:t>
      </w:r>
    </w:p>
    <w:p w14:paraId="67DCB8B8" w14:textId="7A97C50F" w:rsidR="000B78DC" w:rsidRPr="002F6723" w:rsidRDefault="00532479" w:rsidP="002F6723">
      <w:pPr>
        <w:pStyle w:val="NormalWeb"/>
        <w:numPr>
          <w:ilvl w:val="0"/>
          <w:numId w:val="3"/>
        </w:numPr>
        <w:spacing w:line="360" w:lineRule="auto"/>
        <w:jc w:val="both"/>
        <w:rPr>
          <w:rFonts w:ascii="Calibri" w:hAnsi="Calibri" w:cs="Calibri"/>
        </w:rPr>
      </w:pPr>
      <w:r w:rsidRPr="002F6723">
        <w:rPr>
          <w:rFonts w:ascii="Calibri" w:hAnsi="Calibri" w:cs="Calibri"/>
        </w:rPr>
        <w:t xml:space="preserve">JPMorgan Chase &amp; Co. operates as a highly diversified financial powerhouse, managing its vast array of global activities through four distinct primary segments: Consumer &amp; Community Banking (CCB), Corporate &amp; Investment Bank (CIB), Commercial Banking (CB), and Asset &amp; Wealth Management (AWM). The firm provides a comprehensive suite of services that spans the entire financial spectrum, including traditional retail banking, credit card services—highlighted by the recent integration of the Apple Card portfolio—investment banking, professional asset management, and sophisticated global payment solutions. This operational breadth allowed the firm to report a robust total revenue of </w:t>
      </w:r>
      <w:r w:rsidRPr="002F6723">
        <w:rPr>
          <w:rFonts w:ascii="Calibri" w:hAnsi="Calibri" w:cs="Calibri"/>
          <w:b/>
          <w:bCs/>
        </w:rPr>
        <w:t>$182.4 billion</w:t>
      </w:r>
      <w:r w:rsidRPr="002F6723">
        <w:rPr>
          <w:rFonts w:ascii="Calibri" w:hAnsi="Calibri" w:cs="Calibri"/>
        </w:rPr>
        <w:t xml:space="preserve"> for the 2025 fiscal year. The financial performance is primarily driven by Net Interest Income (NII), which is forecasted to reach </w:t>
      </w:r>
      <w:r w:rsidRPr="002F6723">
        <w:rPr>
          <w:rFonts w:ascii="Calibri" w:hAnsi="Calibri" w:cs="Calibri"/>
          <w:b/>
          <w:bCs/>
        </w:rPr>
        <w:t>$104.5 billion</w:t>
      </w:r>
      <w:r w:rsidRPr="002F6723">
        <w:rPr>
          <w:rFonts w:ascii="Calibri" w:hAnsi="Calibri" w:cs="Calibri"/>
        </w:rPr>
        <w:t xml:space="preserve"> in 2026, supplemented by significant noninterest income generated from high-volume trading activities, investment banking advisory fees, and card-based transaction sales. Geographically, JPM maintains its status as a global leader by operating in over </w:t>
      </w:r>
      <w:r w:rsidR="000D01B7" w:rsidRPr="002F6723">
        <w:rPr>
          <w:rFonts w:ascii="Calibri" w:hAnsi="Calibri" w:cs="Calibri"/>
        </w:rPr>
        <w:t>one hundred</w:t>
      </w:r>
      <w:r w:rsidRPr="002F6723">
        <w:rPr>
          <w:rFonts w:ascii="Calibri" w:hAnsi="Calibri" w:cs="Calibri"/>
        </w:rPr>
        <w:t xml:space="preserve"> markets worldwide and aggressively expanding its corporate banking footprint to cover more than 40 countries as of early 2026</w:t>
      </w:r>
      <w:r w:rsidR="000B78DC" w:rsidRPr="002F6723">
        <w:rPr>
          <w:rFonts w:ascii="Calibri" w:hAnsi="Calibri" w:cs="Calibri"/>
        </w:rPr>
        <w:t>.</w:t>
      </w:r>
    </w:p>
    <w:p w14:paraId="41AC579E" w14:textId="755C67A8" w:rsidR="000B78DC" w:rsidRPr="002F6723" w:rsidRDefault="000B78DC" w:rsidP="002F6723">
      <w:pPr>
        <w:pStyle w:val="NormalWeb"/>
        <w:spacing w:line="360" w:lineRule="auto"/>
        <w:rPr>
          <w:rFonts w:ascii="Calibri" w:hAnsi="Calibri" w:cs="Calibri"/>
          <w:b/>
          <w:bCs/>
        </w:rPr>
      </w:pPr>
      <w:r w:rsidRPr="002F6723">
        <w:rPr>
          <w:rFonts w:ascii="Calibri" w:hAnsi="Calibri" w:cs="Calibri"/>
          <w:b/>
          <w:bCs/>
        </w:rPr>
        <w:t xml:space="preserve"> 3. Macroeconomic Environment</w:t>
      </w:r>
    </w:p>
    <w:p w14:paraId="73278822" w14:textId="7C91037F" w:rsidR="000B78DC" w:rsidRPr="002F6723" w:rsidRDefault="000B78DC" w:rsidP="002F6723">
      <w:pPr>
        <w:pStyle w:val="NormalWeb"/>
        <w:numPr>
          <w:ilvl w:val="0"/>
          <w:numId w:val="3"/>
        </w:numPr>
        <w:spacing w:line="360" w:lineRule="auto"/>
        <w:jc w:val="both"/>
        <w:rPr>
          <w:rFonts w:ascii="Calibri" w:hAnsi="Calibri" w:cs="Calibri"/>
        </w:rPr>
      </w:pPr>
      <w:r w:rsidRPr="002F6723">
        <w:rPr>
          <w:rFonts w:ascii="Calibri" w:hAnsi="Calibri" w:cs="Calibri"/>
          <w:b/>
          <w:bCs/>
          <w:lang w:val="en-IN"/>
        </w:rPr>
        <w:t>Industry Conditions</w:t>
      </w:r>
      <w:r w:rsidRPr="002F6723">
        <w:rPr>
          <w:rFonts w:ascii="Calibri" w:hAnsi="Calibri" w:cs="Calibri"/>
          <w:lang w:val="en-IN"/>
        </w:rPr>
        <w:t xml:space="preserve">: The banking sector in 2026 is experiencing </w:t>
      </w:r>
      <w:r w:rsidRPr="002F6723">
        <w:rPr>
          <w:rFonts w:ascii="Calibri" w:hAnsi="Calibri" w:cs="Calibri"/>
          <w:b/>
          <w:bCs/>
          <w:lang w:val="en-IN"/>
        </w:rPr>
        <w:t>"Rate Normalization"</w:t>
      </w:r>
      <w:r w:rsidRPr="002F6723">
        <w:rPr>
          <w:rFonts w:ascii="Calibri" w:hAnsi="Calibri" w:cs="Calibri"/>
          <w:lang w:val="en-IN"/>
        </w:rPr>
        <w:t xml:space="preserve">. As the Federal Reserve eases interest rates, banks are seeing a narrowing of Net Interest Margins (NIM) while facing a competitive threat from the rise of </w:t>
      </w:r>
      <w:r w:rsidRPr="002F6723">
        <w:rPr>
          <w:rFonts w:ascii="Calibri" w:hAnsi="Calibri" w:cs="Calibri"/>
          <w:b/>
          <w:bCs/>
          <w:lang w:val="en-IN"/>
        </w:rPr>
        <w:t>Private Credit</w:t>
      </w:r>
      <w:r w:rsidRPr="002F6723">
        <w:rPr>
          <w:rFonts w:ascii="Calibri" w:hAnsi="Calibri" w:cs="Calibri"/>
          <w:lang w:val="en-IN"/>
        </w:rPr>
        <w:t>.</w:t>
      </w:r>
    </w:p>
    <w:p w14:paraId="309CE602" w14:textId="2ADA9931" w:rsidR="000B78DC" w:rsidRPr="002F6723" w:rsidRDefault="000B78DC" w:rsidP="002F6723">
      <w:pPr>
        <w:pStyle w:val="NormalWeb"/>
        <w:numPr>
          <w:ilvl w:val="0"/>
          <w:numId w:val="14"/>
        </w:numPr>
        <w:spacing w:line="360" w:lineRule="auto"/>
        <w:jc w:val="both"/>
        <w:rPr>
          <w:rFonts w:ascii="Calibri" w:hAnsi="Calibri" w:cs="Calibri"/>
          <w:lang w:val="en-IN"/>
        </w:rPr>
      </w:pPr>
      <w:r w:rsidRPr="002F6723">
        <w:rPr>
          <w:rFonts w:ascii="Calibri" w:hAnsi="Calibri" w:cs="Calibri"/>
          <w:b/>
          <w:bCs/>
          <w:lang w:val="en-IN"/>
        </w:rPr>
        <w:lastRenderedPageBreak/>
        <w:t>Economic Factors</w:t>
      </w:r>
      <w:r w:rsidRPr="002F6723">
        <w:rPr>
          <w:rFonts w:ascii="Calibri" w:hAnsi="Calibri" w:cs="Calibri"/>
          <w:lang w:val="en-IN"/>
        </w:rPr>
        <w:t xml:space="preserve">: Key drivers include resilient consumer spending, high asset prices, and a 2026 real GDP expansion forecast of </w:t>
      </w:r>
      <w:r w:rsidRPr="002F6723">
        <w:rPr>
          <w:rFonts w:ascii="Calibri" w:hAnsi="Calibri" w:cs="Calibri"/>
          <w:b/>
          <w:bCs/>
          <w:lang w:val="en-IN"/>
        </w:rPr>
        <w:t>1.8%</w:t>
      </w:r>
      <w:r w:rsidRPr="002F6723">
        <w:rPr>
          <w:rFonts w:ascii="Calibri" w:hAnsi="Calibri" w:cs="Calibri"/>
          <w:lang w:val="en-IN"/>
        </w:rPr>
        <w:t>. However, "sticky" inflation (upper-2% range) and global fragmentation continue to present structural risks to the economy.</w:t>
      </w:r>
    </w:p>
    <w:p w14:paraId="37EE42AB" w14:textId="1970EC7F" w:rsidR="000B78DC" w:rsidRPr="002F6723" w:rsidRDefault="000B78DC" w:rsidP="002F6723">
      <w:pPr>
        <w:pStyle w:val="NormalWeb"/>
        <w:numPr>
          <w:ilvl w:val="0"/>
          <w:numId w:val="14"/>
        </w:numPr>
        <w:spacing w:line="360" w:lineRule="auto"/>
        <w:jc w:val="both"/>
        <w:rPr>
          <w:rFonts w:ascii="Calibri" w:hAnsi="Calibri" w:cs="Calibri"/>
          <w:lang w:val="en-IN"/>
        </w:rPr>
      </w:pPr>
      <w:r w:rsidRPr="002F6723">
        <w:rPr>
          <w:rFonts w:ascii="Calibri" w:hAnsi="Calibri" w:cs="Calibri"/>
          <w:b/>
          <w:bCs/>
          <w:lang w:val="en-IN"/>
        </w:rPr>
        <w:t>Growth Strategy</w:t>
      </w:r>
      <w:r w:rsidRPr="002F6723">
        <w:rPr>
          <w:rFonts w:ascii="Calibri" w:hAnsi="Calibri" w:cs="Calibri"/>
          <w:lang w:val="en-IN"/>
        </w:rPr>
        <w:t xml:space="preserve">: JPM utilizes a mix of </w:t>
      </w:r>
      <w:r w:rsidRPr="002F6723">
        <w:rPr>
          <w:rFonts w:ascii="Calibri" w:hAnsi="Calibri" w:cs="Calibri"/>
          <w:b/>
          <w:bCs/>
          <w:lang w:val="en-IN"/>
        </w:rPr>
        <w:t>organic growth</w:t>
      </w:r>
      <w:r w:rsidRPr="002F6723">
        <w:rPr>
          <w:rFonts w:ascii="Calibri" w:hAnsi="Calibri" w:cs="Calibri"/>
          <w:lang w:val="en-IN"/>
        </w:rPr>
        <w:t xml:space="preserve"> (e.g., $19.8B annual technology and AI spend) and </w:t>
      </w:r>
      <w:r w:rsidRPr="002F6723">
        <w:rPr>
          <w:rFonts w:ascii="Calibri" w:hAnsi="Calibri" w:cs="Calibri"/>
          <w:b/>
          <w:bCs/>
          <w:lang w:val="en-IN"/>
        </w:rPr>
        <w:t>mergers/acquisitions</w:t>
      </w:r>
      <w:r w:rsidRPr="002F6723">
        <w:rPr>
          <w:rFonts w:ascii="Calibri" w:hAnsi="Calibri" w:cs="Calibri"/>
          <w:lang w:val="en-IN"/>
        </w:rPr>
        <w:t xml:space="preserve"> (e.g., Apple Card portfolio) to maintain its lead.</w:t>
      </w:r>
    </w:p>
    <w:p w14:paraId="44F09C6E" w14:textId="77777777" w:rsidR="000B78DC" w:rsidRPr="002F6723" w:rsidRDefault="000B78DC" w:rsidP="002F6723">
      <w:pPr>
        <w:pStyle w:val="NormalWeb"/>
        <w:spacing w:line="360" w:lineRule="auto"/>
        <w:rPr>
          <w:rFonts w:ascii="Calibri" w:hAnsi="Calibri" w:cs="Calibri"/>
          <w:b/>
          <w:bCs/>
          <w:lang w:val="en-IN"/>
        </w:rPr>
      </w:pPr>
      <w:r w:rsidRPr="002F6723">
        <w:rPr>
          <w:rFonts w:ascii="Calibri" w:hAnsi="Calibri" w:cs="Calibri"/>
          <w:b/>
          <w:bCs/>
          <w:lang w:val="en-IN"/>
        </w:rPr>
        <w:t>4. Industry &amp; Competition</w:t>
      </w:r>
    </w:p>
    <w:p w14:paraId="6CD37361" w14:textId="58037612" w:rsidR="000B78DC" w:rsidRPr="002F6723" w:rsidRDefault="000B78DC" w:rsidP="002F6723">
      <w:pPr>
        <w:pStyle w:val="NormalWeb"/>
        <w:numPr>
          <w:ilvl w:val="0"/>
          <w:numId w:val="15"/>
        </w:numPr>
        <w:spacing w:line="360" w:lineRule="auto"/>
        <w:jc w:val="both"/>
        <w:rPr>
          <w:rFonts w:ascii="Calibri" w:hAnsi="Calibri" w:cs="Calibri"/>
          <w:lang w:val="en-IN"/>
        </w:rPr>
      </w:pPr>
      <w:r w:rsidRPr="002F6723">
        <w:rPr>
          <w:rFonts w:ascii="Calibri" w:hAnsi="Calibri" w:cs="Calibri"/>
          <w:b/>
          <w:bCs/>
          <w:lang w:val="en-IN"/>
        </w:rPr>
        <w:t>Major Competitors</w:t>
      </w:r>
      <w:r w:rsidRPr="002F6723">
        <w:rPr>
          <w:rFonts w:ascii="Calibri" w:hAnsi="Calibri" w:cs="Calibri"/>
          <w:lang w:val="en-IN"/>
        </w:rPr>
        <w:t xml:space="preserve">: Primary rivals include </w:t>
      </w:r>
      <w:r w:rsidRPr="002F6723">
        <w:rPr>
          <w:rFonts w:ascii="Calibri" w:hAnsi="Calibri" w:cs="Calibri"/>
          <w:b/>
          <w:bCs/>
          <w:lang w:val="en-IN"/>
        </w:rPr>
        <w:t>Bank of America</w:t>
      </w:r>
      <w:r w:rsidRPr="002F6723">
        <w:rPr>
          <w:rFonts w:ascii="Calibri" w:hAnsi="Calibri" w:cs="Calibri"/>
          <w:lang w:val="en-IN"/>
        </w:rPr>
        <w:t xml:space="preserve">, </w:t>
      </w:r>
      <w:r w:rsidRPr="002F6723">
        <w:rPr>
          <w:rFonts w:ascii="Calibri" w:hAnsi="Calibri" w:cs="Calibri"/>
          <w:b/>
          <w:bCs/>
          <w:lang w:val="en-IN"/>
        </w:rPr>
        <w:t>Citigroup</w:t>
      </w:r>
      <w:r w:rsidRPr="002F6723">
        <w:rPr>
          <w:rFonts w:ascii="Calibri" w:hAnsi="Calibri" w:cs="Calibri"/>
          <w:lang w:val="en-IN"/>
        </w:rPr>
        <w:t xml:space="preserve">, </w:t>
      </w:r>
      <w:r w:rsidRPr="002F6723">
        <w:rPr>
          <w:rFonts w:ascii="Calibri" w:hAnsi="Calibri" w:cs="Calibri"/>
          <w:b/>
          <w:bCs/>
          <w:lang w:val="en-IN"/>
        </w:rPr>
        <w:t>Goldman Sachs</w:t>
      </w:r>
      <w:r w:rsidRPr="002F6723">
        <w:rPr>
          <w:rFonts w:ascii="Calibri" w:hAnsi="Calibri" w:cs="Calibri"/>
          <w:lang w:val="en-IN"/>
        </w:rPr>
        <w:t xml:space="preserve">, and </w:t>
      </w:r>
      <w:r w:rsidRPr="002F6723">
        <w:rPr>
          <w:rFonts w:ascii="Calibri" w:hAnsi="Calibri" w:cs="Calibri"/>
          <w:b/>
          <w:bCs/>
          <w:lang w:val="en-IN"/>
        </w:rPr>
        <w:t>Wells Fargo</w:t>
      </w:r>
      <w:r w:rsidRPr="002F6723">
        <w:rPr>
          <w:rFonts w:ascii="Calibri" w:hAnsi="Calibri" w:cs="Calibri"/>
          <w:lang w:val="en-IN"/>
        </w:rPr>
        <w:t>, alongside emerging threats from fintech and private credit firms.</w:t>
      </w:r>
    </w:p>
    <w:p w14:paraId="075FBD31" w14:textId="1A923087" w:rsidR="000B78DC" w:rsidRPr="002F6723" w:rsidRDefault="000B78DC" w:rsidP="002F6723">
      <w:pPr>
        <w:pStyle w:val="NormalWeb"/>
        <w:numPr>
          <w:ilvl w:val="0"/>
          <w:numId w:val="15"/>
        </w:numPr>
        <w:spacing w:line="360" w:lineRule="auto"/>
        <w:jc w:val="both"/>
        <w:rPr>
          <w:rFonts w:ascii="Calibri" w:hAnsi="Calibri" w:cs="Calibri"/>
          <w:lang w:val="en-IN"/>
        </w:rPr>
      </w:pPr>
      <w:r w:rsidRPr="002F6723">
        <w:rPr>
          <w:rFonts w:ascii="Calibri" w:hAnsi="Calibri" w:cs="Calibri"/>
          <w:b/>
          <w:bCs/>
          <w:lang w:val="en-IN"/>
        </w:rPr>
        <w:t>Competitive Advantages</w:t>
      </w:r>
      <w:r w:rsidRPr="002F6723">
        <w:rPr>
          <w:rFonts w:ascii="Calibri" w:hAnsi="Calibri" w:cs="Calibri"/>
          <w:lang w:val="en-IN"/>
        </w:rPr>
        <w:t xml:space="preserve">: JPM’s "Fortress" balance sheet with </w:t>
      </w:r>
      <w:r w:rsidRPr="002F6723">
        <w:rPr>
          <w:rFonts w:ascii="Calibri" w:hAnsi="Calibri" w:cs="Calibri"/>
          <w:b/>
          <w:bCs/>
          <w:lang w:val="en-IN"/>
        </w:rPr>
        <w:t>$1.5 trillion</w:t>
      </w:r>
      <w:r w:rsidRPr="002F6723">
        <w:rPr>
          <w:rFonts w:ascii="Calibri" w:hAnsi="Calibri" w:cs="Calibri"/>
          <w:lang w:val="en-IN"/>
        </w:rPr>
        <w:t xml:space="preserve"> in cash and marketable securities, its massive technology budget, and its leading market share in retail deposits and investment banking fees provide a significant moat.</w:t>
      </w:r>
    </w:p>
    <w:p w14:paraId="6F9851A0" w14:textId="6A8854BD" w:rsidR="009F0FEC" w:rsidRPr="002F6723" w:rsidRDefault="000B78DC" w:rsidP="002F6723">
      <w:pPr>
        <w:pStyle w:val="NormalWeb"/>
        <w:numPr>
          <w:ilvl w:val="0"/>
          <w:numId w:val="15"/>
        </w:numPr>
        <w:spacing w:line="360" w:lineRule="auto"/>
        <w:jc w:val="both"/>
        <w:rPr>
          <w:rFonts w:ascii="Calibri" w:hAnsi="Calibri" w:cs="Calibri"/>
          <w:lang w:val="en-IN"/>
        </w:rPr>
      </w:pPr>
      <w:r w:rsidRPr="002F6723">
        <w:rPr>
          <w:rFonts w:ascii="Calibri" w:hAnsi="Calibri" w:cs="Calibri"/>
          <w:b/>
          <w:bCs/>
          <w:lang w:val="en-IN"/>
        </w:rPr>
        <w:t>Market Share</w:t>
      </w:r>
      <w:r w:rsidRPr="002F6723">
        <w:rPr>
          <w:rFonts w:ascii="Calibri" w:hAnsi="Calibri" w:cs="Calibri"/>
          <w:lang w:val="en-IN"/>
        </w:rPr>
        <w:t xml:space="preserve">: JPM remains the </w:t>
      </w:r>
      <w:r w:rsidRPr="002F6723">
        <w:rPr>
          <w:rFonts w:ascii="Calibri" w:hAnsi="Calibri" w:cs="Calibri"/>
          <w:b/>
          <w:bCs/>
          <w:lang w:val="en-IN"/>
        </w:rPr>
        <w:t>#1 ranked bank</w:t>
      </w:r>
      <w:r w:rsidRPr="002F6723">
        <w:rPr>
          <w:rFonts w:ascii="Calibri" w:hAnsi="Calibri" w:cs="Calibri"/>
          <w:lang w:val="en-IN"/>
        </w:rPr>
        <w:t xml:space="preserve"> in the U.S. by total assets (~$4.4 trillion) and revenue. Its institutional ownership stands at </w:t>
      </w:r>
      <w:r w:rsidRPr="002F6723">
        <w:rPr>
          <w:rFonts w:ascii="Calibri" w:hAnsi="Calibri" w:cs="Calibri"/>
          <w:b/>
          <w:bCs/>
          <w:lang w:val="en-IN"/>
        </w:rPr>
        <w:t>71.6%</w:t>
      </w:r>
      <w:r w:rsidRPr="002F6723">
        <w:rPr>
          <w:rFonts w:ascii="Calibri" w:hAnsi="Calibri" w:cs="Calibri"/>
          <w:lang w:val="en-IN"/>
        </w:rPr>
        <w:t>, higher than Bank of America’s 70.7%, indicating strong confidence from large money managers.</w:t>
      </w:r>
    </w:p>
    <w:p w14:paraId="4DE77FE1" w14:textId="1C2D78E4" w:rsidR="000C4960" w:rsidRDefault="000C4960" w:rsidP="002F6723">
      <w:pPr>
        <w:spacing w:line="360" w:lineRule="auto"/>
        <w:rPr>
          <w:rFonts w:ascii="Calibri" w:hAnsi="Calibri" w:cs="Calibri"/>
        </w:rPr>
      </w:pPr>
    </w:p>
    <w:p w14:paraId="28A66849" w14:textId="77777777" w:rsidR="002F6723" w:rsidRDefault="002F6723" w:rsidP="002F6723">
      <w:pPr>
        <w:spacing w:line="360" w:lineRule="auto"/>
        <w:rPr>
          <w:rFonts w:ascii="Calibri" w:hAnsi="Calibri" w:cs="Calibri"/>
        </w:rPr>
      </w:pPr>
    </w:p>
    <w:p w14:paraId="57616E25" w14:textId="77777777" w:rsidR="002F6723" w:rsidRDefault="002F6723" w:rsidP="002F6723">
      <w:pPr>
        <w:spacing w:line="360" w:lineRule="auto"/>
        <w:rPr>
          <w:rFonts w:ascii="Calibri" w:hAnsi="Calibri" w:cs="Calibri"/>
        </w:rPr>
      </w:pPr>
    </w:p>
    <w:p w14:paraId="4A650934" w14:textId="77777777" w:rsidR="002F6723" w:rsidRPr="002F6723" w:rsidRDefault="002F6723" w:rsidP="002F6723">
      <w:pPr>
        <w:spacing w:line="360" w:lineRule="auto"/>
        <w:rPr>
          <w:rFonts w:ascii="Calibri" w:hAnsi="Calibri" w:cs="Calibri"/>
        </w:rPr>
      </w:pPr>
    </w:p>
    <w:p w14:paraId="55FC228C" w14:textId="3304B832" w:rsidR="000B78DC" w:rsidRPr="002F6723" w:rsidRDefault="000C4960" w:rsidP="002F6723">
      <w:pPr>
        <w:spacing w:line="360" w:lineRule="auto"/>
        <w:rPr>
          <w:rFonts w:ascii="Calibri" w:hAnsi="Calibri" w:cs="Calibri"/>
          <w:b/>
          <w:bCs/>
          <w:sz w:val="28"/>
          <w:szCs w:val="28"/>
        </w:rPr>
      </w:pPr>
      <w:r w:rsidRPr="002F6723">
        <w:rPr>
          <w:rFonts w:ascii="Calibri" w:hAnsi="Calibri" w:cs="Calibri"/>
          <w:b/>
          <w:bCs/>
          <w:sz w:val="28"/>
          <w:szCs w:val="28"/>
        </w:rPr>
        <w:t>B. Ratio &amp; Valuation Analysis</w:t>
      </w:r>
    </w:p>
    <w:p w14:paraId="1014B3AB" w14:textId="03D481F7" w:rsidR="00D63A23" w:rsidRPr="002F6723" w:rsidRDefault="00D63A23" w:rsidP="002F6723">
      <w:pPr>
        <w:spacing w:line="360" w:lineRule="auto"/>
        <w:rPr>
          <w:rFonts w:ascii="Calibri" w:hAnsi="Calibri" w:cs="Calibri"/>
          <w:b/>
          <w:bCs/>
        </w:rPr>
      </w:pPr>
      <w:r w:rsidRPr="002F6723">
        <w:rPr>
          <w:rFonts w:ascii="Calibri" w:hAnsi="Calibri" w:cs="Calibri"/>
          <w:b/>
          <w:bCs/>
        </w:rPr>
        <w:t>1. Financial Ratio Analysis</w:t>
      </w:r>
    </w:p>
    <w:tbl>
      <w:tblPr>
        <w:tblStyle w:val="TableGrid"/>
        <w:tblW w:w="9634" w:type="dxa"/>
        <w:tblLook w:val="04A0" w:firstRow="1" w:lastRow="0" w:firstColumn="1" w:lastColumn="0" w:noHBand="0" w:noVBand="1"/>
      </w:tblPr>
      <w:tblGrid>
        <w:gridCol w:w="2674"/>
        <w:gridCol w:w="2566"/>
        <w:gridCol w:w="2410"/>
        <w:gridCol w:w="1984"/>
      </w:tblGrid>
      <w:tr w:rsidR="00D63A23" w:rsidRPr="002F6723" w14:paraId="5985D383" w14:textId="77777777" w:rsidTr="002F6723">
        <w:trPr>
          <w:trHeight w:val="288"/>
        </w:trPr>
        <w:tc>
          <w:tcPr>
            <w:tcW w:w="2674" w:type="dxa"/>
            <w:shd w:val="clear" w:color="auto" w:fill="E8E8E8" w:themeFill="background2"/>
            <w:noWrap/>
            <w:hideMark/>
          </w:tcPr>
          <w:p w14:paraId="1D2F9A9E" w14:textId="77777777" w:rsidR="00D63A23" w:rsidRPr="002F6723" w:rsidRDefault="00D63A23" w:rsidP="00B9320C">
            <w:pPr>
              <w:spacing w:line="360" w:lineRule="auto"/>
              <w:jc w:val="center"/>
              <w:rPr>
                <w:rFonts w:ascii="Calibri" w:eastAsia="Times New Roman" w:hAnsi="Calibri" w:cs="Calibri"/>
                <w:b/>
                <w:bCs/>
                <w:color w:val="000000"/>
                <w:kern w:val="0"/>
                <w:lang w:val="en-IN" w:eastAsia="en-IN"/>
                <w14:ligatures w14:val="none"/>
              </w:rPr>
            </w:pPr>
            <w:r w:rsidRPr="002F6723">
              <w:rPr>
                <w:rFonts w:ascii="Calibri" w:eastAsia="Times New Roman" w:hAnsi="Calibri" w:cs="Calibri"/>
                <w:b/>
                <w:bCs/>
                <w:color w:val="000000"/>
                <w:kern w:val="0"/>
                <w:lang w:val="en-IN" w:eastAsia="en-IN"/>
                <w14:ligatures w14:val="none"/>
              </w:rPr>
              <w:t>Ratio Name</w:t>
            </w:r>
          </w:p>
        </w:tc>
        <w:tc>
          <w:tcPr>
            <w:tcW w:w="2566" w:type="dxa"/>
            <w:shd w:val="clear" w:color="auto" w:fill="E8E8E8" w:themeFill="background2"/>
            <w:noWrap/>
            <w:hideMark/>
          </w:tcPr>
          <w:p w14:paraId="464B665B" w14:textId="77777777" w:rsidR="00D63A23" w:rsidRPr="002F6723" w:rsidRDefault="00D63A23" w:rsidP="00B9320C">
            <w:pPr>
              <w:spacing w:line="360" w:lineRule="auto"/>
              <w:jc w:val="center"/>
              <w:rPr>
                <w:rFonts w:ascii="Calibri" w:eastAsia="Times New Roman" w:hAnsi="Calibri" w:cs="Calibri"/>
                <w:b/>
                <w:bCs/>
                <w:color w:val="000000"/>
                <w:kern w:val="0"/>
                <w:lang w:val="en-IN" w:eastAsia="en-IN"/>
                <w14:ligatures w14:val="none"/>
              </w:rPr>
            </w:pPr>
            <w:r w:rsidRPr="002F6723">
              <w:rPr>
                <w:rFonts w:ascii="Calibri" w:eastAsia="Times New Roman" w:hAnsi="Calibri" w:cs="Calibri"/>
                <w:b/>
                <w:bCs/>
                <w:color w:val="000000"/>
                <w:kern w:val="0"/>
                <w:lang w:val="en-IN" w:eastAsia="en-IN"/>
                <w14:ligatures w14:val="none"/>
              </w:rPr>
              <w:t>Formula</w:t>
            </w:r>
          </w:p>
        </w:tc>
        <w:tc>
          <w:tcPr>
            <w:tcW w:w="2410" w:type="dxa"/>
            <w:shd w:val="clear" w:color="auto" w:fill="E8E8E8" w:themeFill="background2"/>
            <w:noWrap/>
            <w:hideMark/>
          </w:tcPr>
          <w:p w14:paraId="55A28B6C" w14:textId="403233F6" w:rsidR="00D63A23" w:rsidRPr="002F6723" w:rsidRDefault="00D63A23" w:rsidP="00B9320C">
            <w:pPr>
              <w:spacing w:line="360" w:lineRule="auto"/>
              <w:jc w:val="center"/>
              <w:rPr>
                <w:rFonts w:ascii="Calibri" w:eastAsia="Times New Roman" w:hAnsi="Calibri" w:cs="Calibri"/>
                <w:b/>
                <w:bCs/>
                <w:color w:val="000000"/>
                <w:kern w:val="0"/>
                <w:lang w:val="en-IN" w:eastAsia="en-IN"/>
                <w14:ligatures w14:val="none"/>
              </w:rPr>
            </w:pPr>
            <w:r w:rsidRPr="002F6723">
              <w:rPr>
                <w:rFonts w:ascii="Calibri" w:eastAsia="Times New Roman" w:hAnsi="Calibri" w:cs="Calibri"/>
                <w:b/>
                <w:bCs/>
                <w:color w:val="000000"/>
                <w:kern w:val="0"/>
                <w:lang w:val="en-IN" w:eastAsia="en-IN"/>
                <w14:ligatures w14:val="none"/>
              </w:rPr>
              <w:t>Calculation (</w:t>
            </w:r>
            <w:r w:rsidR="00FA41FA" w:rsidRPr="002F6723">
              <w:rPr>
                <w:rFonts w:ascii="Calibri" w:eastAsia="Times New Roman" w:hAnsi="Calibri" w:cs="Calibri"/>
                <w:b/>
                <w:bCs/>
                <w:color w:val="000000"/>
                <w:kern w:val="0"/>
                <w:lang w:val="en-IN" w:eastAsia="en-IN"/>
                <w14:ligatures w14:val="none"/>
              </w:rPr>
              <w:t>2025) (</w:t>
            </w:r>
            <w:r w:rsidRPr="002F6723">
              <w:rPr>
                <w:rFonts w:ascii="Calibri" w:eastAsia="Times New Roman" w:hAnsi="Calibri" w:cs="Calibri"/>
                <w:b/>
                <w:bCs/>
                <w:color w:val="000000"/>
                <w:kern w:val="0"/>
                <w:lang w:val="en-IN" w:eastAsia="en-IN"/>
                <w14:ligatures w14:val="none"/>
              </w:rPr>
              <w:t>B)</w:t>
            </w:r>
          </w:p>
        </w:tc>
        <w:tc>
          <w:tcPr>
            <w:tcW w:w="1984" w:type="dxa"/>
            <w:shd w:val="clear" w:color="auto" w:fill="E8E8E8" w:themeFill="background2"/>
            <w:noWrap/>
            <w:hideMark/>
          </w:tcPr>
          <w:p w14:paraId="57CB8A52" w14:textId="77777777" w:rsidR="00D63A23" w:rsidRPr="002F6723" w:rsidRDefault="00D63A23" w:rsidP="00B9320C">
            <w:pPr>
              <w:spacing w:line="360" w:lineRule="auto"/>
              <w:jc w:val="center"/>
              <w:rPr>
                <w:rFonts w:ascii="Calibri" w:eastAsia="Times New Roman" w:hAnsi="Calibri" w:cs="Calibri"/>
                <w:b/>
                <w:bCs/>
                <w:color w:val="000000"/>
                <w:kern w:val="0"/>
                <w:lang w:val="en-IN" w:eastAsia="en-IN"/>
                <w14:ligatures w14:val="none"/>
              </w:rPr>
            </w:pPr>
            <w:r w:rsidRPr="002F6723">
              <w:rPr>
                <w:rFonts w:ascii="Calibri" w:eastAsia="Times New Roman" w:hAnsi="Calibri" w:cs="Calibri"/>
                <w:b/>
                <w:bCs/>
                <w:color w:val="000000"/>
                <w:kern w:val="0"/>
                <w:lang w:val="en-IN" w:eastAsia="en-IN"/>
                <w14:ligatures w14:val="none"/>
              </w:rPr>
              <w:t>Calculation Result</w:t>
            </w:r>
          </w:p>
        </w:tc>
      </w:tr>
      <w:tr w:rsidR="00D63A23" w:rsidRPr="002F6723" w14:paraId="59A59E83" w14:textId="77777777" w:rsidTr="00D63A23">
        <w:trPr>
          <w:trHeight w:val="288"/>
        </w:trPr>
        <w:tc>
          <w:tcPr>
            <w:tcW w:w="2674" w:type="dxa"/>
            <w:noWrap/>
            <w:hideMark/>
          </w:tcPr>
          <w:p w14:paraId="7E10220D"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Gross Profit Margin</w:t>
            </w:r>
          </w:p>
        </w:tc>
        <w:tc>
          <w:tcPr>
            <w:tcW w:w="2566" w:type="dxa"/>
            <w:noWrap/>
            <w:hideMark/>
          </w:tcPr>
          <w:p w14:paraId="4BF74847"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(Gross Profit / Total Revenue)</w:t>
            </w:r>
          </w:p>
        </w:tc>
        <w:tc>
          <w:tcPr>
            <w:tcW w:w="2410" w:type="dxa"/>
            <w:noWrap/>
            <w:hideMark/>
          </w:tcPr>
          <w:p w14:paraId="689CB9DC"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$182.45B/$182.45B</w:t>
            </w:r>
          </w:p>
        </w:tc>
        <w:tc>
          <w:tcPr>
            <w:tcW w:w="1984" w:type="dxa"/>
            <w:noWrap/>
            <w:hideMark/>
          </w:tcPr>
          <w:p w14:paraId="5F93269B"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100.00%</w:t>
            </w:r>
          </w:p>
        </w:tc>
      </w:tr>
      <w:tr w:rsidR="00D63A23" w:rsidRPr="002F6723" w14:paraId="003B0D24" w14:textId="77777777" w:rsidTr="00D63A23">
        <w:trPr>
          <w:trHeight w:val="288"/>
        </w:trPr>
        <w:tc>
          <w:tcPr>
            <w:tcW w:w="2674" w:type="dxa"/>
            <w:noWrap/>
            <w:hideMark/>
          </w:tcPr>
          <w:p w14:paraId="41BEDB96"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lastRenderedPageBreak/>
              <w:t>Operating Profit Margin</w:t>
            </w:r>
          </w:p>
        </w:tc>
        <w:tc>
          <w:tcPr>
            <w:tcW w:w="2566" w:type="dxa"/>
            <w:noWrap/>
            <w:hideMark/>
          </w:tcPr>
          <w:p w14:paraId="51FAD4B8"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(Operating Income / Total Revenue)</w:t>
            </w:r>
          </w:p>
        </w:tc>
        <w:tc>
          <w:tcPr>
            <w:tcW w:w="2410" w:type="dxa"/>
            <w:noWrap/>
            <w:hideMark/>
          </w:tcPr>
          <w:p w14:paraId="1EBF7EC6"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$72.8/$182.45= 39.9%</w:t>
            </w:r>
          </w:p>
        </w:tc>
        <w:tc>
          <w:tcPr>
            <w:tcW w:w="1984" w:type="dxa"/>
            <w:noWrap/>
            <w:hideMark/>
          </w:tcPr>
          <w:p w14:paraId="336F22EF"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39.90%</w:t>
            </w:r>
          </w:p>
        </w:tc>
      </w:tr>
      <w:tr w:rsidR="00D63A23" w:rsidRPr="002F6723" w14:paraId="7CEB9281" w14:textId="77777777" w:rsidTr="00D63A23">
        <w:trPr>
          <w:trHeight w:val="288"/>
        </w:trPr>
        <w:tc>
          <w:tcPr>
            <w:tcW w:w="2674" w:type="dxa"/>
            <w:noWrap/>
            <w:hideMark/>
          </w:tcPr>
          <w:p w14:paraId="7473DFF0"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Net Profit Margin</w:t>
            </w:r>
          </w:p>
        </w:tc>
        <w:tc>
          <w:tcPr>
            <w:tcW w:w="2566" w:type="dxa"/>
            <w:noWrap/>
            <w:hideMark/>
          </w:tcPr>
          <w:p w14:paraId="1C62ED6E"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(Net Income / Total Revenue)</w:t>
            </w:r>
          </w:p>
        </w:tc>
        <w:tc>
          <w:tcPr>
            <w:tcW w:w="2410" w:type="dxa"/>
            <w:noWrap/>
            <w:hideMark/>
          </w:tcPr>
          <w:p w14:paraId="1A3B64C3"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$57.0/$182.45= 31.2%</w:t>
            </w:r>
          </w:p>
        </w:tc>
        <w:tc>
          <w:tcPr>
            <w:tcW w:w="1984" w:type="dxa"/>
            <w:noWrap/>
            <w:hideMark/>
          </w:tcPr>
          <w:p w14:paraId="73955179"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31.20%</w:t>
            </w:r>
          </w:p>
        </w:tc>
      </w:tr>
      <w:tr w:rsidR="00D63A23" w:rsidRPr="002F6723" w14:paraId="0F11DE2B" w14:textId="77777777" w:rsidTr="00D63A23">
        <w:trPr>
          <w:trHeight w:val="288"/>
        </w:trPr>
        <w:tc>
          <w:tcPr>
            <w:tcW w:w="2674" w:type="dxa"/>
            <w:noWrap/>
            <w:hideMark/>
          </w:tcPr>
          <w:p w14:paraId="7460637C"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Return on Assets (ROA)</w:t>
            </w:r>
          </w:p>
        </w:tc>
        <w:tc>
          <w:tcPr>
            <w:tcW w:w="2566" w:type="dxa"/>
            <w:noWrap/>
            <w:hideMark/>
          </w:tcPr>
          <w:p w14:paraId="30D5795E"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(Net Income / Total Assets)</w:t>
            </w:r>
          </w:p>
        </w:tc>
        <w:tc>
          <w:tcPr>
            <w:tcW w:w="2410" w:type="dxa"/>
            <w:noWrap/>
            <w:hideMark/>
          </w:tcPr>
          <w:p w14:paraId="089DE597"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$57.0/$4,424.9= 1.29%</w:t>
            </w:r>
          </w:p>
        </w:tc>
        <w:tc>
          <w:tcPr>
            <w:tcW w:w="1984" w:type="dxa"/>
            <w:noWrap/>
            <w:hideMark/>
          </w:tcPr>
          <w:p w14:paraId="2C7D8E8D"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1.29%</w:t>
            </w:r>
          </w:p>
        </w:tc>
      </w:tr>
      <w:tr w:rsidR="00D63A23" w:rsidRPr="002F6723" w14:paraId="19F129E8" w14:textId="77777777" w:rsidTr="00D63A23">
        <w:trPr>
          <w:trHeight w:val="288"/>
        </w:trPr>
        <w:tc>
          <w:tcPr>
            <w:tcW w:w="2674" w:type="dxa"/>
            <w:noWrap/>
            <w:hideMark/>
          </w:tcPr>
          <w:p w14:paraId="3B84C733"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Return on Equity (ROE)</w:t>
            </w:r>
          </w:p>
        </w:tc>
        <w:tc>
          <w:tcPr>
            <w:tcW w:w="2566" w:type="dxa"/>
            <w:noWrap/>
            <w:hideMark/>
          </w:tcPr>
          <w:p w14:paraId="6FDAD67A"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(Net Income / Shareholders' Equity)</w:t>
            </w:r>
          </w:p>
        </w:tc>
        <w:tc>
          <w:tcPr>
            <w:tcW w:w="2410" w:type="dxa"/>
            <w:noWrap/>
            <w:hideMark/>
          </w:tcPr>
          <w:p w14:paraId="3962F630"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$57.0/$362.44= 15.7%</w:t>
            </w:r>
          </w:p>
        </w:tc>
        <w:tc>
          <w:tcPr>
            <w:tcW w:w="1984" w:type="dxa"/>
            <w:noWrap/>
            <w:hideMark/>
          </w:tcPr>
          <w:p w14:paraId="248B709F"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15.70%</w:t>
            </w:r>
          </w:p>
        </w:tc>
      </w:tr>
      <w:tr w:rsidR="00D63A23" w:rsidRPr="002F6723" w14:paraId="10CADA44" w14:textId="77777777" w:rsidTr="00D63A23">
        <w:trPr>
          <w:trHeight w:val="288"/>
        </w:trPr>
        <w:tc>
          <w:tcPr>
            <w:tcW w:w="2674" w:type="dxa"/>
            <w:noWrap/>
            <w:hideMark/>
          </w:tcPr>
          <w:p w14:paraId="53E175DB"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Earnings per Share (EPS)</w:t>
            </w:r>
          </w:p>
        </w:tc>
        <w:tc>
          <w:tcPr>
            <w:tcW w:w="2566" w:type="dxa"/>
            <w:noWrap/>
            <w:hideMark/>
          </w:tcPr>
          <w:p w14:paraId="0B7344D4"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(Net Income / Shares Outstanding)</w:t>
            </w:r>
          </w:p>
        </w:tc>
        <w:tc>
          <w:tcPr>
            <w:tcW w:w="2410" w:type="dxa"/>
            <w:noWrap/>
            <w:hideMark/>
          </w:tcPr>
          <w:p w14:paraId="60242C91"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Reported = $20.02</w:t>
            </w:r>
          </w:p>
        </w:tc>
        <w:tc>
          <w:tcPr>
            <w:tcW w:w="1984" w:type="dxa"/>
            <w:noWrap/>
            <w:hideMark/>
          </w:tcPr>
          <w:p w14:paraId="66CE8F50" w14:textId="41AB0BFE"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$20.02</w:t>
            </w:r>
          </w:p>
        </w:tc>
      </w:tr>
      <w:tr w:rsidR="00D63A23" w:rsidRPr="002F6723" w14:paraId="70885E53" w14:textId="77777777" w:rsidTr="00D63A23">
        <w:trPr>
          <w:trHeight w:val="288"/>
        </w:trPr>
        <w:tc>
          <w:tcPr>
            <w:tcW w:w="2674" w:type="dxa"/>
            <w:noWrap/>
            <w:hideMark/>
          </w:tcPr>
          <w:p w14:paraId="51242AEF"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Current Ratio</w:t>
            </w:r>
          </w:p>
        </w:tc>
        <w:tc>
          <w:tcPr>
            <w:tcW w:w="2566" w:type="dxa"/>
            <w:noWrap/>
            <w:hideMark/>
          </w:tcPr>
          <w:p w14:paraId="738FF08F"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(Current Assets / Current Liabilities)</w:t>
            </w:r>
          </w:p>
        </w:tc>
        <w:tc>
          <w:tcPr>
            <w:tcW w:w="2410" w:type="dxa"/>
            <w:noWrap/>
            <w:hideMark/>
          </w:tcPr>
          <w:p w14:paraId="740C80B4"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$1,287.7/$2,624.1 = 0.49$</w:t>
            </w:r>
          </w:p>
        </w:tc>
        <w:tc>
          <w:tcPr>
            <w:tcW w:w="1984" w:type="dxa"/>
            <w:noWrap/>
            <w:hideMark/>
          </w:tcPr>
          <w:p w14:paraId="1EB262D1"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0.49</w:t>
            </w:r>
          </w:p>
        </w:tc>
      </w:tr>
      <w:tr w:rsidR="00D63A23" w:rsidRPr="002F6723" w14:paraId="64191EC5" w14:textId="77777777" w:rsidTr="00D63A23">
        <w:trPr>
          <w:trHeight w:val="288"/>
        </w:trPr>
        <w:tc>
          <w:tcPr>
            <w:tcW w:w="2674" w:type="dxa"/>
            <w:noWrap/>
            <w:hideMark/>
          </w:tcPr>
          <w:p w14:paraId="3A9787D2"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Quick Ratio</w:t>
            </w:r>
          </w:p>
        </w:tc>
        <w:tc>
          <w:tcPr>
            <w:tcW w:w="2566" w:type="dxa"/>
            <w:noWrap/>
            <w:hideMark/>
          </w:tcPr>
          <w:p w14:paraId="62424BE5" w14:textId="37C22422"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(Cash + Marketable / Current Liabilities)</w:t>
            </w:r>
          </w:p>
        </w:tc>
        <w:tc>
          <w:tcPr>
            <w:tcW w:w="2410" w:type="dxa"/>
            <w:noWrap/>
            <w:hideMark/>
          </w:tcPr>
          <w:p w14:paraId="24666A68"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$1,287.7/$2,624.1 = 0.49$</w:t>
            </w:r>
          </w:p>
        </w:tc>
        <w:tc>
          <w:tcPr>
            <w:tcW w:w="1984" w:type="dxa"/>
            <w:noWrap/>
            <w:hideMark/>
          </w:tcPr>
          <w:p w14:paraId="080CE5EF"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0.49</w:t>
            </w:r>
          </w:p>
        </w:tc>
      </w:tr>
      <w:tr w:rsidR="00D63A23" w:rsidRPr="002F6723" w14:paraId="1B1E1BDE" w14:textId="77777777" w:rsidTr="00D63A23">
        <w:trPr>
          <w:trHeight w:val="288"/>
        </w:trPr>
        <w:tc>
          <w:tcPr>
            <w:tcW w:w="2674" w:type="dxa"/>
            <w:noWrap/>
            <w:hideMark/>
          </w:tcPr>
          <w:p w14:paraId="32BE4C26"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Cash Ratio</w:t>
            </w:r>
          </w:p>
        </w:tc>
        <w:tc>
          <w:tcPr>
            <w:tcW w:w="2566" w:type="dxa"/>
            <w:noWrap/>
            <w:hideMark/>
          </w:tcPr>
          <w:p w14:paraId="497C2CD0"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(Cash / Current Liabilities)</w:t>
            </w:r>
          </w:p>
        </w:tc>
        <w:tc>
          <w:tcPr>
            <w:tcW w:w="2410" w:type="dxa"/>
            <w:noWrap/>
            <w:hideMark/>
          </w:tcPr>
          <w:p w14:paraId="3BD00DB1"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$1,287.7/2,624.1 = 0.49$</w:t>
            </w:r>
          </w:p>
        </w:tc>
        <w:tc>
          <w:tcPr>
            <w:tcW w:w="1984" w:type="dxa"/>
            <w:noWrap/>
            <w:hideMark/>
          </w:tcPr>
          <w:p w14:paraId="37AA08E2"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0.49</w:t>
            </w:r>
          </w:p>
        </w:tc>
      </w:tr>
      <w:tr w:rsidR="00D63A23" w:rsidRPr="002F6723" w14:paraId="5CDF343B" w14:textId="77777777" w:rsidTr="00D63A23">
        <w:trPr>
          <w:trHeight w:val="288"/>
        </w:trPr>
        <w:tc>
          <w:tcPr>
            <w:tcW w:w="2674" w:type="dxa"/>
            <w:noWrap/>
            <w:hideMark/>
          </w:tcPr>
          <w:p w14:paraId="6D1FDD4D"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Price-to-Earnings (P/E)</w:t>
            </w:r>
          </w:p>
        </w:tc>
        <w:tc>
          <w:tcPr>
            <w:tcW w:w="2566" w:type="dxa"/>
            <w:noWrap/>
            <w:hideMark/>
          </w:tcPr>
          <w:p w14:paraId="7A79C203"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(Market Price / EPS)</w:t>
            </w:r>
          </w:p>
        </w:tc>
        <w:tc>
          <w:tcPr>
            <w:tcW w:w="2410" w:type="dxa"/>
            <w:noWrap/>
            <w:hideMark/>
          </w:tcPr>
          <w:p w14:paraId="2C14F4C9"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$283.77/$20.02 = 14.17$</w:t>
            </w:r>
          </w:p>
        </w:tc>
        <w:tc>
          <w:tcPr>
            <w:tcW w:w="1984" w:type="dxa"/>
            <w:noWrap/>
            <w:hideMark/>
          </w:tcPr>
          <w:p w14:paraId="3AFF9B10"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14.17</w:t>
            </w:r>
          </w:p>
        </w:tc>
      </w:tr>
      <w:tr w:rsidR="00D63A23" w:rsidRPr="002F6723" w14:paraId="6152C28A" w14:textId="77777777" w:rsidTr="00D63A23">
        <w:trPr>
          <w:trHeight w:val="288"/>
        </w:trPr>
        <w:tc>
          <w:tcPr>
            <w:tcW w:w="2674" w:type="dxa"/>
            <w:noWrap/>
            <w:hideMark/>
          </w:tcPr>
          <w:p w14:paraId="79E3A71A"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Dividend Payout Ratio</w:t>
            </w:r>
          </w:p>
        </w:tc>
        <w:tc>
          <w:tcPr>
            <w:tcW w:w="2566" w:type="dxa"/>
            <w:noWrap/>
            <w:hideMark/>
          </w:tcPr>
          <w:p w14:paraId="2D8E9153" w14:textId="557227A5"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 xml:space="preserve">(Dividends / </w:t>
            </w:r>
            <w:r w:rsidR="00324846" w:rsidRPr="002F6723">
              <w:rPr>
                <w:rFonts w:ascii="Calibri" w:eastAsia="Times New Roman" w:hAnsi="Calibri" w:cs="Calibri"/>
                <w:color w:val="000000"/>
                <w:kern w:val="0"/>
                <w:lang w:val="en-IN" w:eastAsia="en-IN"/>
                <w14:ligatures w14:val="none"/>
              </w:rPr>
              <w:t>EPS</w:t>
            </w:r>
            <w:r w:rsidRPr="002F6723">
              <w:rPr>
                <w:rFonts w:ascii="Calibri" w:eastAsia="Times New Roman" w:hAnsi="Calibri" w:cs="Calibri"/>
                <w:color w:val="000000"/>
                <w:kern w:val="0"/>
                <w:lang w:val="en-IN" w:eastAsia="en-IN"/>
                <w14:ligatures w14:val="none"/>
              </w:rPr>
              <w:t>)</w:t>
            </w:r>
          </w:p>
        </w:tc>
        <w:tc>
          <w:tcPr>
            <w:tcW w:w="2410" w:type="dxa"/>
            <w:noWrap/>
            <w:hideMark/>
          </w:tcPr>
          <w:p w14:paraId="5169E0D0"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$5.55/$20.02= 27.7$</w:t>
            </w:r>
          </w:p>
        </w:tc>
        <w:tc>
          <w:tcPr>
            <w:tcW w:w="1984" w:type="dxa"/>
            <w:noWrap/>
            <w:hideMark/>
          </w:tcPr>
          <w:p w14:paraId="65E26639"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27.70%</w:t>
            </w:r>
          </w:p>
        </w:tc>
      </w:tr>
      <w:tr w:rsidR="00D63A23" w:rsidRPr="002F6723" w14:paraId="4CC851FA" w14:textId="77777777" w:rsidTr="00D63A23">
        <w:trPr>
          <w:trHeight w:val="288"/>
        </w:trPr>
        <w:tc>
          <w:tcPr>
            <w:tcW w:w="2674" w:type="dxa"/>
            <w:noWrap/>
            <w:hideMark/>
          </w:tcPr>
          <w:p w14:paraId="3EFE20D8"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Debt-to-Equity Ratio</w:t>
            </w:r>
          </w:p>
        </w:tc>
        <w:tc>
          <w:tcPr>
            <w:tcW w:w="2566" w:type="dxa"/>
            <w:noWrap/>
            <w:hideMark/>
          </w:tcPr>
          <w:p w14:paraId="363EC9D9"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(Total Debt / Total Equity)</w:t>
            </w:r>
          </w:p>
        </w:tc>
        <w:tc>
          <w:tcPr>
            <w:tcW w:w="2410" w:type="dxa"/>
            <w:noWrap/>
            <w:hideMark/>
          </w:tcPr>
          <w:p w14:paraId="21D25955"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$507.17/$362.44 = 1.40$</w:t>
            </w:r>
          </w:p>
        </w:tc>
        <w:tc>
          <w:tcPr>
            <w:tcW w:w="1984" w:type="dxa"/>
            <w:noWrap/>
            <w:hideMark/>
          </w:tcPr>
          <w:p w14:paraId="1DB9E101"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1.4</w:t>
            </w:r>
          </w:p>
        </w:tc>
      </w:tr>
      <w:tr w:rsidR="00D63A23" w:rsidRPr="002F6723" w14:paraId="2EBB6BF1" w14:textId="77777777" w:rsidTr="00D63A23">
        <w:trPr>
          <w:trHeight w:val="288"/>
        </w:trPr>
        <w:tc>
          <w:tcPr>
            <w:tcW w:w="2674" w:type="dxa"/>
            <w:noWrap/>
            <w:hideMark/>
          </w:tcPr>
          <w:p w14:paraId="3BFDC959"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Sustainable Growth Rate</w:t>
            </w:r>
          </w:p>
        </w:tc>
        <w:tc>
          <w:tcPr>
            <w:tcW w:w="2566" w:type="dxa"/>
            <w:noWrap/>
            <w:hideMark/>
          </w:tcPr>
          <w:p w14:paraId="122239E5"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ROE * (1 - Payout Ratio)</w:t>
            </w:r>
          </w:p>
        </w:tc>
        <w:tc>
          <w:tcPr>
            <w:tcW w:w="2410" w:type="dxa"/>
            <w:noWrap/>
            <w:hideMark/>
          </w:tcPr>
          <w:p w14:paraId="4613C282"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$15.7%(1 - 0.277) = 11.35%</w:t>
            </w:r>
          </w:p>
        </w:tc>
        <w:tc>
          <w:tcPr>
            <w:tcW w:w="1984" w:type="dxa"/>
            <w:noWrap/>
            <w:hideMark/>
          </w:tcPr>
          <w:p w14:paraId="7F19D787" w14:textId="77777777" w:rsidR="00D63A23" w:rsidRPr="002F6723" w:rsidRDefault="00D63A23" w:rsidP="00B9320C">
            <w:pPr>
              <w:spacing w:line="360" w:lineRule="auto"/>
              <w:jc w:val="center"/>
              <w:rPr>
                <w:rFonts w:ascii="Calibri" w:eastAsia="Times New Roman" w:hAnsi="Calibri" w:cs="Calibri"/>
                <w:color w:val="000000"/>
                <w:kern w:val="0"/>
                <w:lang w:val="en-IN" w:eastAsia="en-IN"/>
                <w14:ligatures w14:val="none"/>
              </w:rPr>
            </w:pPr>
            <w:r w:rsidRPr="002F6723">
              <w:rPr>
                <w:rFonts w:ascii="Calibri" w:eastAsia="Times New Roman" w:hAnsi="Calibri" w:cs="Calibri"/>
                <w:color w:val="000000"/>
                <w:kern w:val="0"/>
                <w:lang w:val="en-IN" w:eastAsia="en-IN"/>
                <w14:ligatures w14:val="none"/>
              </w:rPr>
              <w:t>11.35%</w:t>
            </w:r>
          </w:p>
        </w:tc>
      </w:tr>
    </w:tbl>
    <w:p w14:paraId="70EC6DF3" w14:textId="77777777" w:rsidR="003D5953" w:rsidRDefault="003D5953" w:rsidP="002F6723">
      <w:pPr>
        <w:spacing w:line="360" w:lineRule="auto"/>
        <w:rPr>
          <w:rFonts w:ascii="Calibri" w:hAnsi="Calibri" w:cs="Calibri"/>
          <w:b/>
          <w:bCs/>
        </w:rPr>
      </w:pPr>
    </w:p>
    <w:p w14:paraId="3A4FB8BA" w14:textId="77777777" w:rsidR="002F6723" w:rsidRPr="002F6723" w:rsidRDefault="002F6723" w:rsidP="002F6723">
      <w:pPr>
        <w:spacing w:line="360" w:lineRule="auto"/>
        <w:rPr>
          <w:rFonts w:ascii="Calibri" w:hAnsi="Calibri" w:cs="Calibri"/>
          <w:b/>
          <w:bCs/>
        </w:rPr>
      </w:pPr>
    </w:p>
    <w:p w14:paraId="1C1A2124" w14:textId="2EA4520C" w:rsidR="00D63A23" w:rsidRPr="002F6723" w:rsidRDefault="003D5953" w:rsidP="002F6723">
      <w:pPr>
        <w:spacing w:line="360" w:lineRule="auto"/>
        <w:rPr>
          <w:rFonts w:ascii="Calibri" w:hAnsi="Calibri" w:cs="Calibri"/>
          <w:b/>
          <w:bCs/>
        </w:rPr>
      </w:pPr>
      <w:r w:rsidRPr="002F6723">
        <w:rPr>
          <w:rFonts w:ascii="Calibri" w:hAnsi="Calibri" w:cs="Calibri"/>
          <w:b/>
          <w:bCs/>
        </w:rPr>
        <w:t>2. CAPM and Cost of Equity</w:t>
      </w:r>
    </w:p>
    <w:p w14:paraId="4784F2C8" w14:textId="77777777" w:rsidR="003D5953" w:rsidRPr="002F6723" w:rsidRDefault="003D5953" w:rsidP="002F6723">
      <w:pPr>
        <w:spacing w:line="360" w:lineRule="auto"/>
        <w:rPr>
          <w:rFonts w:ascii="Calibri" w:hAnsi="Calibri" w:cs="Calibri"/>
          <w:b/>
          <w:bCs/>
          <w:lang w:val="en-IN"/>
        </w:rPr>
      </w:pPr>
      <w:r w:rsidRPr="002F6723">
        <w:rPr>
          <w:rFonts w:ascii="Calibri" w:hAnsi="Calibri" w:cs="Calibri"/>
          <w:b/>
          <w:bCs/>
          <w:lang w:val="en-IN"/>
        </w:rPr>
        <w:t>A. Define CAPM</w:t>
      </w:r>
    </w:p>
    <w:p w14:paraId="5262B06E" w14:textId="77777777" w:rsidR="003D5953" w:rsidRPr="002F6723" w:rsidRDefault="003D5953" w:rsidP="00B9320C">
      <w:pPr>
        <w:spacing w:line="360" w:lineRule="auto"/>
        <w:jc w:val="both"/>
        <w:rPr>
          <w:rFonts w:ascii="Calibri" w:hAnsi="Calibri" w:cs="Calibri"/>
          <w:lang w:val="en-IN"/>
        </w:rPr>
      </w:pPr>
      <w:r w:rsidRPr="002F6723">
        <w:rPr>
          <w:rFonts w:ascii="Calibri" w:hAnsi="Calibri" w:cs="Calibri"/>
          <w:lang w:val="en-IN"/>
        </w:rPr>
        <w:lastRenderedPageBreak/>
        <w:t>The Capital Asset Pricing Model (CAPM) is a financial formula used to calculate the required rate of return for an investment based on its systematic risk. It links the risk of a specific stock to the expected return of the overall market.</w:t>
      </w:r>
    </w:p>
    <w:p w14:paraId="2F175AA2" w14:textId="77777777" w:rsidR="003D5953" w:rsidRPr="002F6723" w:rsidRDefault="003D5953" w:rsidP="00B9320C">
      <w:pPr>
        <w:numPr>
          <w:ilvl w:val="0"/>
          <w:numId w:val="17"/>
        </w:numPr>
        <w:spacing w:line="360" w:lineRule="auto"/>
        <w:jc w:val="both"/>
        <w:rPr>
          <w:rFonts w:ascii="Calibri" w:hAnsi="Calibri" w:cs="Calibri"/>
          <w:lang w:val="en-IN"/>
        </w:rPr>
      </w:pPr>
      <w:r w:rsidRPr="002F6723">
        <w:rPr>
          <w:rFonts w:ascii="Calibri" w:hAnsi="Calibri" w:cs="Calibri"/>
          <w:lang w:val="en-IN"/>
        </w:rPr>
        <w:t>Importance in Valuation: CAPM is essential because it determines the Cost of Equity. This rate is a primary component of the Weighted Average Cost of Capital (WACC) and serves as the discount rate used to find a company's intrinsic value in a DCF analysis.</w:t>
      </w:r>
    </w:p>
    <w:p w14:paraId="530CB16F" w14:textId="77777777" w:rsidR="003D5953" w:rsidRPr="002F6723" w:rsidRDefault="003D5953" w:rsidP="002F6723">
      <w:pPr>
        <w:spacing w:line="360" w:lineRule="auto"/>
        <w:rPr>
          <w:rFonts w:ascii="Calibri" w:hAnsi="Calibri" w:cs="Calibri"/>
          <w:b/>
          <w:bCs/>
          <w:lang w:val="en-IN"/>
        </w:rPr>
      </w:pPr>
      <w:r w:rsidRPr="002F6723">
        <w:rPr>
          <w:rFonts w:ascii="Calibri" w:hAnsi="Calibri" w:cs="Calibri"/>
          <w:b/>
          <w:bCs/>
          <w:lang w:val="en-IN"/>
        </w:rPr>
        <w:t>B. Beta Calculation</w:t>
      </w:r>
    </w:p>
    <w:p w14:paraId="0022E5BA" w14:textId="64E1BB75" w:rsidR="004A6DA3" w:rsidRPr="002F6723" w:rsidRDefault="004A6DA3" w:rsidP="00B9320C">
      <w:pPr>
        <w:spacing w:line="360" w:lineRule="auto"/>
        <w:jc w:val="both"/>
        <w:rPr>
          <w:rFonts w:ascii="Calibri" w:hAnsi="Calibri" w:cs="Calibri"/>
          <w:lang w:val="en-IN"/>
        </w:rPr>
      </w:pPr>
      <w:r w:rsidRPr="002F6723">
        <w:rPr>
          <w:rFonts w:ascii="Calibri" w:hAnsi="Calibri" w:cs="Calibri"/>
          <w:lang w:val="en-IN"/>
        </w:rPr>
        <w:t>Beta (β) measures the sensitivity of a stock’s returns to changes in the overall market returns.</w:t>
      </w:r>
    </w:p>
    <w:p w14:paraId="38654E6A" w14:textId="2512708C" w:rsidR="004A6DA3" w:rsidRPr="002F6723" w:rsidRDefault="004A6DA3" w:rsidP="00B9320C">
      <w:pPr>
        <w:spacing w:line="360" w:lineRule="auto"/>
        <w:jc w:val="both"/>
        <w:rPr>
          <w:rFonts w:ascii="Calibri" w:hAnsi="Calibri" w:cs="Calibri"/>
          <w:lang w:val="en-IN"/>
        </w:rPr>
      </w:pPr>
      <w:r w:rsidRPr="002F6723">
        <w:rPr>
          <w:rFonts w:ascii="Calibri" w:hAnsi="Calibri" w:cs="Calibri"/>
          <w:lang w:val="en-IN"/>
        </w:rPr>
        <w:t>In this analysis, Beta is calculated using the regression (slope) method, where:</w:t>
      </w:r>
    </w:p>
    <w:p w14:paraId="217DF99F" w14:textId="77777777" w:rsidR="004A6DA3" w:rsidRPr="002F6723" w:rsidRDefault="004A6DA3" w:rsidP="00B9320C">
      <w:pPr>
        <w:spacing w:line="360" w:lineRule="auto"/>
        <w:jc w:val="both"/>
        <w:rPr>
          <w:rFonts w:ascii="Calibri" w:hAnsi="Calibri" w:cs="Calibri"/>
          <w:lang w:val="en-IN"/>
        </w:rPr>
      </w:pPr>
      <w:r w:rsidRPr="002F6723">
        <w:rPr>
          <w:rFonts w:ascii="Calibri" w:hAnsi="Calibri" w:cs="Calibri"/>
          <w:lang w:val="en-IN"/>
        </w:rPr>
        <w:t>Stock returns are plotted against market returns</w:t>
      </w:r>
    </w:p>
    <w:p w14:paraId="78DE1CAE" w14:textId="77777777" w:rsidR="004A6DA3" w:rsidRPr="002F6723" w:rsidRDefault="004A6DA3" w:rsidP="00B9320C">
      <w:pPr>
        <w:spacing w:line="360" w:lineRule="auto"/>
        <w:jc w:val="both"/>
        <w:rPr>
          <w:rFonts w:ascii="Calibri" w:hAnsi="Calibri" w:cs="Calibri"/>
          <w:lang w:val="en-IN"/>
        </w:rPr>
      </w:pPr>
      <w:r w:rsidRPr="002F6723">
        <w:rPr>
          <w:rFonts w:ascii="Calibri" w:hAnsi="Calibri" w:cs="Calibri"/>
          <w:lang w:val="en-IN"/>
        </w:rPr>
        <w:t>The slope of the regression line represents Beta</w:t>
      </w:r>
    </w:p>
    <w:p w14:paraId="7BFF29D5" w14:textId="77777777" w:rsidR="004A6DA3" w:rsidRPr="002F6723" w:rsidRDefault="004A6DA3" w:rsidP="00B9320C">
      <w:pPr>
        <w:pStyle w:val="ListParagraph"/>
        <w:numPr>
          <w:ilvl w:val="0"/>
          <w:numId w:val="32"/>
        </w:numPr>
        <w:spacing w:line="360" w:lineRule="auto"/>
        <w:jc w:val="both"/>
        <w:rPr>
          <w:rFonts w:ascii="Calibri" w:hAnsi="Calibri" w:cs="Calibri"/>
          <w:lang w:val="en-IN"/>
        </w:rPr>
      </w:pPr>
      <w:r w:rsidRPr="002F6723">
        <w:rPr>
          <w:rFonts w:ascii="Calibri" w:hAnsi="Calibri" w:cs="Calibri"/>
          <w:lang w:val="en-IN"/>
        </w:rPr>
        <w:t>Regression Output (Summary)</w:t>
      </w:r>
    </w:p>
    <w:p w14:paraId="06F4BC81" w14:textId="43BA7CB5" w:rsidR="004A6DA3" w:rsidRPr="002F6723" w:rsidRDefault="004A6DA3" w:rsidP="00B9320C">
      <w:pPr>
        <w:pStyle w:val="ListParagraph"/>
        <w:numPr>
          <w:ilvl w:val="0"/>
          <w:numId w:val="32"/>
        </w:numPr>
        <w:spacing w:line="360" w:lineRule="auto"/>
        <w:jc w:val="both"/>
        <w:rPr>
          <w:rFonts w:ascii="Calibri" w:hAnsi="Calibri" w:cs="Calibri"/>
          <w:lang w:val="en-IN"/>
        </w:rPr>
      </w:pPr>
      <w:r w:rsidRPr="002F6723">
        <w:rPr>
          <w:rFonts w:ascii="Calibri" w:hAnsi="Calibri" w:cs="Calibri"/>
          <w:lang w:val="en-IN"/>
        </w:rPr>
        <w:t>Beta (β) = 1.09</w:t>
      </w:r>
    </w:p>
    <w:p w14:paraId="75F05888" w14:textId="77777777" w:rsidR="004A6DA3" w:rsidRPr="002F6723" w:rsidRDefault="004A6DA3" w:rsidP="00B9320C">
      <w:pPr>
        <w:pStyle w:val="ListParagraph"/>
        <w:numPr>
          <w:ilvl w:val="0"/>
          <w:numId w:val="32"/>
        </w:numPr>
        <w:spacing w:line="360" w:lineRule="auto"/>
        <w:jc w:val="both"/>
        <w:rPr>
          <w:rFonts w:ascii="Calibri" w:hAnsi="Calibri" w:cs="Calibri"/>
          <w:lang w:val="en-IN"/>
        </w:rPr>
      </w:pPr>
      <w:r w:rsidRPr="002F6723">
        <w:rPr>
          <w:rFonts w:ascii="Calibri" w:hAnsi="Calibri" w:cs="Calibri"/>
          <w:lang w:val="en-IN"/>
        </w:rPr>
        <w:t>R² = 0.8653</w:t>
      </w:r>
    </w:p>
    <w:p w14:paraId="2081580A" w14:textId="77777777" w:rsidR="004A6DA3" w:rsidRPr="002F6723" w:rsidRDefault="004A6DA3" w:rsidP="00B9320C">
      <w:pPr>
        <w:pStyle w:val="ListParagraph"/>
        <w:numPr>
          <w:ilvl w:val="0"/>
          <w:numId w:val="32"/>
        </w:numPr>
        <w:spacing w:line="360" w:lineRule="auto"/>
        <w:jc w:val="both"/>
        <w:rPr>
          <w:rFonts w:ascii="Calibri" w:hAnsi="Calibri" w:cs="Calibri"/>
          <w:lang w:val="en-IN"/>
        </w:rPr>
      </w:pPr>
      <w:r w:rsidRPr="002F6723">
        <w:rPr>
          <w:rFonts w:ascii="Calibri" w:hAnsi="Calibri" w:cs="Calibri"/>
          <w:lang w:val="en-IN"/>
        </w:rPr>
        <w:t>Correlation = 0.93</w:t>
      </w:r>
    </w:p>
    <w:p w14:paraId="362F2466" w14:textId="4CFE9297" w:rsidR="004A6DA3" w:rsidRPr="002F6723" w:rsidRDefault="004A6DA3" w:rsidP="002F6723">
      <w:pPr>
        <w:spacing w:line="360" w:lineRule="auto"/>
        <w:rPr>
          <w:rFonts w:ascii="Calibri" w:hAnsi="Calibri" w:cs="Calibri"/>
          <w:b/>
          <w:bCs/>
          <w:lang w:val="en-IN"/>
        </w:rPr>
      </w:pPr>
      <w:r w:rsidRPr="002F6723">
        <w:rPr>
          <w:rFonts w:ascii="Calibri" w:hAnsi="Calibri" w:cs="Calibri"/>
          <w:b/>
          <w:bCs/>
          <w:lang w:val="en-IN"/>
        </w:rPr>
        <w:t>Interpretation</w:t>
      </w:r>
    </w:p>
    <w:p w14:paraId="51E330B7" w14:textId="0D73DA11" w:rsidR="004A6DA3" w:rsidRPr="002F6723" w:rsidRDefault="004A6DA3" w:rsidP="00B9320C">
      <w:pPr>
        <w:pStyle w:val="ListParagraph"/>
        <w:numPr>
          <w:ilvl w:val="0"/>
          <w:numId w:val="31"/>
        </w:numPr>
        <w:spacing w:line="360" w:lineRule="auto"/>
        <w:jc w:val="both"/>
        <w:rPr>
          <w:rFonts w:ascii="Calibri" w:hAnsi="Calibri" w:cs="Calibri"/>
          <w:lang w:val="en-IN"/>
        </w:rPr>
      </w:pPr>
      <w:r w:rsidRPr="002F6723">
        <w:rPr>
          <w:rFonts w:ascii="Calibri" w:hAnsi="Calibri" w:cs="Calibri"/>
          <w:lang w:val="en-IN"/>
        </w:rPr>
        <w:t>The Beta value of 1.</w:t>
      </w:r>
      <w:r w:rsidR="00B9320C">
        <w:rPr>
          <w:rFonts w:ascii="Calibri" w:hAnsi="Calibri" w:cs="Calibri"/>
          <w:lang w:val="en-IN"/>
        </w:rPr>
        <w:t>09</w:t>
      </w:r>
      <w:r w:rsidRPr="002F6723">
        <w:rPr>
          <w:rFonts w:ascii="Calibri" w:hAnsi="Calibri" w:cs="Calibri"/>
          <w:lang w:val="en-IN"/>
        </w:rPr>
        <w:t xml:space="preserve"> indicates that the stock is slightly more volatile than the market. This means:</w:t>
      </w:r>
    </w:p>
    <w:p w14:paraId="13D0AC22" w14:textId="734D8A2E" w:rsidR="004A6DA3" w:rsidRPr="002F6723" w:rsidRDefault="004A6DA3" w:rsidP="00B9320C">
      <w:pPr>
        <w:pStyle w:val="ListParagraph"/>
        <w:numPr>
          <w:ilvl w:val="0"/>
          <w:numId w:val="31"/>
        </w:numPr>
        <w:spacing w:line="360" w:lineRule="auto"/>
        <w:jc w:val="both"/>
        <w:rPr>
          <w:rFonts w:ascii="Calibri" w:hAnsi="Calibri" w:cs="Calibri"/>
          <w:lang w:val="en-IN"/>
        </w:rPr>
      </w:pPr>
      <w:r w:rsidRPr="002F6723">
        <w:rPr>
          <w:rFonts w:ascii="Calibri" w:hAnsi="Calibri" w:cs="Calibri"/>
          <w:lang w:val="en-IN"/>
        </w:rPr>
        <w:t>If the market increases by 1%, the stock is expected to increase by approximately 1.09%</w:t>
      </w:r>
    </w:p>
    <w:p w14:paraId="0713FC21" w14:textId="42E16BA5" w:rsidR="004A6DA3" w:rsidRPr="002F6723" w:rsidRDefault="004A6DA3" w:rsidP="00B9320C">
      <w:pPr>
        <w:pStyle w:val="ListParagraph"/>
        <w:numPr>
          <w:ilvl w:val="0"/>
          <w:numId w:val="31"/>
        </w:numPr>
        <w:spacing w:line="360" w:lineRule="auto"/>
        <w:jc w:val="both"/>
        <w:rPr>
          <w:rFonts w:ascii="Calibri" w:hAnsi="Calibri" w:cs="Calibri"/>
          <w:lang w:val="en-IN"/>
        </w:rPr>
      </w:pPr>
      <w:r w:rsidRPr="002F6723">
        <w:rPr>
          <w:rFonts w:ascii="Calibri" w:hAnsi="Calibri" w:cs="Calibri"/>
          <w:lang w:val="en-IN"/>
        </w:rPr>
        <w:t>Similarly, the stock may decline more than the market during downturns</w:t>
      </w:r>
    </w:p>
    <w:p w14:paraId="23E8F2D9" w14:textId="4A3E9565" w:rsidR="003D5953" w:rsidRPr="002F6723" w:rsidRDefault="004A6DA3" w:rsidP="00B9320C">
      <w:pPr>
        <w:pStyle w:val="ListParagraph"/>
        <w:numPr>
          <w:ilvl w:val="0"/>
          <w:numId w:val="31"/>
        </w:numPr>
        <w:spacing w:line="360" w:lineRule="auto"/>
        <w:jc w:val="both"/>
        <w:rPr>
          <w:rFonts w:ascii="Calibri" w:hAnsi="Calibri" w:cs="Calibri"/>
          <w:lang w:val="en-IN"/>
        </w:rPr>
      </w:pPr>
      <w:r w:rsidRPr="002F6723">
        <w:rPr>
          <w:rFonts w:ascii="Calibri" w:hAnsi="Calibri" w:cs="Calibri"/>
          <w:lang w:val="en-IN"/>
        </w:rPr>
        <w:t>The high R² and correlation values indicate a strong relationship between the stock and market returns, making the Beta estimation reliable</w:t>
      </w:r>
      <w:r w:rsidR="00B9320C">
        <w:rPr>
          <w:rFonts w:ascii="Calibri" w:hAnsi="Calibri" w:cs="Calibri"/>
          <w:lang w:val="en-IN"/>
        </w:rPr>
        <w:t>.</w:t>
      </w:r>
    </w:p>
    <w:p w14:paraId="41648412" w14:textId="77777777" w:rsidR="004A6DA3" w:rsidRPr="002F6723" w:rsidRDefault="004A6DA3" w:rsidP="002F6723">
      <w:pPr>
        <w:spacing w:before="100" w:beforeAutospacing="1" w:after="100" w:afterAutospacing="1" w:line="360"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 Expected Return (CAPM Formula)</w:t>
      </w:r>
    </w:p>
    <w:p w14:paraId="482B7FDA" w14:textId="77777777" w:rsidR="004A6DA3" w:rsidRPr="002F6723" w:rsidRDefault="004A6DA3" w:rsidP="002F6723">
      <w:p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The expected return is calculated using the CAPM formula:</w:t>
      </w:r>
    </w:p>
    <w:p w14:paraId="47D4BBD1" w14:textId="00BAF10A" w:rsidR="004A6DA3" w:rsidRPr="002F6723" w:rsidRDefault="004A6DA3" w:rsidP="002F6723">
      <w:pPr>
        <w:spacing w:after="0" w:line="360" w:lineRule="auto"/>
        <w:rPr>
          <w:rFonts w:ascii="Calibri" w:eastAsia="Times New Roman" w:hAnsi="Calibri" w:cs="Calibri"/>
          <w:kern w:val="0"/>
          <w:lang w:val="en-IN" w:eastAsia="en-IN"/>
          <w14:ligatures w14:val="none"/>
        </w:rPr>
      </w:pPr>
      <m:oMathPara>
        <m:oMath>
          <m:r>
            <w:rPr>
              <w:rFonts w:ascii="Cambria Math" w:eastAsia="Times New Roman" w:hAnsi="Cambria Math" w:cs="Calibri"/>
              <w:kern w:val="0"/>
              <w:lang w:val="en-IN" w:eastAsia="en-IN"/>
              <w14:ligatures w14:val="none"/>
            </w:rPr>
            <w:lastRenderedPageBreak/>
            <m:t>Re=Rf+β(Rm-Rf)</m:t>
          </m:r>
        </m:oMath>
      </m:oMathPara>
    </w:p>
    <w:p w14:paraId="473610CD" w14:textId="77777777" w:rsidR="004A6DA3" w:rsidRPr="002F6723" w:rsidRDefault="004A6DA3" w:rsidP="002F6723">
      <w:p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Where:</w:t>
      </w:r>
    </w:p>
    <w:p w14:paraId="002F5414" w14:textId="77777777" w:rsidR="004A6DA3" w:rsidRPr="002F6723" w:rsidRDefault="004A6DA3" w:rsidP="002F6723">
      <w:pPr>
        <w:numPr>
          <w:ilvl w:val="0"/>
          <w:numId w:val="33"/>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Risk-free rate (Rf) = 4.38% (10-year US Treasury yield) </w:t>
      </w:r>
    </w:p>
    <w:p w14:paraId="32B9414F" w14:textId="77777777" w:rsidR="004A6DA3" w:rsidRPr="002F6723" w:rsidRDefault="004A6DA3" w:rsidP="002F6723">
      <w:pPr>
        <w:numPr>
          <w:ilvl w:val="0"/>
          <w:numId w:val="33"/>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Market return (Rm) = 13.50% (S&amp;P 500 average return) </w:t>
      </w:r>
    </w:p>
    <w:p w14:paraId="080B3677" w14:textId="309CFE74" w:rsidR="004A6DA3" w:rsidRPr="002F6723" w:rsidRDefault="004A6DA3" w:rsidP="002F6723">
      <w:pPr>
        <w:numPr>
          <w:ilvl w:val="0"/>
          <w:numId w:val="33"/>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Beta (β) = 1.0</w:t>
      </w:r>
      <w:r w:rsidR="00B9320C">
        <w:rPr>
          <w:rFonts w:ascii="Calibri" w:eastAsia="Times New Roman" w:hAnsi="Calibri" w:cs="Calibri"/>
          <w:kern w:val="0"/>
          <w:lang w:val="en-IN" w:eastAsia="en-IN"/>
          <w14:ligatures w14:val="none"/>
        </w:rPr>
        <w:t>9</w:t>
      </w:r>
      <w:r w:rsidRPr="002F6723">
        <w:rPr>
          <w:rFonts w:ascii="Calibri" w:eastAsia="Times New Roman" w:hAnsi="Calibri" w:cs="Calibri"/>
          <w:kern w:val="0"/>
          <w:lang w:val="en-IN" w:eastAsia="en-IN"/>
          <w14:ligatures w14:val="none"/>
        </w:rPr>
        <w:t xml:space="preserve"> </w:t>
      </w:r>
    </w:p>
    <w:p w14:paraId="31352F06" w14:textId="77777777" w:rsidR="004A6DA3" w:rsidRPr="002F6723" w:rsidRDefault="004A6DA3" w:rsidP="002F6723">
      <w:pPr>
        <w:spacing w:before="100" w:beforeAutospacing="1" w:after="100" w:afterAutospacing="1" w:line="360"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Calculation</w:t>
      </w:r>
    </w:p>
    <w:p w14:paraId="6059D112" w14:textId="164BEBFC" w:rsidR="004A6DA3" w:rsidRPr="002F6723" w:rsidRDefault="004A6DA3" w:rsidP="002F6723">
      <w:pPr>
        <w:spacing w:after="0" w:line="360" w:lineRule="auto"/>
        <w:rPr>
          <w:rFonts w:ascii="Calibri" w:eastAsia="Times New Roman" w:hAnsi="Calibri" w:cs="Calibri"/>
          <w:kern w:val="0"/>
          <w:lang w:val="en-IN" w:eastAsia="en-IN"/>
          <w14:ligatures w14:val="none"/>
        </w:rPr>
      </w:pPr>
      <m:oMathPara>
        <m:oMath>
          <m:r>
            <w:rPr>
              <w:rFonts w:ascii="Cambria Math" w:eastAsia="Times New Roman" w:hAnsi="Cambria Math" w:cs="Calibri"/>
              <w:kern w:val="0"/>
              <w:lang w:val="en-IN" w:eastAsia="en-IN"/>
              <w14:ligatures w14:val="none"/>
            </w:rPr>
            <m:t>Re=4.38</m:t>
          </m:r>
          <m:r>
            <m:rPr>
              <m:sty m:val="p"/>
            </m:rPr>
            <w:rPr>
              <w:rFonts w:ascii="Cambria Math" w:eastAsia="Times New Roman" w:hAnsi="Cambria Math" w:cs="Calibri"/>
              <w:kern w:val="0"/>
              <w:lang w:val="en-IN" w:eastAsia="en-IN"/>
              <w14:ligatures w14:val="none"/>
            </w:rPr>
            <m:t>%</m:t>
          </m:r>
          <m:r>
            <w:rPr>
              <w:rFonts w:ascii="Cambria Math" w:eastAsia="Times New Roman" w:hAnsi="Cambria Math" w:cs="Calibri"/>
              <w:kern w:val="0"/>
              <w:lang w:val="en-IN" w:eastAsia="en-IN"/>
              <w14:ligatures w14:val="none"/>
            </w:rPr>
            <m:t>+1.09×(13.50</m:t>
          </m:r>
          <m:r>
            <m:rPr>
              <m:sty m:val="p"/>
            </m:rPr>
            <w:rPr>
              <w:rFonts w:ascii="Cambria Math" w:eastAsia="Times New Roman" w:hAnsi="Cambria Math" w:cs="Calibri"/>
              <w:kern w:val="0"/>
              <w:lang w:val="en-IN" w:eastAsia="en-IN"/>
              <w14:ligatures w14:val="none"/>
            </w:rPr>
            <m:t>%</m:t>
          </m:r>
          <m:r>
            <w:rPr>
              <w:rFonts w:ascii="Cambria Math" w:eastAsia="Times New Roman" w:hAnsi="Cambria Math" w:cs="Calibri"/>
              <w:kern w:val="0"/>
              <w:lang w:val="en-IN" w:eastAsia="en-IN"/>
              <w14:ligatures w14:val="none"/>
            </w:rPr>
            <m:t>-4.38</m:t>
          </m:r>
          <m:r>
            <m:rPr>
              <m:sty m:val="p"/>
            </m:rPr>
            <w:rPr>
              <w:rFonts w:ascii="Cambria Math" w:eastAsia="Times New Roman" w:hAnsi="Cambria Math" w:cs="Calibri"/>
              <w:kern w:val="0"/>
              <w:lang w:val="en-IN" w:eastAsia="en-IN"/>
              <w14:ligatures w14:val="none"/>
            </w:rPr>
            <m:t>%</m:t>
          </m:r>
          <m:r>
            <w:rPr>
              <w:rFonts w:ascii="Cambria Math" w:eastAsia="Times New Roman" w:hAnsi="Cambria Math" w:cs="Calibri"/>
              <w:kern w:val="0"/>
              <w:lang w:val="en-IN" w:eastAsia="en-IN"/>
              <w14:ligatures w14:val="none"/>
            </w:rPr>
            <m:t>)</m:t>
          </m:r>
          <m:r>
            <m:rPr>
              <m:sty m:val="p"/>
            </m:rPr>
            <w:rPr>
              <w:rFonts w:ascii="Cambria Math" w:eastAsia="Times New Roman" w:hAnsi="Cambria Math" w:cs="Calibri"/>
              <w:kern w:val="0"/>
              <w:lang w:val="en-IN" w:eastAsia="en-IN"/>
              <w14:ligatures w14:val="none"/>
            </w:rPr>
            <w:br/>
          </m:r>
        </m:oMath>
        <m:oMath>
          <m:r>
            <w:rPr>
              <w:rFonts w:ascii="Cambria Math" w:eastAsia="Times New Roman" w:hAnsi="Cambria Math" w:cs="Calibri"/>
              <w:kern w:val="0"/>
              <w:lang w:val="en-IN" w:eastAsia="en-IN"/>
              <w14:ligatures w14:val="none"/>
            </w:rPr>
            <m:t>Re=4.38</m:t>
          </m:r>
          <m:r>
            <m:rPr>
              <m:sty m:val="p"/>
            </m:rPr>
            <w:rPr>
              <w:rFonts w:ascii="Cambria Math" w:eastAsia="Times New Roman" w:hAnsi="Cambria Math" w:cs="Calibri"/>
              <w:kern w:val="0"/>
              <w:lang w:val="en-IN" w:eastAsia="en-IN"/>
              <w14:ligatures w14:val="none"/>
            </w:rPr>
            <m:t>%</m:t>
          </m:r>
          <m:r>
            <w:rPr>
              <w:rFonts w:ascii="Cambria Math" w:eastAsia="Times New Roman" w:hAnsi="Cambria Math" w:cs="Calibri"/>
              <w:kern w:val="0"/>
              <w:lang w:val="en-IN" w:eastAsia="en-IN"/>
              <w14:ligatures w14:val="none"/>
            </w:rPr>
            <m:t>+1.09×9.12</m:t>
          </m:r>
          <m:r>
            <m:rPr>
              <m:sty m:val="p"/>
            </m:rPr>
            <w:rPr>
              <w:rFonts w:ascii="Cambria Math" w:eastAsia="Times New Roman" w:hAnsi="Cambria Math" w:cs="Calibri"/>
              <w:kern w:val="0"/>
              <w:lang w:val="en-IN" w:eastAsia="en-IN"/>
              <w14:ligatures w14:val="none"/>
            </w:rPr>
            <m:t>%</m:t>
          </m:r>
          <m:r>
            <m:rPr>
              <m:sty m:val="p"/>
            </m:rPr>
            <w:rPr>
              <w:rFonts w:ascii="Cambria Math" w:eastAsia="Times New Roman" w:hAnsi="Cambria Math" w:cs="Calibri"/>
              <w:kern w:val="0"/>
              <w:lang w:val="en-IN" w:eastAsia="en-IN"/>
              <w14:ligatures w14:val="none"/>
            </w:rPr>
            <w:br/>
          </m:r>
        </m:oMath>
        <m:oMath>
          <m:r>
            <w:rPr>
              <w:rFonts w:ascii="Cambria Math" w:eastAsia="Times New Roman" w:hAnsi="Cambria Math" w:cs="Calibri"/>
              <w:kern w:val="0"/>
              <w:lang w:val="en-IN" w:eastAsia="en-IN"/>
              <w14:ligatures w14:val="none"/>
            </w:rPr>
            <m:t>Re=4.38</m:t>
          </m:r>
          <m:r>
            <m:rPr>
              <m:sty m:val="p"/>
            </m:rPr>
            <w:rPr>
              <w:rFonts w:ascii="Cambria Math" w:eastAsia="Times New Roman" w:hAnsi="Cambria Math" w:cs="Calibri"/>
              <w:kern w:val="0"/>
              <w:lang w:val="en-IN" w:eastAsia="en-IN"/>
              <w14:ligatures w14:val="none"/>
            </w:rPr>
            <m:t>%</m:t>
          </m:r>
          <m:r>
            <w:rPr>
              <w:rFonts w:ascii="Cambria Math" w:eastAsia="Times New Roman" w:hAnsi="Cambria Math" w:cs="Calibri"/>
              <w:kern w:val="0"/>
              <w:lang w:val="en-IN" w:eastAsia="en-IN"/>
              <w14:ligatures w14:val="none"/>
            </w:rPr>
            <m:t>+9.94</m:t>
          </m:r>
          <m:r>
            <m:rPr>
              <m:sty m:val="p"/>
            </m:rPr>
            <w:rPr>
              <w:rFonts w:ascii="Cambria Math" w:eastAsia="Times New Roman" w:hAnsi="Cambria Math" w:cs="Calibri"/>
              <w:kern w:val="0"/>
              <w:lang w:val="en-IN" w:eastAsia="en-IN"/>
              <w14:ligatures w14:val="none"/>
            </w:rPr>
            <m:t>%</m:t>
          </m:r>
          <m:r>
            <w:rPr>
              <w:rFonts w:ascii="Cambria Math" w:eastAsia="Times New Roman" w:hAnsi="Cambria Math" w:cs="Calibri"/>
              <w:kern w:val="0"/>
              <w:lang w:val="en-IN" w:eastAsia="en-IN"/>
              <w14:ligatures w14:val="none"/>
            </w:rPr>
            <m:t>=14.32</m:t>
          </m:r>
          <m:r>
            <m:rPr>
              <m:sty m:val="p"/>
            </m:rPr>
            <w:rPr>
              <w:rFonts w:ascii="Cambria Math" w:eastAsia="Times New Roman" w:hAnsi="Cambria Math" w:cs="Calibri"/>
              <w:kern w:val="0"/>
              <w:lang w:val="en-IN" w:eastAsia="en-IN"/>
              <w14:ligatures w14:val="none"/>
            </w:rPr>
            <m:t>%</m:t>
          </m:r>
        </m:oMath>
      </m:oMathPara>
    </w:p>
    <w:p w14:paraId="70B67BD9" w14:textId="77777777" w:rsidR="004A6DA3" w:rsidRPr="002F6723" w:rsidRDefault="004A6DA3" w:rsidP="002F6723">
      <w:pPr>
        <w:spacing w:before="100" w:beforeAutospacing="1" w:after="100" w:afterAutospacing="1" w:line="360"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Analysis</w:t>
      </w:r>
    </w:p>
    <w:p w14:paraId="23BA2BA5" w14:textId="77777777" w:rsidR="004A6DA3" w:rsidRPr="002F6723" w:rsidRDefault="004A6DA3" w:rsidP="00B9320C">
      <w:p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The expected return (cost of equity) is </w:t>
      </w:r>
      <w:r w:rsidRPr="002F6723">
        <w:rPr>
          <w:rFonts w:ascii="Calibri" w:eastAsia="Times New Roman" w:hAnsi="Calibri" w:cs="Calibri"/>
          <w:b/>
          <w:bCs/>
          <w:kern w:val="0"/>
          <w:lang w:val="en-IN" w:eastAsia="en-IN"/>
          <w14:ligatures w14:val="none"/>
        </w:rPr>
        <w:t>14.32%</w:t>
      </w:r>
      <w:r w:rsidRPr="002F6723">
        <w:rPr>
          <w:rFonts w:ascii="Calibri" w:eastAsia="Times New Roman" w:hAnsi="Calibri" w:cs="Calibri"/>
          <w:kern w:val="0"/>
          <w:lang w:val="en-IN" w:eastAsia="en-IN"/>
          <w14:ligatures w14:val="none"/>
        </w:rPr>
        <w:t>, which indicates that investors require a return of approximately 14.32% for the level of risk associated with the stock.</w:t>
      </w:r>
    </w:p>
    <w:p w14:paraId="38291D80" w14:textId="77777777" w:rsidR="004A6DA3" w:rsidRPr="002F6723" w:rsidRDefault="004A6DA3" w:rsidP="00B9320C">
      <w:p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This relatively high expected return reflects:</w:t>
      </w:r>
    </w:p>
    <w:p w14:paraId="1C5D990F" w14:textId="77777777" w:rsidR="004A6DA3" w:rsidRPr="002F6723" w:rsidRDefault="004A6DA3" w:rsidP="00B9320C">
      <w:pPr>
        <w:numPr>
          <w:ilvl w:val="0"/>
          <w:numId w:val="34"/>
        </w:num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Moderate to high market risk </w:t>
      </w:r>
    </w:p>
    <w:p w14:paraId="4DC59AF5" w14:textId="77777777" w:rsidR="004A6DA3" w:rsidRPr="002F6723" w:rsidRDefault="004A6DA3" w:rsidP="00B9320C">
      <w:pPr>
        <w:numPr>
          <w:ilvl w:val="0"/>
          <w:numId w:val="34"/>
        </w:num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Strong growth potential </w:t>
      </w:r>
    </w:p>
    <w:p w14:paraId="76A028AD" w14:textId="5AB9C8D8" w:rsidR="000C4960" w:rsidRPr="00B9320C" w:rsidRDefault="004A6DA3" w:rsidP="00B9320C">
      <w:pPr>
        <w:numPr>
          <w:ilvl w:val="0"/>
          <w:numId w:val="34"/>
        </w:num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Investor confidence in long-term performance</w:t>
      </w:r>
    </w:p>
    <w:p w14:paraId="17BA8ABD" w14:textId="77777777" w:rsidR="004A6DA3" w:rsidRPr="002F6723" w:rsidRDefault="004A6DA3" w:rsidP="002F6723">
      <w:pPr>
        <w:spacing w:before="100" w:beforeAutospacing="1" w:after="100" w:afterAutospacing="1" w:line="360" w:lineRule="auto"/>
        <w:outlineLvl w:val="0"/>
        <w:rPr>
          <w:rFonts w:ascii="Calibri" w:eastAsia="Times New Roman" w:hAnsi="Calibri" w:cs="Calibri"/>
          <w:b/>
          <w:bCs/>
          <w:kern w:val="36"/>
          <w:lang w:val="en-IN" w:eastAsia="en-IN"/>
          <w14:ligatures w14:val="none"/>
        </w:rPr>
      </w:pPr>
      <w:r w:rsidRPr="002F6723">
        <w:rPr>
          <w:rFonts w:ascii="Calibri" w:eastAsia="Times New Roman" w:hAnsi="Calibri" w:cs="Calibri"/>
          <w:b/>
          <w:bCs/>
          <w:kern w:val="36"/>
          <w:lang w:val="en-IN" w:eastAsia="en-IN"/>
          <w14:ligatures w14:val="none"/>
        </w:rPr>
        <w:t>3. Free Cash Flow (FCF)</w:t>
      </w:r>
    </w:p>
    <w:p w14:paraId="6A6924C3" w14:textId="77777777" w:rsidR="004A6DA3" w:rsidRPr="002F6723" w:rsidRDefault="004A6DA3" w:rsidP="00B9320C">
      <w:p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Free Cash Flow (FCF) represents the cash available to investors after accounting for operating expenses and capital expenditures.</w:t>
      </w:r>
    </w:p>
    <w:p w14:paraId="5EB43E34" w14:textId="77777777" w:rsidR="004A6DA3" w:rsidRPr="002F6723" w:rsidRDefault="004A6DA3" w:rsidP="002F6723">
      <w:pPr>
        <w:spacing w:before="100" w:beforeAutospacing="1" w:after="100" w:afterAutospacing="1" w:line="360"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Formula</w:t>
      </w:r>
    </w:p>
    <w:p w14:paraId="640C5300" w14:textId="77777777" w:rsidR="00264880" w:rsidRPr="002F6723" w:rsidRDefault="004A6DA3" w:rsidP="002F6723">
      <w:pPr>
        <w:spacing w:after="0" w:line="360" w:lineRule="auto"/>
        <w:rPr>
          <w:rFonts w:ascii="Calibri" w:eastAsia="Times New Roman" w:hAnsi="Calibri" w:cs="Calibri"/>
          <w:kern w:val="0"/>
          <w:lang w:val="en-IN" w:eastAsia="en-IN"/>
          <w14:ligatures w14:val="none"/>
        </w:rPr>
      </w:pPr>
      <m:oMathPara>
        <m:oMath>
          <m:r>
            <w:rPr>
              <w:rFonts w:ascii="Cambria Math" w:eastAsia="Times New Roman" w:hAnsi="Cambria Math" w:cs="Calibri"/>
              <w:kern w:val="0"/>
              <w:lang w:val="en-IN" w:eastAsia="en-IN"/>
              <w14:ligatures w14:val="none"/>
            </w:rPr>
            <m:t>FCF=Operating</m:t>
          </m:r>
          <m:r>
            <m:rPr>
              <m:nor/>
            </m:rPr>
            <w:rPr>
              <w:rFonts w:ascii="Calibri" w:eastAsia="Times New Roman" w:hAnsi="Calibri" w:cs="Calibri"/>
              <w:kern w:val="0"/>
              <w:lang w:val="en-IN" w:eastAsia="en-IN"/>
              <w14:ligatures w14:val="none"/>
            </w:rPr>
            <m:t xml:space="preserve"> </m:t>
          </m:r>
          <m:r>
            <w:rPr>
              <w:rFonts w:ascii="Cambria Math" w:eastAsia="Times New Roman" w:hAnsi="Cambria Math" w:cs="Calibri"/>
              <w:kern w:val="0"/>
              <w:lang w:val="en-IN" w:eastAsia="en-IN"/>
              <w14:ligatures w14:val="none"/>
            </w:rPr>
            <m:t>Cash</m:t>
          </m:r>
          <m:r>
            <m:rPr>
              <m:nor/>
            </m:rPr>
            <w:rPr>
              <w:rFonts w:ascii="Calibri" w:eastAsia="Times New Roman" w:hAnsi="Calibri" w:cs="Calibri"/>
              <w:kern w:val="0"/>
              <w:lang w:val="en-IN" w:eastAsia="en-IN"/>
              <w14:ligatures w14:val="none"/>
            </w:rPr>
            <m:t xml:space="preserve"> </m:t>
          </m:r>
          <m:r>
            <w:rPr>
              <w:rFonts w:ascii="Cambria Math" w:eastAsia="Times New Roman" w:hAnsi="Cambria Math" w:cs="Calibri"/>
              <w:kern w:val="0"/>
              <w:lang w:val="en-IN" w:eastAsia="en-IN"/>
              <w14:ligatures w14:val="none"/>
            </w:rPr>
            <m:t>Flow-Capital</m:t>
          </m:r>
          <m:r>
            <m:rPr>
              <m:nor/>
            </m:rPr>
            <w:rPr>
              <w:rFonts w:ascii="Calibri" w:eastAsia="Times New Roman" w:hAnsi="Calibri" w:cs="Calibri"/>
              <w:kern w:val="0"/>
              <w:lang w:val="en-IN" w:eastAsia="en-IN"/>
              <w14:ligatures w14:val="none"/>
            </w:rPr>
            <m:t xml:space="preserve"> </m:t>
          </m:r>
          <m:r>
            <w:rPr>
              <w:rFonts w:ascii="Cambria Math" w:eastAsia="Times New Roman" w:hAnsi="Cambria Math" w:cs="Calibri"/>
              <w:kern w:val="0"/>
              <w:lang w:val="en-IN" w:eastAsia="en-IN"/>
              <w14:ligatures w14:val="none"/>
            </w:rPr>
            <m:t>Expenditures</m:t>
          </m:r>
        </m:oMath>
      </m:oMathPara>
    </w:p>
    <w:p w14:paraId="79717AB4" w14:textId="245AE2A2" w:rsidR="00264880" w:rsidRPr="002F6723" w:rsidRDefault="004A6DA3" w:rsidP="002F6723">
      <w:pPr>
        <w:spacing w:after="0" w:line="360" w:lineRule="auto"/>
        <w:rPr>
          <w:rFonts w:ascii="Calibri" w:eastAsia="Times New Roman" w:hAnsi="Calibri" w:cs="Calibri"/>
          <w:kern w:val="0"/>
          <w:lang w:val="en-IN" w:eastAsia="en-IN"/>
          <w14:ligatures w14:val="none"/>
        </w:rPr>
      </w:pPr>
      <m:oMathPara>
        <m:oMath>
          <m:r>
            <m:rPr>
              <m:sty m:val="p"/>
            </m:rPr>
            <w:rPr>
              <w:rFonts w:ascii="Cambria Math" w:eastAsia="Times New Roman" w:hAnsi="Cambria Math" w:cs="Calibri"/>
              <w:kern w:val="0"/>
              <w:lang w:val="en-IN" w:eastAsia="en-IN"/>
              <w14:ligatures w14:val="none"/>
            </w:rPr>
            <w:lastRenderedPageBreak/>
            <w:br/>
          </m:r>
        </m:oMath>
      </m:oMathPara>
      <w:r w:rsidR="00264880" w:rsidRPr="002F6723">
        <w:rPr>
          <w:rFonts w:ascii="Calibri" w:eastAsia="Times New Roman" w:hAnsi="Calibri" w:cs="Calibri"/>
          <w:kern w:val="0"/>
          <w:lang w:val="en-IN" w:eastAsia="en-IN"/>
          <w14:ligatures w14:val="none"/>
        </w:rPr>
        <w:t>Calculation</w:t>
      </w:r>
    </w:p>
    <w:p w14:paraId="117D4A3F" w14:textId="77777777" w:rsidR="00264880" w:rsidRPr="002F6723" w:rsidRDefault="00264880" w:rsidP="002F6723">
      <w:pPr>
        <w:spacing w:after="0" w:line="360" w:lineRule="auto"/>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FCF = 45.2 − 15.0</w:t>
      </w:r>
    </w:p>
    <w:p w14:paraId="31DF3BD0" w14:textId="5C06595A" w:rsidR="00264880" w:rsidRDefault="00264880" w:rsidP="002F6723">
      <w:pPr>
        <w:spacing w:after="0" w:line="360" w:lineRule="auto"/>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FCF = $30.2 billion</w:t>
      </w:r>
    </w:p>
    <w:p w14:paraId="3940D083" w14:textId="77777777" w:rsidR="00B9320C" w:rsidRPr="002F6723" w:rsidRDefault="00B9320C" w:rsidP="002F6723">
      <w:pPr>
        <w:spacing w:after="0" w:line="360" w:lineRule="auto"/>
        <w:rPr>
          <w:rFonts w:ascii="Calibri" w:eastAsia="Times New Roman" w:hAnsi="Calibri" w:cs="Calibri"/>
          <w:b/>
          <w:bCs/>
          <w:kern w:val="0"/>
          <w:lang w:val="en-IN" w:eastAsia="en-IN"/>
          <w14:ligatures w14:val="none"/>
        </w:rPr>
      </w:pPr>
    </w:p>
    <w:p w14:paraId="5D8897F8" w14:textId="77777777" w:rsidR="000F101A" w:rsidRPr="002F6723" w:rsidRDefault="000F101A" w:rsidP="002F6723">
      <w:pPr>
        <w:spacing w:before="100" w:beforeAutospacing="1" w:after="100" w:afterAutospacing="1" w:line="360" w:lineRule="auto"/>
        <w:rPr>
          <w:rFonts w:ascii="Calibri" w:eastAsia="Times New Roman" w:hAnsi="Calibri" w:cs="Calibri"/>
          <w:b/>
          <w:bCs/>
          <w:kern w:val="0"/>
          <w:lang w:eastAsia="en-IN"/>
          <w14:ligatures w14:val="none"/>
        </w:rPr>
      </w:pPr>
      <w:r w:rsidRPr="002F6723">
        <w:rPr>
          <w:rFonts w:ascii="Calibri" w:eastAsia="Times New Roman" w:hAnsi="Calibri" w:cs="Calibri"/>
          <w:b/>
          <w:bCs/>
          <w:kern w:val="0"/>
          <w:lang w:eastAsia="en-IN"/>
          <w14:ligatures w14:val="none"/>
        </w:rPr>
        <w:t>Sustainability and Trend Analysis</w:t>
      </w:r>
    </w:p>
    <w:p w14:paraId="10D5AB02" w14:textId="77777777" w:rsidR="000F101A" w:rsidRPr="002F6723" w:rsidRDefault="000F101A" w:rsidP="000C25A2">
      <w:p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JPMorgan Chase generates </w:t>
      </w:r>
      <w:r w:rsidRPr="002F6723">
        <w:rPr>
          <w:rFonts w:ascii="Calibri" w:eastAsia="Times New Roman" w:hAnsi="Calibri" w:cs="Calibri"/>
          <w:b/>
          <w:bCs/>
          <w:kern w:val="0"/>
          <w:lang w:val="en-IN" w:eastAsia="en-IN"/>
          <w14:ligatures w14:val="none"/>
        </w:rPr>
        <w:t>strong and consistent free cash flow</w:t>
      </w:r>
      <w:r w:rsidRPr="002F6723">
        <w:rPr>
          <w:rFonts w:ascii="Calibri" w:eastAsia="Times New Roman" w:hAnsi="Calibri" w:cs="Calibri"/>
          <w:kern w:val="0"/>
          <w:lang w:val="en-IN" w:eastAsia="en-IN"/>
          <w14:ligatures w14:val="none"/>
        </w:rPr>
        <w:t>, reflecting its highly efficient operations and diversified revenue streams.</w:t>
      </w:r>
    </w:p>
    <w:p w14:paraId="700E1409" w14:textId="77777777" w:rsidR="000F101A" w:rsidRPr="002F6723" w:rsidRDefault="000F101A" w:rsidP="000C25A2">
      <w:p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The large FCF indicates:</w:t>
      </w:r>
    </w:p>
    <w:p w14:paraId="672392D4" w14:textId="77777777" w:rsidR="000F101A" w:rsidRPr="002F6723" w:rsidRDefault="000F101A" w:rsidP="000C25A2">
      <w:pPr>
        <w:numPr>
          <w:ilvl w:val="0"/>
          <w:numId w:val="38"/>
        </w:num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Strong internal cash generation </w:t>
      </w:r>
    </w:p>
    <w:p w14:paraId="5AC4CF11" w14:textId="77777777" w:rsidR="000F101A" w:rsidRPr="002F6723" w:rsidRDefault="000F101A" w:rsidP="000C25A2">
      <w:pPr>
        <w:numPr>
          <w:ilvl w:val="0"/>
          <w:numId w:val="38"/>
        </w:num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Ability to fund growth without relying heavily on external financing </w:t>
      </w:r>
    </w:p>
    <w:p w14:paraId="4B48A946" w14:textId="77777777" w:rsidR="000F101A" w:rsidRPr="002F6723" w:rsidRDefault="000F101A" w:rsidP="000C25A2">
      <w:pPr>
        <w:numPr>
          <w:ilvl w:val="0"/>
          <w:numId w:val="38"/>
        </w:num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High financial stability </w:t>
      </w:r>
    </w:p>
    <w:p w14:paraId="4278674A" w14:textId="3D04EB9E" w:rsidR="000F101A" w:rsidRPr="002F6723" w:rsidRDefault="000F101A" w:rsidP="000C25A2">
      <w:p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Additionally, the company’s “Fortress Balance Sheet” supports long-term sustainability, allowing it to perform well even during economic uncertainty.</w:t>
      </w:r>
    </w:p>
    <w:p w14:paraId="201F54AE" w14:textId="77777777" w:rsidR="000F101A" w:rsidRPr="002F6723" w:rsidRDefault="000F101A" w:rsidP="002F6723">
      <w:pPr>
        <w:spacing w:before="100" w:beforeAutospacing="1" w:after="100" w:afterAutospacing="1" w:line="360"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Investor Implications</w:t>
      </w:r>
    </w:p>
    <w:p w14:paraId="6D006608" w14:textId="77777777" w:rsidR="000F101A" w:rsidRPr="002F6723" w:rsidRDefault="000F101A" w:rsidP="002F6723">
      <w:p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Strong free cash flow is highly attractive for investors because it supports:</w:t>
      </w:r>
    </w:p>
    <w:p w14:paraId="43574468" w14:textId="77777777" w:rsidR="000F101A" w:rsidRPr="002F6723" w:rsidRDefault="000F101A" w:rsidP="002F6723">
      <w:pPr>
        <w:numPr>
          <w:ilvl w:val="0"/>
          <w:numId w:val="39"/>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Dividend payments </w:t>
      </w:r>
    </w:p>
    <w:p w14:paraId="05E81B3B" w14:textId="77777777" w:rsidR="000F101A" w:rsidRPr="002F6723" w:rsidRDefault="000F101A" w:rsidP="002F6723">
      <w:pPr>
        <w:numPr>
          <w:ilvl w:val="0"/>
          <w:numId w:val="39"/>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Share buybacks </w:t>
      </w:r>
    </w:p>
    <w:p w14:paraId="34696AEB" w14:textId="77777777" w:rsidR="000F101A" w:rsidRPr="002F6723" w:rsidRDefault="000F101A" w:rsidP="002F6723">
      <w:pPr>
        <w:numPr>
          <w:ilvl w:val="0"/>
          <w:numId w:val="39"/>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Debt reduction </w:t>
      </w:r>
    </w:p>
    <w:p w14:paraId="4B3793F6" w14:textId="77777777" w:rsidR="000F101A" w:rsidRPr="002F6723" w:rsidRDefault="000F101A" w:rsidP="002F6723">
      <w:pPr>
        <w:numPr>
          <w:ilvl w:val="0"/>
          <w:numId w:val="39"/>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Investment in technology and expansion </w:t>
      </w:r>
    </w:p>
    <w:p w14:paraId="2E340EFF" w14:textId="77777777" w:rsidR="000F101A" w:rsidRPr="002F6723" w:rsidRDefault="000F101A" w:rsidP="002F6723">
      <w:p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For JPMorgan, the high FCF suggests:</w:t>
      </w:r>
    </w:p>
    <w:p w14:paraId="1E30232E" w14:textId="77777777" w:rsidR="000F101A" w:rsidRPr="002F6723" w:rsidRDefault="000F101A" w:rsidP="002F6723">
      <w:pPr>
        <w:numPr>
          <w:ilvl w:val="0"/>
          <w:numId w:val="40"/>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Low financial risk </w:t>
      </w:r>
    </w:p>
    <w:p w14:paraId="37C26DAF" w14:textId="77777777" w:rsidR="000F101A" w:rsidRPr="002F6723" w:rsidRDefault="000F101A" w:rsidP="002F6723">
      <w:pPr>
        <w:numPr>
          <w:ilvl w:val="0"/>
          <w:numId w:val="40"/>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Strong liquidity position </w:t>
      </w:r>
    </w:p>
    <w:p w14:paraId="059DD07C" w14:textId="7E9A75CB" w:rsidR="000F101A" w:rsidRPr="000C25A2" w:rsidRDefault="000F101A" w:rsidP="002F6723">
      <w:pPr>
        <w:numPr>
          <w:ilvl w:val="0"/>
          <w:numId w:val="40"/>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Long-term growth potential</w:t>
      </w:r>
    </w:p>
    <w:p w14:paraId="3D0A3765" w14:textId="21CE624C" w:rsidR="00FA6E99" w:rsidRPr="002F6723" w:rsidRDefault="00FA6E99" w:rsidP="002F6723">
      <w:pPr>
        <w:spacing w:line="360" w:lineRule="auto"/>
        <w:rPr>
          <w:rFonts w:ascii="Calibri" w:hAnsi="Calibri" w:cs="Calibri"/>
          <w:b/>
          <w:bCs/>
          <w:lang w:val="en-IN"/>
        </w:rPr>
      </w:pPr>
      <w:r w:rsidRPr="002F6723">
        <w:rPr>
          <w:rFonts w:ascii="Calibri" w:hAnsi="Calibri" w:cs="Calibri"/>
          <w:b/>
          <w:bCs/>
          <w:lang w:val="en-IN"/>
        </w:rPr>
        <w:lastRenderedPageBreak/>
        <w:t>4. Valuation Using WACC</w:t>
      </w:r>
    </w:p>
    <w:p w14:paraId="7ABC16A1" w14:textId="07D6BEFE" w:rsidR="000F101A" w:rsidRPr="002F6723" w:rsidRDefault="000F101A"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Cost of Debt</w:t>
      </w:r>
    </w:p>
    <w:p w14:paraId="1CBD0BA9" w14:textId="77777777" w:rsidR="000F101A" w:rsidRPr="002F6723" w:rsidRDefault="000F101A"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Formula</w:t>
      </w:r>
    </w:p>
    <w:p w14:paraId="1B751EE6" w14:textId="77777777" w:rsidR="000F101A" w:rsidRDefault="000F101A"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Kd = Interest Expense / Total Debt</w:t>
      </w:r>
    </w:p>
    <w:p w14:paraId="239D3956" w14:textId="77777777" w:rsidR="000C25A2" w:rsidRPr="002F6723" w:rsidRDefault="000C25A2" w:rsidP="000C25A2">
      <w:pPr>
        <w:spacing w:before="100" w:beforeAutospacing="1" w:after="100" w:afterAutospacing="1" w:line="276" w:lineRule="auto"/>
        <w:rPr>
          <w:rFonts w:ascii="Calibri" w:eastAsia="Times New Roman" w:hAnsi="Calibri" w:cs="Calibri"/>
          <w:kern w:val="0"/>
          <w:lang w:val="en-IN" w:eastAsia="en-IN"/>
          <w14:ligatures w14:val="none"/>
        </w:rPr>
      </w:pPr>
    </w:p>
    <w:p w14:paraId="772F227C" w14:textId="77777777" w:rsidR="000F101A" w:rsidRPr="002F6723" w:rsidRDefault="000F101A"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Calculation</w:t>
      </w:r>
    </w:p>
    <w:p w14:paraId="664AF371" w14:textId="77777777" w:rsidR="000F101A" w:rsidRPr="002F6723" w:rsidRDefault="000F101A"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Kd = 24.0 / 507.17</w:t>
      </w:r>
      <w:r w:rsidRPr="002F6723">
        <w:rPr>
          <w:rFonts w:ascii="Calibri" w:eastAsia="Times New Roman" w:hAnsi="Calibri" w:cs="Calibri"/>
          <w:kern w:val="0"/>
          <w:lang w:val="en-IN" w:eastAsia="en-IN"/>
          <w14:ligatures w14:val="none"/>
        </w:rPr>
        <w:br/>
        <w:t xml:space="preserve">Kd = </w:t>
      </w:r>
      <w:r w:rsidRPr="002F6723">
        <w:rPr>
          <w:rFonts w:ascii="Calibri" w:eastAsia="Times New Roman" w:hAnsi="Calibri" w:cs="Calibri"/>
          <w:b/>
          <w:bCs/>
          <w:kern w:val="0"/>
          <w:lang w:val="en-IN" w:eastAsia="en-IN"/>
          <w14:ligatures w14:val="none"/>
        </w:rPr>
        <w:t>4.73%</w:t>
      </w:r>
    </w:p>
    <w:p w14:paraId="646A34C1" w14:textId="77777777" w:rsidR="000F101A" w:rsidRPr="002F6723" w:rsidRDefault="000F101A"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After-Tax Cost of Debt</w:t>
      </w:r>
    </w:p>
    <w:p w14:paraId="5976AFDF" w14:textId="77777777" w:rsidR="000F101A" w:rsidRPr="002F6723" w:rsidRDefault="000F101A"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Kd (1 − T) = 4.73% × (1 − 0.21)</w:t>
      </w:r>
      <w:r w:rsidRPr="002F6723">
        <w:rPr>
          <w:rFonts w:ascii="Calibri" w:eastAsia="Times New Roman" w:hAnsi="Calibri" w:cs="Calibri"/>
          <w:kern w:val="0"/>
          <w:lang w:val="en-IN" w:eastAsia="en-IN"/>
          <w14:ligatures w14:val="none"/>
        </w:rPr>
        <w:br/>
        <w:t xml:space="preserve">Kd (1 − T) = </w:t>
      </w:r>
      <w:r w:rsidRPr="002F6723">
        <w:rPr>
          <w:rFonts w:ascii="Calibri" w:eastAsia="Times New Roman" w:hAnsi="Calibri" w:cs="Calibri"/>
          <w:b/>
          <w:bCs/>
          <w:kern w:val="0"/>
          <w:lang w:val="en-IN" w:eastAsia="en-IN"/>
          <w14:ligatures w14:val="none"/>
        </w:rPr>
        <w:t>3.74%</w:t>
      </w:r>
    </w:p>
    <w:p w14:paraId="3945DD19" w14:textId="77777777" w:rsidR="000F101A"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1CE556F7">
          <v:rect id="_x0000_i1025" style="width:0;height:1.5pt" o:hralign="center" o:hrstd="t" o:hr="t" fillcolor="#a0a0a0" stroked="f"/>
        </w:pict>
      </w:r>
    </w:p>
    <w:p w14:paraId="483FCED0" w14:textId="33DEDD26" w:rsidR="000F101A" w:rsidRPr="002F6723" w:rsidRDefault="000F101A"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Market Value of Equity</w:t>
      </w:r>
    </w:p>
    <w:p w14:paraId="52EDED62" w14:textId="77777777" w:rsidR="000F101A" w:rsidRPr="002F6723" w:rsidRDefault="000F101A"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Formula</w:t>
      </w:r>
    </w:p>
    <w:p w14:paraId="0CB8B10E" w14:textId="77777777" w:rsidR="000F101A" w:rsidRPr="002F6723" w:rsidRDefault="000F101A"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E = Share Price × Shares Outstanding</w:t>
      </w:r>
    </w:p>
    <w:p w14:paraId="246D2182" w14:textId="77777777" w:rsidR="000F101A" w:rsidRPr="002F6723" w:rsidRDefault="000F101A"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Calculation</w:t>
      </w:r>
    </w:p>
    <w:p w14:paraId="2C8693CA" w14:textId="77777777" w:rsidR="000F101A" w:rsidRPr="002F6723" w:rsidRDefault="000F101A" w:rsidP="000C25A2">
      <w:pPr>
        <w:spacing w:before="100" w:beforeAutospacing="1" w:after="100" w:afterAutospacing="1" w:line="276" w:lineRule="auto"/>
        <w:rPr>
          <w:rFonts w:ascii="Calibri" w:eastAsia="Times New Roman" w:hAnsi="Calibri" w:cs="Calibri"/>
          <w:b/>
          <w:bCs/>
          <w:kern w:val="0"/>
          <w:lang w:val="en-IN" w:eastAsia="en-IN"/>
          <w14:ligatures w14:val="none"/>
        </w:rPr>
      </w:pPr>
      <w:r w:rsidRPr="002F6723">
        <w:rPr>
          <w:rFonts w:ascii="Calibri" w:eastAsia="Times New Roman" w:hAnsi="Calibri" w:cs="Calibri"/>
          <w:kern w:val="0"/>
          <w:lang w:val="en-IN" w:eastAsia="en-IN"/>
          <w14:ligatures w14:val="none"/>
        </w:rPr>
        <w:t>E = 283.77 × 2.82 billion</w:t>
      </w:r>
      <w:r w:rsidRPr="002F6723">
        <w:rPr>
          <w:rFonts w:ascii="Calibri" w:eastAsia="Times New Roman" w:hAnsi="Calibri" w:cs="Calibri"/>
          <w:kern w:val="0"/>
          <w:lang w:val="en-IN" w:eastAsia="en-IN"/>
          <w14:ligatures w14:val="none"/>
        </w:rPr>
        <w:br/>
        <w:t xml:space="preserve">E = </w:t>
      </w:r>
      <w:r w:rsidRPr="002F6723">
        <w:rPr>
          <w:rFonts w:ascii="Calibri" w:eastAsia="Times New Roman" w:hAnsi="Calibri" w:cs="Calibri"/>
          <w:b/>
          <w:bCs/>
          <w:kern w:val="0"/>
          <w:lang w:val="en-IN" w:eastAsia="en-IN"/>
          <w14:ligatures w14:val="none"/>
        </w:rPr>
        <w:t>800.23 billion</w:t>
      </w:r>
    </w:p>
    <w:p w14:paraId="06F4C75A" w14:textId="41E06D32" w:rsidR="000F101A" w:rsidRPr="002F6723" w:rsidRDefault="000F101A"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b/>
          <w:bCs/>
          <w:kern w:val="0"/>
          <w:lang w:val="en-IN" w:eastAsia="en-IN"/>
          <w14:ligatures w14:val="none"/>
        </w:rPr>
        <w:t>Market Value of Equity = $800.23 billion</w:t>
      </w:r>
    </w:p>
    <w:p w14:paraId="779070E7" w14:textId="77777777" w:rsidR="000F101A"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2545F38F">
          <v:rect id="_x0000_i1026" style="width:0;height:1.5pt" o:hralign="center" o:hrstd="t" o:hr="t" fillcolor="#a0a0a0" stroked="f"/>
        </w:pict>
      </w:r>
    </w:p>
    <w:p w14:paraId="7B484A5F" w14:textId="59C9F593" w:rsidR="000F101A" w:rsidRPr="002F6723" w:rsidRDefault="000F101A"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Capital Structure Weights</w:t>
      </w:r>
    </w:p>
    <w:p w14:paraId="1F5A137A" w14:textId="77777777" w:rsidR="000F101A" w:rsidRPr="002F6723" w:rsidRDefault="000F101A"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Total Capital</w:t>
      </w:r>
    </w:p>
    <w:p w14:paraId="5DA9F7A0" w14:textId="77777777" w:rsidR="000F101A" w:rsidRPr="002F6723" w:rsidRDefault="000F101A"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lastRenderedPageBreak/>
        <w:t>V = E + D</w:t>
      </w:r>
      <w:r w:rsidRPr="002F6723">
        <w:rPr>
          <w:rFonts w:ascii="Calibri" w:eastAsia="Times New Roman" w:hAnsi="Calibri" w:cs="Calibri"/>
          <w:kern w:val="0"/>
          <w:lang w:val="en-IN" w:eastAsia="en-IN"/>
          <w14:ligatures w14:val="none"/>
        </w:rPr>
        <w:br/>
        <w:t>V = 800.23 + 507.17</w:t>
      </w:r>
      <w:r w:rsidRPr="002F6723">
        <w:rPr>
          <w:rFonts w:ascii="Calibri" w:eastAsia="Times New Roman" w:hAnsi="Calibri" w:cs="Calibri"/>
          <w:kern w:val="0"/>
          <w:lang w:val="en-IN" w:eastAsia="en-IN"/>
          <w14:ligatures w14:val="none"/>
        </w:rPr>
        <w:br/>
        <w:t xml:space="preserve">V = </w:t>
      </w:r>
      <w:r w:rsidRPr="002F6723">
        <w:rPr>
          <w:rFonts w:ascii="Calibri" w:eastAsia="Times New Roman" w:hAnsi="Calibri" w:cs="Calibri"/>
          <w:b/>
          <w:bCs/>
          <w:kern w:val="0"/>
          <w:lang w:val="en-IN" w:eastAsia="en-IN"/>
          <w14:ligatures w14:val="none"/>
        </w:rPr>
        <w:t>1,307.40 billion</w:t>
      </w:r>
    </w:p>
    <w:p w14:paraId="55C20404" w14:textId="6E616289" w:rsidR="000C25A2" w:rsidRPr="000C25A2"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079D86C6">
          <v:rect id="_x0000_i1027" style="width:0;height:1.5pt" o:hralign="center" o:hrstd="t" o:hr="t" fillcolor="#a0a0a0" stroked="f"/>
        </w:pict>
      </w:r>
    </w:p>
    <w:p w14:paraId="3F5338A7" w14:textId="61AD7082" w:rsidR="000F101A" w:rsidRPr="002F6723" w:rsidRDefault="000F101A"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Equity Weight</w:t>
      </w:r>
    </w:p>
    <w:p w14:paraId="151F55AC" w14:textId="77777777" w:rsidR="000F101A" w:rsidRPr="002F6723" w:rsidRDefault="000F101A"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E / V = 800.23 / 1,307.40</w:t>
      </w:r>
      <w:r w:rsidRPr="002F6723">
        <w:rPr>
          <w:rFonts w:ascii="Calibri" w:eastAsia="Times New Roman" w:hAnsi="Calibri" w:cs="Calibri"/>
          <w:kern w:val="0"/>
          <w:lang w:val="en-IN" w:eastAsia="en-IN"/>
          <w14:ligatures w14:val="none"/>
        </w:rPr>
        <w:br/>
        <w:t xml:space="preserve">E / V = </w:t>
      </w:r>
      <w:r w:rsidRPr="002F6723">
        <w:rPr>
          <w:rFonts w:ascii="Calibri" w:eastAsia="Times New Roman" w:hAnsi="Calibri" w:cs="Calibri"/>
          <w:b/>
          <w:bCs/>
          <w:kern w:val="0"/>
          <w:lang w:val="en-IN" w:eastAsia="en-IN"/>
          <w14:ligatures w14:val="none"/>
        </w:rPr>
        <w:t>61.2%</w:t>
      </w:r>
    </w:p>
    <w:p w14:paraId="67E563ED" w14:textId="59D32AD7" w:rsidR="000F101A" w:rsidRPr="002F6723" w:rsidRDefault="000F101A"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b/>
          <w:bCs/>
          <w:kern w:val="0"/>
          <w:lang w:val="en-IN" w:eastAsia="en-IN"/>
          <w14:ligatures w14:val="none"/>
        </w:rPr>
        <w:t>Debt Weight</w:t>
      </w:r>
    </w:p>
    <w:p w14:paraId="7928EEA7" w14:textId="1E00A1CB" w:rsidR="000F101A" w:rsidRPr="002F6723" w:rsidRDefault="000F101A"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D / V = 507.17 / 1,307.40</w:t>
      </w:r>
      <w:r w:rsidRPr="002F6723">
        <w:rPr>
          <w:rFonts w:ascii="Calibri" w:eastAsia="Times New Roman" w:hAnsi="Calibri" w:cs="Calibri"/>
          <w:kern w:val="0"/>
          <w:lang w:val="en-IN" w:eastAsia="en-IN"/>
          <w14:ligatures w14:val="none"/>
        </w:rPr>
        <w:br/>
        <w:t xml:space="preserve">D / V = </w:t>
      </w:r>
      <w:r w:rsidRPr="002F6723">
        <w:rPr>
          <w:rFonts w:ascii="Calibri" w:eastAsia="Times New Roman" w:hAnsi="Calibri" w:cs="Calibri"/>
          <w:b/>
          <w:bCs/>
          <w:kern w:val="0"/>
          <w:lang w:val="en-IN" w:eastAsia="en-IN"/>
          <w14:ligatures w14:val="none"/>
        </w:rPr>
        <w:t>38.8%</w:t>
      </w:r>
    </w:p>
    <w:p w14:paraId="325862B9" w14:textId="07112DA0" w:rsidR="000F101A" w:rsidRPr="002F6723" w:rsidRDefault="000F101A"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WACC</w:t>
      </w:r>
    </w:p>
    <w:p w14:paraId="634F7128" w14:textId="77777777" w:rsidR="00E50274" w:rsidRPr="002F6723" w:rsidRDefault="00E50274"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Cost of Debt</w:t>
      </w:r>
    </w:p>
    <w:p w14:paraId="79B4F51A"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Formula</w:t>
      </w:r>
    </w:p>
    <w:p w14:paraId="2E2BE407"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Kd = Interest Expense / Total Debt</w:t>
      </w:r>
    </w:p>
    <w:p w14:paraId="64D7A480"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Calculation</w:t>
      </w:r>
    </w:p>
    <w:p w14:paraId="3FCEB909"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Kd = 24.0 / 507.17</w:t>
      </w:r>
      <w:r w:rsidRPr="002F6723">
        <w:rPr>
          <w:rFonts w:ascii="Calibri" w:eastAsia="Times New Roman" w:hAnsi="Calibri" w:cs="Calibri"/>
          <w:kern w:val="0"/>
          <w:lang w:val="en-IN" w:eastAsia="en-IN"/>
          <w14:ligatures w14:val="none"/>
        </w:rPr>
        <w:br/>
        <w:t xml:space="preserve">Kd = </w:t>
      </w:r>
      <w:r w:rsidRPr="002F6723">
        <w:rPr>
          <w:rFonts w:ascii="Calibri" w:eastAsia="Times New Roman" w:hAnsi="Calibri" w:cs="Calibri"/>
          <w:b/>
          <w:bCs/>
          <w:kern w:val="0"/>
          <w:lang w:val="en-IN" w:eastAsia="en-IN"/>
          <w14:ligatures w14:val="none"/>
        </w:rPr>
        <w:t>4.73%</w:t>
      </w:r>
    </w:p>
    <w:p w14:paraId="789D75BE"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314CE7D9">
          <v:rect id="_x0000_i1028" style="width:0;height:1.5pt" o:hralign="center" o:hrstd="t" o:hr="t" fillcolor="#a0a0a0" stroked="f"/>
        </w:pict>
      </w:r>
    </w:p>
    <w:p w14:paraId="4BBAF44E"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After-Tax Cost of Debt</w:t>
      </w:r>
    </w:p>
    <w:p w14:paraId="5E3B3EF5"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Kd (1 − T) = 4.73% × (1 − 0.21)</w:t>
      </w:r>
      <w:r w:rsidRPr="002F6723">
        <w:rPr>
          <w:rFonts w:ascii="Calibri" w:eastAsia="Times New Roman" w:hAnsi="Calibri" w:cs="Calibri"/>
          <w:kern w:val="0"/>
          <w:lang w:val="en-IN" w:eastAsia="en-IN"/>
          <w14:ligatures w14:val="none"/>
        </w:rPr>
        <w:br/>
        <w:t xml:space="preserve">Kd (1 − T) = </w:t>
      </w:r>
      <w:r w:rsidRPr="002F6723">
        <w:rPr>
          <w:rFonts w:ascii="Calibri" w:eastAsia="Times New Roman" w:hAnsi="Calibri" w:cs="Calibri"/>
          <w:b/>
          <w:bCs/>
          <w:kern w:val="0"/>
          <w:lang w:val="en-IN" w:eastAsia="en-IN"/>
          <w14:ligatures w14:val="none"/>
        </w:rPr>
        <w:t>3.74%</w:t>
      </w:r>
    </w:p>
    <w:p w14:paraId="21EB290D"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6E67403A">
          <v:rect id="_x0000_i1029" style="width:0;height:1.5pt" o:hralign="center" o:hrstd="t" o:hr="t" fillcolor="#a0a0a0" stroked="f"/>
        </w:pict>
      </w:r>
    </w:p>
    <w:p w14:paraId="5592AEB7" w14:textId="77777777" w:rsidR="00E50274" w:rsidRPr="002F6723" w:rsidRDefault="00E50274"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Market Value of Equity</w:t>
      </w:r>
    </w:p>
    <w:p w14:paraId="774577E5"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Formula</w:t>
      </w:r>
    </w:p>
    <w:p w14:paraId="3F158F17"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lastRenderedPageBreak/>
        <w:t>E = Share Price × Shares Outstanding</w:t>
      </w:r>
    </w:p>
    <w:p w14:paraId="391F4BC8"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Calculation</w:t>
      </w:r>
    </w:p>
    <w:p w14:paraId="00AB1D1D"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E = 283.77 × 2.82 billion</w:t>
      </w:r>
      <w:r w:rsidRPr="002F6723">
        <w:rPr>
          <w:rFonts w:ascii="Calibri" w:eastAsia="Times New Roman" w:hAnsi="Calibri" w:cs="Calibri"/>
          <w:kern w:val="0"/>
          <w:lang w:val="en-IN" w:eastAsia="en-IN"/>
          <w14:ligatures w14:val="none"/>
        </w:rPr>
        <w:br/>
        <w:t xml:space="preserve">E = </w:t>
      </w:r>
      <w:r w:rsidRPr="002F6723">
        <w:rPr>
          <w:rFonts w:ascii="Calibri" w:eastAsia="Times New Roman" w:hAnsi="Calibri" w:cs="Calibri"/>
          <w:b/>
          <w:bCs/>
          <w:kern w:val="0"/>
          <w:lang w:val="en-IN" w:eastAsia="en-IN"/>
          <w14:ligatures w14:val="none"/>
        </w:rPr>
        <w:t>800.23 billion</w:t>
      </w:r>
    </w:p>
    <w:p w14:paraId="3F8892C3" w14:textId="6D962015"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 </w:t>
      </w:r>
      <w:r w:rsidRPr="002F6723">
        <w:rPr>
          <w:rFonts w:ascii="Calibri" w:eastAsia="Times New Roman" w:hAnsi="Calibri" w:cs="Calibri"/>
          <w:b/>
          <w:bCs/>
          <w:kern w:val="0"/>
          <w:lang w:val="en-IN" w:eastAsia="en-IN"/>
          <w14:ligatures w14:val="none"/>
        </w:rPr>
        <w:t>Market Value of Equity = $800.23 billion</w:t>
      </w:r>
    </w:p>
    <w:p w14:paraId="757329A4"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0A17ED74">
          <v:rect id="_x0000_i1030" style="width:0;height:1.5pt" o:hralign="center" o:hrstd="t" o:hr="t" fillcolor="#a0a0a0" stroked="f"/>
        </w:pict>
      </w:r>
    </w:p>
    <w:p w14:paraId="5E1165F9" w14:textId="77777777" w:rsidR="00E50274" w:rsidRPr="002F6723" w:rsidRDefault="00E50274"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Capital Structure Weights</w:t>
      </w:r>
    </w:p>
    <w:p w14:paraId="5C81E2CA"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Total Capital</w:t>
      </w:r>
    </w:p>
    <w:p w14:paraId="7DE63758"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V = E + D</w:t>
      </w:r>
      <w:r w:rsidRPr="002F6723">
        <w:rPr>
          <w:rFonts w:ascii="Calibri" w:eastAsia="Times New Roman" w:hAnsi="Calibri" w:cs="Calibri"/>
          <w:kern w:val="0"/>
          <w:lang w:val="en-IN" w:eastAsia="en-IN"/>
          <w14:ligatures w14:val="none"/>
        </w:rPr>
        <w:br/>
        <w:t>V = 800.23 + 507.17</w:t>
      </w:r>
      <w:r w:rsidRPr="002F6723">
        <w:rPr>
          <w:rFonts w:ascii="Calibri" w:eastAsia="Times New Roman" w:hAnsi="Calibri" w:cs="Calibri"/>
          <w:kern w:val="0"/>
          <w:lang w:val="en-IN" w:eastAsia="en-IN"/>
          <w14:ligatures w14:val="none"/>
        </w:rPr>
        <w:br/>
        <w:t xml:space="preserve">V = </w:t>
      </w:r>
      <w:r w:rsidRPr="002F6723">
        <w:rPr>
          <w:rFonts w:ascii="Calibri" w:eastAsia="Times New Roman" w:hAnsi="Calibri" w:cs="Calibri"/>
          <w:b/>
          <w:bCs/>
          <w:kern w:val="0"/>
          <w:lang w:val="en-IN" w:eastAsia="en-IN"/>
          <w14:ligatures w14:val="none"/>
        </w:rPr>
        <w:t>1,307.40 billion</w:t>
      </w:r>
    </w:p>
    <w:p w14:paraId="03E6349E" w14:textId="194BA870" w:rsidR="00E50274" w:rsidRPr="002F6723" w:rsidRDefault="00E50274" w:rsidP="000C25A2">
      <w:pPr>
        <w:spacing w:after="0" w:line="276" w:lineRule="auto"/>
        <w:rPr>
          <w:rFonts w:ascii="Calibri" w:eastAsia="Times New Roman" w:hAnsi="Calibri" w:cs="Calibri"/>
          <w:kern w:val="0"/>
          <w:lang w:val="en-IN" w:eastAsia="en-IN"/>
          <w14:ligatures w14:val="none"/>
        </w:rPr>
      </w:pPr>
    </w:p>
    <w:p w14:paraId="317D3870"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Equity Weight</w:t>
      </w:r>
    </w:p>
    <w:p w14:paraId="2BEAEC84"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E / V = 800.23 / 1,307.40</w:t>
      </w:r>
      <w:r w:rsidRPr="002F6723">
        <w:rPr>
          <w:rFonts w:ascii="Calibri" w:eastAsia="Times New Roman" w:hAnsi="Calibri" w:cs="Calibri"/>
          <w:kern w:val="0"/>
          <w:lang w:val="en-IN" w:eastAsia="en-IN"/>
          <w14:ligatures w14:val="none"/>
        </w:rPr>
        <w:br/>
        <w:t xml:space="preserve">E / V = </w:t>
      </w:r>
      <w:r w:rsidRPr="002F6723">
        <w:rPr>
          <w:rFonts w:ascii="Calibri" w:eastAsia="Times New Roman" w:hAnsi="Calibri" w:cs="Calibri"/>
          <w:b/>
          <w:bCs/>
          <w:kern w:val="0"/>
          <w:lang w:val="en-IN" w:eastAsia="en-IN"/>
          <w14:ligatures w14:val="none"/>
        </w:rPr>
        <w:t>61.2%</w:t>
      </w:r>
    </w:p>
    <w:p w14:paraId="6E8056E5"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58F49269">
          <v:rect id="_x0000_i1031" style="width:0;height:1.5pt" o:hralign="center" o:hrstd="t" o:hr="t" fillcolor="#a0a0a0" stroked="f"/>
        </w:pict>
      </w:r>
    </w:p>
    <w:p w14:paraId="4C929251"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Debt Weight</w:t>
      </w:r>
    </w:p>
    <w:p w14:paraId="2E040279"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D / V = 507.17 / 1,307.40</w:t>
      </w:r>
      <w:r w:rsidRPr="002F6723">
        <w:rPr>
          <w:rFonts w:ascii="Calibri" w:eastAsia="Times New Roman" w:hAnsi="Calibri" w:cs="Calibri"/>
          <w:kern w:val="0"/>
          <w:lang w:val="en-IN" w:eastAsia="en-IN"/>
          <w14:ligatures w14:val="none"/>
        </w:rPr>
        <w:br/>
        <w:t xml:space="preserve">D / V = </w:t>
      </w:r>
      <w:r w:rsidRPr="002F6723">
        <w:rPr>
          <w:rFonts w:ascii="Calibri" w:eastAsia="Times New Roman" w:hAnsi="Calibri" w:cs="Calibri"/>
          <w:b/>
          <w:bCs/>
          <w:kern w:val="0"/>
          <w:lang w:val="en-IN" w:eastAsia="en-IN"/>
          <w14:ligatures w14:val="none"/>
        </w:rPr>
        <w:t>38.8%</w:t>
      </w:r>
    </w:p>
    <w:p w14:paraId="6ADF95A6"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39A1A7A0">
          <v:rect id="_x0000_i1032" style="width:0;height:1.5pt" o:hralign="center" o:hrstd="t" o:hr="t" fillcolor="#a0a0a0" stroked="f"/>
        </w:pict>
      </w:r>
    </w:p>
    <w:p w14:paraId="1E7CFC44" w14:textId="77777777" w:rsidR="00E50274" w:rsidRPr="002F6723" w:rsidRDefault="00E50274"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WACC</w:t>
      </w:r>
    </w:p>
    <w:p w14:paraId="3BE67307"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Formula</w:t>
      </w:r>
    </w:p>
    <w:p w14:paraId="12D7A179"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WACC = (E / V × Re) + (D / V × Kd (1 − T))</w:t>
      </w:r>
    </w:p>
    <w:p w14:paraId="755A4ED5"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lastRenderedPageBreak/>
        <w:pict w14:anchorId="09A88B08">
          <v:rect id="_x0000_i1033" style="width:0;height:1.5pt" o:hralign="center" o:hrstd="t" o:hr="t" fillcolor="#a0a0a0" stroked="f"/>
        </w:pict>
      </w:r>
    </w:p>
    <w:p w14:paraId="248F4435"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Calculation</w:t>
      </w:r>
    </w:p>
    <w:p w14:paraId="27385E6D"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WACC = (0.612 × 15.60%) + (0.388 × 3.74%)</w:t>
      </w:r>
      <w:r w:rsidRPr="002F6723">
        <w:rPr>
          <w:rFonts w:ascii="Calibri" w:eastAsia="Times New Roman" w:hAnsi="Calibri" w:cs="Calibri"/>
          <w:kern w:val="0"/>
          <w:lang w:val="en-IN" w:eastAsia="en-IN"/>
          <w14:ligatures w14:val="none"/>
        </w:rPr>
        <w:br/>
        <w:t>WACC = 9.55% + 1.45%</w:t>
      </w:r>
      <w:r w:rsidRPr="002F6723">
        <w:rPr>
          <w:rFonts w:ascii="Calibri" w:eastAsia="Times New Roman" w:hAnsi="Calibri" w:cs="Calibri"/>
          <w:kern w:val="0"/>
          <w:lang w:val="en-IN" w:eastAsia="en-IN"/>
          <w14:ligatures w14:val="none"/>
        </w:rPr>
        <w:br/>
        <w:t xml:space="preserve">WACC = </w:t>
      </w:r>
      <w:r w:rsidRPr="002F6723">
        <w:rPr>
          <w:rFonts w:ascii="Calibri" w:eastAsia="Times New Roman" w:hAnsi="Calibri" w:cs="Calibri"/>
          <w:b/>
          <w:bCs/>
          <w:kern w:val="0"/>
          <w:lang w:val="en-IN" w:eastAsia="en-IN"/>
          <w14:ligatures w14:val="none"/>
        </w:rPr>
        <w:t>11.00% (approx.)</w:t>
      </w:r>
    </w:p>
    <w:p w14:paraId="388B45C7"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21EA6695">
          <v:rect id="_x0000_i1034" style="width:0;height:1.5pt" o:hralign="center" o:hrstd="t" o:hr="t" fillcolor="#a0a0a0" stroked="f"/>
        </w:pict>
      </w:r>
    </w:p>
    <w:p w14:paraId="5200B663" w14:textId="77777777" w:rsidR="00E50274" w:rsidRPr="002F6723" w:rsidRDefault="00E50274"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Result</w:t>
      </w:r>
    </w:p>
    <w:p w14:paraId="0061DEAB" w14:textId="613FE2B6"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b/>
          <w:bCs/>
          <w:kern w:val="0"/>
          <w:lang w:val="en-IN" w:eastAsia="en-IN"/>
          <w14:ligatures w14:val="none"/>
        </w:rPr>
        <w:t>WACC = 11.0%</w:t>
      </w:r>
    </w:p>
    <w:p w14:paraId="45A7EC69"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386E3034">
          <v:rect id="_x0000_i1035" style="width:0;height:1.5pt" o:hralign="center" o:hrstd="t" o:hr="t" fillcolor="#a0a0a0" stroked="f"/>
        </w:pict>
      </w:r>
    </w:p>
    <w:p w14:paraId="56254B04" w14:textId="77777777" w:rsidR="00E50274" w:rsidRPr="002F6723" w:rsidRDefault="00E50274"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Intrinsic Value Estimation</w:t>
      </w:r>
    </w:p>
    <w:p w14:paraId="6FBBBCA1"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Using WACC and projected future cash flows:</w:t>
      </w:r>
    </w:p>
    <w:p w14:paraId="10406713" w14:textId="1186707D"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b/>
          <w:bCs/>
          <w:kern w:val="0"/>
          <w:lang w:val="en-IN" w:eastAsia="en-IN"/>
          <w14:ligatures w14:val="none"/>
        </w:rPr>
        <w:t>Intrinsic Value = $338.60 per share</w:t>
      </w:r>
    </w:p>
    <w:p w14:paraId="11BEFDAD" w14:textId="6F45E1C3" w:rsidR="00E50274" w:rsidRPr="002F6723" w:rsidRDefault="00E50274" w:rsidP="000C25A2">
      <w:pPr>
        <w:spacing w:after="0" w:line="276" w:lineRule="auto"/>
        <w:rPr>
          <w:rFonts w:ascii="Calibri" w:eastAsia="Times New Roman" w:hAnsi="Calibri" w:cs="Calibri"/>
          <w:kern w:val="0"/>
          <w:lang w:val="en-IN" w:eastAsia="en-IN"/>
          <w14:ligatures w14:val="none"/>
        </w:rPr>
      </w:pPr>
    </w:p>
    <w:p w14:paraId="66E4B6CE" w14:textId="77777777" w:rsidR="000C25A2" w:rsidRDefault="000C25A2"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p>
    <w:p w14:paraId="67168B0B" w14:textId="0689934D" w:rsidR="00E50274" w:rsidRPr="002F6723" w:rsidRDefault="00E50274" w:rsidP="000C25A2">
      <w:pPr>
        <w:spacing w:before="100" w:beforeAutospacing="1" w:after="100" w:afterAutospacing="1" w:line="276"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Comparison with Market Price</w:t>
      </w:r>
    </w:p>
    <w:p w14:paraId="66E123D9" w14:textId="77777777" w:rsidR="00E50274" w:rsidRPr="002F6723" w:rsidRDefault="00E50274" w:rsidP="000C25A2">
      <w:pPr>
        <w:numPr>
          <w:ilvl w:val="0"/>
          <w:numId w:val="45"/>
        </w:num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Current Market Price = </w:t>
      </w:r>
      <w:r w:rsidRPr="002F6723">
        <w:rPr>
          <w:rFonts w:ascii="Calibri" w:eastAsia="Times New Roman" w:hAnsi="Calibri" w:cs="Calibri"/>
          <w:b/>
          <w:bCs/>
          <w:kern w:val="0"/>
          <w:lang w:val="en-IN" w:eastAsia="en-IN"/>
          <w14:ligatures w14:val="none"/>
        </w:rPr>
        <w:t>$283.77</w:t>
      </w:r>
      <w:r w:rsidRPr="002F6723">
        <w:rPr>
          <w:rFonts w:ascii="Calibri" w:eastAsia="Times New Roman" w:hAnsi="Calibri" w:cs="Calibri"/>
          <w:kern w:val="0"/>
          <w:lang w:val="en-IN" w:eastAsia="en-IN"/>
          <w14:ligatures w14:val="none"/>
        </w:rPr>
        <w:t xml:space="preserve"> </w:t>
      </w:r>
    </w:p>
    <w:p w14:paraId="66292986" w14:textId="77777777" w:rsidR="00E50274" w:rsidRPr="002F6723" w:rsidRDefault="00E50274" w:rsidP="000C25A2">
      <w:pPr>
        <w:numPr>
          <w:ilvl w:val="0"/>
          <w:numId w:val="45"/>
        </w:num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Intrinsic Value = </w:t>
      </w:r>
      <w:r w:rsidRPr="002F6723">
        <w:rPr>
          <w:rFonts w:ascii="Calibri" w:eastAsia="Times New Roman" w:hAnsi="Calibri" w:cs="Calibri"/>
          <w:b/>
          <w:bCs/>
          <w:kern w:val="0"/>
          <w:lang w:val="en-IN" w:eastAsia="en-IN"/>
          <w14:ligatures w14:val="none"/>
        </w:rPr>
        <w:t>$338.60</w:t>
      </w:r>
      <w:r w:rsidRPr="002F6723">
        <w:rPr>
          <w:rFonts w:ascii="Calibri" w:eastAsia="Times New Roman" w:hAnsi="Calibri" w:cs="Calibri"/>
          <w:kern w:val="0"/>
          <w:lang w:val="en-IN" w:eastAsia="en-IN"/>
          <w14:ligatures w14:val="none"/>
        </w:rPr>
        <w:t xml:space="preserve"> </w:t>
      </w:r>
    </w:p>
    <w:p w14:paraId="542AF6E2"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7B80C9C1">
          <v:rect id="_x0000_i1036" style="width:0;height:1.5pt" o:hralign="center" o:hrstd="t" o:hr="t" fillcolor="#a0a0a0" stroked="f"/>
        </w:pict>
      </w:r>
    </w:p>
    <w:p w14:paraId="0F4E29F3"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Difference</w:t>
      </w:r>
    </w:p>
    <w:p w14:paraId="44AC0DB1"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338.60 − 283.77 = </w:t>
      </w:r>
      <w:r w:rsidRPr="002F6723">
        <w:rPr>
          <w:rFonts w:ascii="Calibri" w:eastAsia="Times New Roman" w:hAnsi="Calibri" w:cs="Calibri"/>
          <w:b/>
          <w:bCs/>
          <w:kern w:val="0"/>
          <w:lang w:val="en-IN" w:eastAsia="en-IN"/>
          <w14:ligatures w14:val="none"/>
        </w:rPr>
        <w:t>54.83</w:t>
      </w:r>
    </w:p>
    <w:p w14:paraId="179624E8"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16C8F79D">
          <v:rect id="_x0000_i1037" style="width:0;height:1.5pt" o:hralign="center" o:hrstd="t" o:hr="t" fillcolor="#a0a0a0" stroked="f"/>
        </w:pict>
      </w:r>
    </w:p>
    <w:p w14:paraId="76129771" w14:textId="77777777" w:rsidR="00E50274" w:rsidRPr="002F6723" w:rsidRDefault="00E50274" w:rsidP="000C25A2">
      <w:pPr>
        <w:spacing w:before="100" w:beforeAutospacing="1" w:after="100" w:afterAutospacing="1" w:line="276" w:lineRule="auto"/>
        <w:outlineLvl w:val="2"/>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Percentage Difference</w:t>
      </w:r>
    </w:p>
    <w:p w14:paraId="4248CEF9" w14:textId="77777777" w:rsidR="00E50274" w:rsidRPr="002F6723" w:rsidRDefault="00E50274" w:rsidP="000C25A2">
      <w:pPr>
        <w:spacing w:before="100" w:beforeAutospacing="1" w:after="100" w:afterAutospacing="1" w:line="276"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lastRenderedPageBreak/>
        <w:t xml:space="preserve">54.83 / 283.77 ≈ </w:t>
      </w:r>
      <w:r w:rsidRPr="002F6723">
        <w:rPr>
          <w:rFonts w:ascii="Calibri" w:eastAsia="Times New Roman" w:hAnsi="Calibri" w:cs="Calibri"/>
          <w:b/>
          <w:bCs/>
          <w:kern w:val="0"/>
          <w:lang w:val="en-IN" w:eastAsia="en-IN"/>
          <w14:ligatures w14:val="none"/>
        </w:rPr>
        <w:t>19.3%</w:t>
      </w:r>
    </w:p>
    <w:p w14:paraId="7E390949" w14:textId="77777777" w:rsidR="00E50274" w:rsidRPr="002F6723" w:rsidRDefault="00000000" w:rsidP="000C25A2">
      <w:pPr>
        <w:spacing w:after="0" w:line="276" w:lineRule="auto"/>
        <w:rPr>
          <w:rFonts w:ascii="Calibri" w:eastAsia="Times New Roman" w:hAnsi="Calibri" w:cs="Calibri"/>
          <w:kern w:val="0"/>
          <w:lang w:val="en-IN" w:eastAsia="en-IN"/>
          <w14:ligatures w14:val="none"/>
        </w:rPr>
      </w:pPr>
      <w:r>
        <w:rPr>
          <w:rFonts w:ascii="Calibri" w:eastAsia="Times New Roman" w:hAnsi="Calibri" w:cs="Calibri"/>
          <w:kern w:val="0"/>
          <w:lang w:val="en-IN" w:eastAsia="en-IN"/>
          <w14:ligatures w14:val="none"/>
        </w:rPr>
        <w:pict w14:anchorId="36CFF74F">
          <v:rect id="_x0000_i1038" style="width:0;height:1.5pt" o:hralign="center" o:hrstd="t" o:hr="t" fillcolor="#a0a0a0" stroked="f"/>
        </w:pict>
      </w:r>
    </w:p>
    <w:p w14:paraId="6D2625C2" w14:textId="77777777" w:rsidR="00E50274" w:rsidRPr="002F6723" w:rsidRDefault="00E50274" w:rsidP="002F6723">
      <w:pPr>
        <w:spacing w:before="100" w:beforeAutospacing="1" w:after="100" w:afterAutospacing="1" w:line="360" w:lineRule="auto"/>
        <w:outlineLvl w:val="1"/>
        <w:rPr>
          <w:rFonts w:ascii="Calibri" w:eastAsia="Times New Roman" w:hAnsi="Calibri" w:cs="Calibri"/>
          <w:b/>
          <w:bCs/>
          <w:kern w:val="0"/>
          <w:lang w:val="en-IN" w:eastAsia="en-IN"/>
          <w14:ligatures w14:val="none"/>
        </w:rPr>
      </w:pPr>
      <w:r w:rsidRPr="002F6723">
        <w:rPr>
          <w:rFonts w:ascii="Calibri" w:eastAsia="Times New Roman" w:hAnsi="Calibri" w:cs="Calibri"/>
          <w:b/>
          <w:bCs/>
          <w:kern w:val="0"/>
          <w:lang w:val="en-IN" w:eastAsia="en-IN"/>
          <w14:ligatures w14:val="none"/>
        </w:rPr>
        <w:t>Interpretation</w:t>
      </w:r>
    </w:p>
    <w:p w14:paraId="6B838793" w14:textId="77777777" w:rsidR="00E50274" w:rsidRPr="002F6723" w:rsidRDefault="00E50274" w:rsidP="000C25A2">
      <w:p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JPMorgan Chase appears </w:t>
      </w:r>
      <w:r w:rsidRPr="002F6723">
        <w:rPr>
          <w:rFonts w:ascii="Calibri" w:eastAsia="Times New Roman" w:hAnsi="Calibri" w:cs="Calibri"/>
          <w:b/>
          <w:bCs/>
          <w:kern w:val="0"/>
          <w:lang w:val="en-IN" w:eastAsia="en-IN"/>
          <w14:ligatures w14:val="none"/>
        </w:rPr>
        <w:t>undervalued</w:t>
      </w:r>
      <w:r w:rsidRPr="002F6723">
        <w:rPr>
          <w:rFonts w:ascii="Calibri" w:eastAsia="Times New Roman" w:hAnsi="Calibri" w:cs="Calibri"/>
          <w:kern w:val="0"/>
          <w:lang w:val="en-IN" w:eastAsia="en-IN"/>
          <w14:ligatures w14:val="none"/>
        </w:rPr>
        <w:t xml:space="preserve"> based on WACC valuation.</w:t>
      </w:r>
    </w:p>
    <w:p w14:paraId="2FF4F53C" w14:textId="77777777" w:rsidR="00E50274" w:rsidRPr="002F6723" w:rsidRDefault="00E50274" w:rsidP="000C25A2">
      <w:p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This is supported by:</w:t>
      </w:r>
    </w:p>
    <w:p w14:paraId="6370C8C0" w14:textId="77777777" w:rsidR="00E50274" w:rsidRPr="002F6723" w:rsidRDefault="00E50274" w:rsidP="000C25A2">
      <w:pPr>
        <w:numPr>
          <w:ilvl w:val="0"/>
          <w:numId w:val="46"/>
        </w:num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Strong profitability (ROE: 15.7%) </w:t>
      </w:r>
    </w:p>
    <w:p w14:paraId="78D2524D" w14:textId="77777777" w:rsidR="00E50274" w:rsidRPr="002F6723" w:rsidRDefault="00E50274" w:rsidP="000C25A2">
      <w:pPr>
        <w:numPr>
          <w:ilvl w:val="0"/>
          <w:numId w:val="46"/>
        </w:num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High free cash flow </w:t>
      </w:r>
    </w:p>
    <w:p w14:paraId="37AC4B09" w14:textId="77777777" w:rsidR="00E50274" w:rsidRPr="002F6723" w:rsidRDefault="00E50274" w:rsidP="000C25A2">
      <w:pPr>
        <w:numPr>
          <w:ilvl w:val="0"/>
          <w:numId w:val="46"/>
        </w:num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Strong market position </w:t>
      </w:r>
    </w:p>
    <w:p w14:paraId="2F424756" w14:textId="0792CFB5" w:rsidR="000C25A2" w:rsidRPr="000C25A2" w:rsidRDefault="00E50274" w:rsidP="000C25A2">
      <w:pPr>
        <w:spacing w:before="100" w:beforeAutospacing="1" w:after="100" w:afterAutospacing="1" w:line="360" w:lineRule="auto"/>
        <w:jc w:val="both"/>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Although simplified DCF models may produce different results, they are less reliable for banks due to the nature of financial institutions.</w:t>
      </w:r>
    </w:p>
    <w:p w14:paraId="40F534E7" w14:textId="3D5C978E" w:rsidR="000C4960" w:rsidRPr="002F6723" w:rsidRDefault="000C4960" w:rsidP="002F6723">
      <w:pPr>
        <w:spacing w:line="360" w:lineRule="auto"/>
        <w:rPr>
          <w:rFonts w:ascii="Calibri" w:hAnsi="Calibri" w:cs="Calibri"/>
          <w:b/>
          <w:bCs/>
          <w:sz w:val="28"/>
          <w:szCs w:val="28"/>
        </w:rPr>
      </w:pPr>
      <w:r w:rsidRPr="002F6723">
        <w:rPr>
          <w:rFonts w:ascii="Calibri" w:hAnsi="Calibri" w:cs="Calibri"/>
          <w:b/>
          <w:bCs/>
          <w:sz w:val="28"/>
          <w:szCs w:val="28"/>
        </w:rPr>
        <w:t>C. Technical Analysis</w:t>
      </w:r>
    </w:p>
    <w:p w14:paraId="4A9A1F5D" w14:textId="30BFF75D" w:rsidR="00FE786C" w:rsidRPr="002F6723" w:rsidRDefault="007507B9" w:rsidP="002F6723">
      <w:pPr>
        <w:spacing w:line="360" w:lineRule="auto"/>
        <w:rPr>
          <w:rFonts w:ascii="Calibri" w:hAnsi="Calibri" w:cs="Calibri"/>
        </w:rPr>
      </w:pPr>
      <w:r w:rsidRPr="002F6723">
        <w:rPr>
          <w:rFonts w:ascii="Calibri" w:hAnsi="Calibri" w:cs="Calibri"/>
          <w:b/>
          <w:bCs/>
        </w:rPr>
        <w:t>1. Stock Price Analysis</w:t>
      </w:r>
      <w:r w:rsidRPr="002F6723">
        <w:rPr>
          <w:rFonts w:ascii="Calibri" w:hAnsi="Calibri" w:cs="Calibri"/>
          <w:b/>
          <w:bCs/>
          <w:noProof/>
        </w:rPr>
        <w:drawing>
          <wp:inline distT="0" distB="0" distL="0" distR="0" wp14:anchorId="4F8165D4" wp14:editId="7A444805">
            <wp:extent cx="6076950" cy="3208020"/>
            <wp:effectExtent l="0" t="0" r="0" b="0"/>
            <wp:docPr id="42231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1821" name=""/>
                    <pic:cNvPicPr/>
                  </pic:nvPicPr>
                  <pic:blipFill>
                    <a:blip r:embed="rId7"/>
                    <a:stretch>
                      <a:fillRect/>
                    </a:stretch>
                  </pic:blipFill>
                  <pic:spPr>
                    <a:xfrm>
                      <a:off x="0" y="0"/>
                      <a:ext cx="6076950" cy="3208020"/>
                    </a:xfrm>
                    <a:prstGeom prst="rect">
                      <a:avLst/>
                    </a:prstGeom>
                  </pic:spPr>
                </pic:pic>
              </a:graphicData>
            </a:graphic>
          </wp:inline>
        </w:drawing>
      </w:r>
    </w:p>
    <w:p w14:paraId="19652E97" w14:textId="3E0208AE" w:rsidR="00C749BF" w:rsidRPr="002F6723" w:rsidRDefault="00C749BF" w:rsidP="000C25A2">
      <w:pPr>
        <w:spacing w:line="360" w:lineRule="auto"/>
        <w:jc w:val="both"/>
        <w:rPr>
          <w:rFonts w:ascii="Calibri" w:hAnsi="Calibri" w:cs="Calibri"/>
        </w:rPr>
      </w:pPr>
      <w:r w:rsidRPr="002F6723">
        <w:rPr>
          <w:rFonts w:ascii="Calibri" w:hAnsi="Calibri" w:cs="Calibri"/>
        </w:rPr>
        <w:lastRenderedPageBreak/>
        <w:t>The one-year stock price trend of JPMorgan Chase shows an overall upward movement with moderate volatility. The stock began around the $210–$240 range and experienced a steady increase, reaching a peak of approximately $330–$335 in early 2026. This upward trend indicates strong investor confidence and positive market sentiment toward the company.</w:t>
      </w:r>
    </w:p>
    <w:p w14:paraId="2AE24FA6" w14:textId="6F13D4AC" w:rsidR="00C749BF" w:rsidRPr="002F6723" w:rsidRDefault="00C749BF" w:rsidP="000C25A2">
      <w:pPr>
        <w:spacing w:line="360" w:lineRule="auto"/>
        <w:jc w:val="both"/>
        <w:rPr>
          <w:rFonts w:ascii="Calibri" w:hAnsi="Calibri" w:cs="Calibri"/>
        </w:rPr>
      </w:pPr>
      <w:r w:rsidRPr="002F6723">
        <w:rPr>
          <w:rFonts w:ascii="Calibri" w:hAnsi="Calibri" w:cs="Calibri"/>
        </w:rPr>
        <w:t>Throughout the period, the stock exhibited short-term fluctuations, reflecting normal market volatility and reactions to macroeconomic factors such as interest rate changes and economic conditions. After reaching its peak, the price experienced a slight correction and stabilized around the $280–$300 range, suggesting consolidation after a strong rally.</w:t>
      </w:r>
    </w:p>
    <w:p w14:paraId="3F045BB4" w14:textId="1CB77979" w:rsidR="00C749BF" w:rsidRPr="000C25A2" w:rsidRDefault="00C749BF" w:rsidP="000C25A2">
      <w:pPr>
        <w:spacing w:line="360" w:lineRule="auto"/>
        <w:jc w:val="both"/>
        <w:rPr>
          <w:rFonts w:ascii="Calibri" w:hAnsi="Calibri" w:cs="Calibri"/>
        </w:rPr>
      </w:pPr>
      <w:r w:rsidRPr="002F6723">
        <w:rPr>
          <w:rFonts w:ascii="Calibri" w:hAnsi="Calibri" w:cs="Calibri"/>
        </w:rPr>
        <w:t>Overall, the trend demonstrates that JPMorgan has maintained consistent growth performance, supported by strong financial fundamentals and market leadership. The moderate volatility combined with a positive long-term trend makes the stock attractive for long-term investors.</w:t>
      </w:r>
    </w:p>
    <w:p w14:paraId="3D2702F6" w14:textId="66D2C60A" w:rsidR="000C4960" w:rsidRPr="002F6723" w:rsidRDefault="007507B9" w:rsidP="002F6723">
      <w:pPr>
        <w:spacing w:line="360" w:lineRule="auto"/>
        <w:rPr>
          <w:rFonts w:ascii="Calibri" w:hAnsi="Calibri" w:cs="Calibri"/>
          <w:b/>
          <w:bCs/>
        </w:rPr>
      </w:pPr>
      <w:r w:rsidRPr="002F6723">
        <w:rPr>
          <w:rFonts w:ascii="Calibri" w:hAnsi="Calibri" w:cs="Calibri"/>
          <w:b/>
          <w:bCs/>
        </w:rPr>
        <w:t xml:space="preserve">2. </w:t>
      </w:r>
      <w:r w:rsidR="000C4960" w:rsidRPr="002F6723">
        <w:rPr>
          <w:rFonts w:ascii="Calibri" w:hAnsi="Calibri" w:cs="Calibri"/>
          <w:b/>
          <w:bCs/>
        </w:rPr>
        <w:t>Monte Carlo Simulation</w:t>
      </w:r>
    </w:p>
    <w:p w14:paraId="6AD58174" w14:textId="77777777" w:rsidR="007507B9" w:rsidRPr="002F6723" w:rsidRDefault="007507B9" w:rsidP="002F6723">
      <w:pPr>
        <w:pStyle w:val="NoSpacing"/>
        <w:numPr>
          <w:ilvl w:val="0"/>
          <w:numId w:val="28"/>
        </w:numPr>
        <w:spacing w:line="360" w:lineRule="auto"/>
        <w:rPr>
          <w:rFonts w:ascii="Calibri" w:hAnsi="Calibri" w:cs="Calibri"/>
          <w:lang w:val="en-IN"/>
        </w:rPr>
      </w:pPr>
      <w:r w:rsidRPr="002F6723">
        <w:rPr>
          <w:rFonts w:ascii="Calibri" w:hAnsi="Calibri" w:cs="Calibri"/>
          <w:lang w:val="en-IN"/>
        </w:rPr>
        <w:t>Current Market Price: $283.77</w:t>
      </w:r>
    </w:p>
    <w:p w14:paraId="64A43B93" w14:textId="5217DF12" w:rsidR="007507B9" w:rsidRPr="002F6723" w:rsidRDefault="007507B9" w:rsidP="002F6723">
      <w:pPr>
        <w:pStyle w:val="NoSpacing"/>
        <w:numPr>
          <w:ilvl w:val="0"/>
          <w:numId w:val="28"/>
        </w:numPr>
        <w:spacing w:line="360" w:lineRule="auto"/>
        <w:rPr>
          <w:rFonts w:ascii="Calibri" w:hAnsi="Calibri" w:cs="Calibri"/>
          <w:lang w:val="en-IN"/>
        </w:rPr>
      </w:pPr>
      <w:r w:rsidRPr="002F6723">
        <w:rPr>
          <w:rFonts w:ascii="Calibri" w:hAnsi="Calibri" w:cs="Calibri"/>
          <w:lang w:val="en-IN"/>
        </w:rPr>
        <w:t>Mean Forecast (30 days): $291.45</w:t>
      </w:r>
    </w:p>
    <w:p w14:paraId="730CEE1E" w14:textId="77777777" w:rsidR="007507B9" w:rsidRPr="002F6723" w:rsidRDefault="007507B9" w:rsidP="002F6723">
      <w:pPr>
        <w:pStyle w:val="NoSpacing"/>
        <w:numPr>
          <w:ilvl w:val="0"/>
          <w:numId w:val="28"/>
        </w:numPr>
        <w:spacing w:line="360" w:lineRule="auto"/>
        <w:rPr>
          <w:rFonts w:ascii="Calibri" w:hAnsi="Calibri" w:cs="Calibri"/>
          <w:lang w:val="en-IN"/>
        </w:rPr>
      </w:pPr>
      <w:r w:rsidRPr="002F6723">
        <w:rPr>
          <w:rFonts w:ascii="Calibri" w:hAnsi="Calibri" w:cs="Calibri"/>
          <w:lang w:val="en-IN"/>
        </w:rPr>
        <w:t>Forecast Range (Risk): $232.31 to $351.13</w:t>
      </w:r>
    </w:p>
    <w:p w14:paraId="50ECA34F" w14:textId="0B8E7436" w:rsidR="00FE786C" w:rsidRPr="002F6723" w:rsidRDefault="007507B9" w:rsidP="002F6723">
      <w:pPr>
        <w:pStyle w:val="NoSpacing"/>
        <w:spacing w:line="360" w:lineRule="auto"/>
        <w:rPr>
          <w:rFonts w:ascii="Calibri" w:hAnsi="Calibri" w:cs="Calibri"/>
        </w:rPr>
      </w:pPr>
      <w:r w:rsidRPr="002F6723">
        <w:rPr>
          <w:rFonts w:ascii="Calibri" w:hAnsi="Calibri" w:cs="Calibri"/>
          <w:noProof/>
        </w:rPr>
        <w:lastRenderedPageBreak/>
        <w:drawing>
          <wp:inline distT="0" distB="0" distL="0" distR="0" wp14:anchorId="5C74C9B1" wp14:editId="71F151DC">
            <wp:extent cx="5943600" cy="3792220"/>
            <wp:effectExtent l="0" t="0" r="0" b="0"/>
            <wp:docPr id="163538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84983" name=""/>
                    <pic:cNvPicPr/>
                  </pic:nvPicPr>
                  <pic:blipFill>
                    <a:blip r:embed="rId8"/>
                    <a:stretch>
                      <a:fillRect/>
                    </a:stretch>
                  </pic:blipFill>
                  <pic:spPr>
                    <a:xfrm>
                      <a:off x="0" y="0"/>
                      <a:ext cx="5943600" cy="3792220"/>
                    </a:xfrm>
                    <a:prstGeom prst="rect">
                      <a:avLst/>
                    </a:prstGeom>
                  </pic:spPr>
                </pic:pic>
              </a:graphicData>
            </a:graphic>
          </wp:inline>
        </w:drawing>
      </w:r>
    </w:p>
    <w:p w14:paraId="220A794D" w14:textId="77777777" w:rsidR="00C749BF" w:rsidRPr="002F6723" w:rsidRDefault="00C749BF" w:rsidP="002F6723">
      <w:pPr>
        <w:pStyle w:val="NoSpacing"/>
        <w:spacing w:line="360" w:lineRule="auto"/>
        <w:rPr>
          <w:rFonts w:ascii="Calibri" w:hAnsi="Calibri" w:cs="Calibri"/>
          <w:lang w:val="en-IN"/>
        </w:rPr>
      </w:pPr>
    </w:p>
    <w:p w14:paraId="49E127EE" w14:textId="6A413478" w:rsidR="00C749BF" w:rsidRDefault="00C749BF" w:rsidP="000C25A2">
      <w:pPr>
        <w:pStyle w:val="NoSpacing"/>
        <w:spacing w:line="360" w:lineRule="auto"/>
        <w:jc w:val="both"/>
        <w:rPr>
          <w:rFonts w:ascii="Calibri" w:hAnsi="Calibri" w:cs="Calibri"/>
          <w:lang w:val="en-IN"/>
        </w:rPr>
      </w:pPr>
      <w:r w:rsidRPr="002F6723">
        <w:rPr>
          <w:rFonts w:ascii="Calibri" w:hAnsi="Calibri" w:cs="Calibri"/>
          <w:lang w:val="en-IN"/>
        </w:rPr>
        <w:t xml:space="preserve">The simulation results show that JPMorgan’s stock price is expected to remain relatively stable with a slight upward bias over the next 30 days. The mean forecast of $291.45 is higher than the current price, suggesting </w:t>
      </w:r>
      <w:r w:rsidRPr="002F6723">
        <w:rPr>
          <w:rFonts w:ascii="Calibri" w:hAnsi="Calibri" w:cs="Calibri"/>
          <w:b/>
          <w:bCs/>
          <w:lang w:val="en-IN"/>
        </w:rPr>
        <w:t>potential short-term growth</w:t>
      </w:r>
      <w:r w:rsidRPr="002F6723">
        <w:rPr>
          <w:rFonts w:ascii="Calibri" w:hAnsi="Calibri" w:cs="Calibri"/>
          <w:lang w:val="en-IN"/>
        </w:rPr>
        <w:t>.</w:t>
      </w:r>
    </w:p>
    <w:p w14:paraId="689565B0" w14:textId="77777777" w:rsidR="000C25A2" w:rsidRPr="002F6723" w:rsidRDefault="000C25A2" w:rsidP="000C25A2">
      <w:pPr>
        <w:pStyle w:val="NoSpacing"/>
        <w:spacing w:line="360" w:lineRule="auto"/>
        <w:jc w:val="both"/>
        <w:rPr>
          <w:rFonts w:ascii="Calibri" w:hAnsi="Calibri" w:cs="Calibri"/>
          <w:lang w:val="en-IN"/>
        </w:rPr>
      </w:pPr>
    </w:p>
    <w:p w14:paraId="0472A82F" w14:textId="45BBD885" w:rsidR="00C749BF" w:rsidRDefault="00C749BF" w:rsidP="000C25A2">
      <w:pPr>
        <w:pStyle w:val="NoSpacing"/>
        <w:spacing w:line="360" w:lineRule="auto"/>
        <w:jc w:val="both"/>
        <w:rPr>
          <w:rFonts w:ascii="Calibri" w:hAnsi="Calibri" w:cs="Calibri"/>
          <w:lang w:val="en-IN"/>
        </w:rPr>
      </w:pPr>
      <w:r w:rsidRPr="002F6723">
        <w:rPr>
          <w:rFonts w:ascii="Calibri" w:hAnsi="Calibri" w:cs="Calibri"/>
          <w:lang w:val="en-IN"/>
        </w:rPr>
        <w:t xml:space="preserve">However, the wide forecast range indicates </w:t>
      </w:r>
      <w:r w:rsidRPr="002F6723">
        <w:rPr>
          <w:rFonts w:ascii="Calibri" w:hAnsi="Calibri" w:cs="Calibri"/>
          <w:b/>
          <w:bCs/>
          <w:lang w:val="en-IN"/>
        </w:rPr>
        <w:t>market uncertainty and volatility</w:t>
      </w:r>
      <w:r w:rsidRPr="002F6723">
        <w:rPr>
          <w:rFonts w:ascii="Calibri" w:hAnsi="Calibri" w:cs="Calibri"/>
          <w:lang w:val="en-IN"/>
        </w:rPr>
        <w:t>, meaning the stock price could fluctuate significantly within the given interval. This reflects sensitivity to market conditions such as interest rate changes and economic factors.</w:t>
      </w:r>
    </w:p>
    <w:p w14:paraId="128C1A20" w14:textId="77777777" w:rsidR="000C25A2" w:rsidRPr="000C25A2" w:rsidRDefault="000C25A2" w:rsidP="000C25A2">
      <w:pPr>
        <w:pStyle w:val="NoSpacing"/>
        <w:spacing w:line="360" w:lineRule="auto"/>
        <w:jc w:val="both"/>
        <w:rPr>
          <w:rFonts w:ascii="Calibri" w:hAnsi="Calibri" w:cs="Calibri"/>
          <w:lang w:val="en-IN"/>
        </w:rPr>
      </w:pPr>
    </w:p>
    <w:p w14:paraId="36C11A3B" w14:textId="77777777" w:rsidR="00C749BF" w:rsidRPr="002F6723" w:rsidRDefault="00C749BF" w:rsidP="002F6723">
      <w:pPr>
        <w:pStyle w:val="NoSpacing"/>
        <w:spacing w:line="360" w:lineRule="auto"/>
        <w:rPr>
          <w:rFonts w:ascii="Calibri" w:hAnsi="Calibri" w:cs="Calibri"/>
          <w:b/>
          <w:bCs/>
          <w:lang w:val="en-IN"/>
        </w:rPr>
      </w:pPr>
      <w:r w:rsidRPr="002F6723">
        <w:rPr>
          <w:rFonts w:ascii="Calibri" w:hAnsi="Calibri" w:cs="Calibri"/>
          <w:b/>
          <w:bCs/>
          <w:lang w:val="en-IN"/>
        </w:rPr>
        <w:t>Risk Analysis</w:t>
      </w:r>
    </w:p>
    <w:p w14:paraId="2918126A" w14:textId="77777777" w:rsidR="00C749BF" w:rsidRPr="002F6723" w:rsidRDefault="00C749BF" w:rsidP="000C25A2">
      <w:pPr>
        <w:pStyle w:val="NoSpacing"/>
        <w:spacing w:line="360" w:lineRule="auto"/>
        <w:jc w:val="both"/>
        <w:rPr>
          <w:rFonts w:ascii="Calibri" w:hAnsi="Calibri" w:cs="Calibri"/>
          <w:lang w:val="en-IN"/>
        </w:rPr>
      </w:pPr>
      <w:r w:rsidRPr="002F6723">
        <w:rPr>
          <w:rFonts w:ascii="Calibri" w:hAnsi="Calibri" w:cs="Calibri"/>
          <w:lang w:val="en-IN"/>
        </w:rPr>
        <w:t>Lower bound ($232) indicates downside risk</w:t>
      </w:r>
    </w:p>
    <w:p w14:paraId="1B874334" w14:textId="77777777" w:rsidR="00C749BF" w:rsidRPr="002F6723" w:rsidRDefault="00C749BF" w:rsidP="000C25A2">
      <w:pPr>
        <w:pStyle w:val="NoSpacing"/>
        <w:spacing w:line="360" w:lineRule="auto"/>
        <w:jc w:val="both"/>
        <w:rPr>
          <w:rFonts w:ascii="Calibri" w:hAnsi="Calibri" w:cs="Calibri"/>
          <w:lang w:val="en-IN"/>
        </w:rPr>
      </w:pPr>
      <w:r w:rsidRPr="002F6723">
        <w:rPr>
          <w:rFonts w:ascii="Calibri" w:hAnsi="Calibri" w:cs="Calibri"/>
          <w:lang w:val="en-IN"/>
        </w:rPr>
        <w:t>Upper bound ($351) shows strong upside potential</w:t>
      </w:r>
    </w:p>
    <w:p w14:paraId="2F29DB70" w14:textId="77777777" w:rsidR="00C749BF" w:rsidRDefault="00C749BF" w:rsidP="000C25A2">
      <w:pPr>
        <w:pStyle w:val="NoSpacing"/>
        <w:spacing w:line="360" w:lineRule="auto"/>
        <w:jc w:val="both"/>
        <w:rPr>
          <w:rFonts w:ascii="Calibri" w:hAnsi="Calibri" w:cs="Calibri"/>
          <w:lang w:val="en-IN"/>
        </w:rPr>
      </w:pPr>
      <w:r w:rsidRPr="002F6723">
        <w:rPr>
          <w:rFonts w:ascii="Calibri" w:hAnsi="Calibri" w:cs="Calibri"/>
          <w:lang w:val="en-IN"/>
        </w:rPr>
        <w:t>Spread of paths reflects moderate volatility</w:t>
      </w:r>
    </w:p>
    <w:p w14:paraId="71C27E39" w14:textId="77777777" w:rsidR="000C25A2" w:rsidRPr="002F6723" w:rsidRDefault="000C25A2" w:rsidP="000C25A2">
      <w:pPr>
        <w:pStyle w:val="NoSpacing"/>
        <w:spacing w:line="360" w:lineRule="auto"/>
        <w:jc w:val="both"/>
        <w:rPr>
          <w:rFonts w:ascii="Calibri" w:hAnsi="Calibri" w:cs="Calibri"/>
          <w:lang w:val="en-IN"/>
        </w:rPr>
      </w:pPr>
    </w:p>
    <w:p w14:paraId="2B9CFAD3" w14:textId="526E3DAF" w:rsidR="00C749BF" w:rsidRPr="000C25A2" w:rsidRDefault="00C749BF" w:rsidP="000C25A2">
      <w:pPr>
        <w:pStyle w:val="NoSpacing"/>
        <w:spacing w:line="360" w:lineRule="auto"/>
        <w:jc w:val="both"/>
        <w:rPr>
          <w:rFonts w:ascii="Calibri" w:hAnsi="Calibri" w:cs="Calibri"/>
          <w:b/>
          <w:bCs/>
          <w:lang w:val="en-IN"/>
        </w:rPr>
      </w:pPr>
      <w:r w:rsidRPr="000C25A2">
        <w:rPr>
          <w:rFonts w:ascii="Calibri" w:hAnsi="Calibri" w:cs="Calibri"/>
          <w:b/>
          <w:bCs/>
          <w:lang w:val="en-IN"/>
        </w:rPr>
        <w:t>Conclusion</w:t>
      </w:r>
    </w:p>
    <w:p w14:paraId="595C7A3E" w14:textId="404F3703" w:rsidR="00C749BF" w:rsidRPr="002F6723" w:rsidRDefault="00C749BF" w:rsidP="000C25A2">
      <w:pPr>
        <w:pStyle w:val="NoSpacing"/>
        <w:spacing w:line="360" w:lineRule="auto"/>
        <w:jc w:val="both"/>
        <w:rPr>
          <w:rFonts w:ascii="Calibri" w:hAnsi="Calibri" w:cs="Calibri"/>
          <w:lang w:val="en-IN"/>
        </w:rPr>
      </w:pPr>
      <w:r w:rsidRPr="002F6723">
        <w:rPr>
          <w:rFonts w:ascii="Calibri" w:hAnsi="Calibri" w:cs="Calibri"/>
          <w:lang w:val="en-IN"/>
        </w:rPr>
        <w:lastRenderedPageBreak/>
        <w:t>Overall, the Monte Carlo simulation suggests that while there is short-term uncertainty, the expected average price is higher than the current price. This supports a positive outlook and aligns with the overall BUY recommendation for JPMorgan stock.</w:t>
      </w:r>
    </w:p>
    <w:p w14:paraId="24A56B9E" w14:textId="77777777" w:rsidR="00C749BF" w:rsidRPr="002F6723" w:rsidRDefault="00C749BF" w:rsidP="002F6723">
      <w:pPr>
        <w:spacing w:line="360" w:lineRule="auto"/>
        <w:rPr>
          <w:rFonts w:ascii="Calibri" w:hAnsi="Calibri" w:cs="Calibri"/>
          <w:b/>
          <w:bCs/>
        </w:rPr>
      </w:pPr>
    </w:p>
    <w:p w14:paraId="05191CE1" w14:textId="04113EDE" w:rsidR="007507B9" w:rsidRPr="002F6723" w:rsidRDefault="007507B9" w:rsidP="002F6723">
      <w:pPr>
        <w:spacing w:line="360" w:lineRule="auto"/>
        <w:rPr>
          <w:rFonts w:ascii="Calibri" w:hAnsi="Calibri" w:cs="Calibri"/>
        </w:rPr>
      </w:pPr>
      <w:r w:rsidRPr="002F6723">
        <w:rPr>
          <w:rFonts w:ascii="Calibri" w:hAnsi="Calibri" w:cs="Calibri"/>
          <w:b/>
          <w:bCs/>
        </w:rPr>
        <w:t xml:space="preserve">3. FB Prophet Forecast </w:t>
      </w:r>
    </w:p>
    <w:p w14:paraId="47E71A16" w14:textId="07122CCB" w:rsidR="000C4960" w:rsidRPr="002F6723" w:rsidRDefault="000C4960" w:rsidP="002F6723">
      <w:pPr>
        <w:numPr>
          <w:ilvl w:val="0"/>
          <w:numId w:val="10"/>
        </w:numPr>
        <w:spacing w:line="360" w:lineRule="auto"/>
        <w:rPr>
          <w:rFonts w:ascii="Calibri" w:hAnsi="Calibri" w:cs="Calibri"/>
        </w:rPr>
      </w:pPr>
      <w:r w:rsidRPr="002F6723">
        <w:rPr>
          <w:rFonts w:ascii="Calibri" w:hAnsi="Calibri" w:cs="Calibri"/>
        </w:rPr>
        <w:t xml:space="preserve">Prophet model shows consistent upward </w:t>
      </w:r>
      <w:r w:rsidR="000D01B7" w:rsidRPr="002F6723">
        <w:rPr>
          <w:rFonts w:ascii="Calibri" w:hAnsi="Calibri" w:cs="Calibri"/>
        </w:rPr>
        <w:t>trend.</w:t>
      </w:r>
    </w:p>
    <w:p w14:paraId="0142D886" w14:textId="094F3F5C" w:rsidR="007507B9" w:rsidRPr="002F6723" w:rsidRDefault="000C4960" w:rsidP="002F6723">
      <w:pPr>
        <w:numPr>
          <w:ilvl w:val="0"/>
          <w:numId w:val="10"/>
        </w:numPr>
        <w:spacing w:line="360" w:lineRule="auto"/>
        <w:rPr>
          <w:rFonts w:ascii="Calibri" w:hAnsi="Calibri" w:cs="Calibri"/>
        </w:rPr>
      </w:pPr>
      <w:r w:rsidRPr="002F6723">
        <w:rPr>
          <w:rFonts w:ascii="Calibri" w:hAnsi="Calibri" w:cs="Calibri"/>
        </w:rPr>
        <w:t xml:space="preserve">Confidence intervals suggest low </w:t>
      </w:r>
      <w:r w:rsidR="000D01B7" w:rsidRPr="002F6723">
        <w:rPr>
          <w:rFonts w:ascii="Calibri" w:hAnsi="Calibri" w:cs="Calibri"/>
        </w:rPr>
        <w:t>volatility.</w:t>
      </w:r>
    </w:p>
    <w:p w14:paraId="39FAE5DD" w14:textId="4D713E40" w:rsidR="00F34DD7" w:rsidRPr="002F6723" w:rsidRDefault="007507B9" w:rsidP="002F6723">
      <w:pPr>
        <w:spacing w:line="360" w:lineRule="auto"/>
        <w:rPr>
          <w:rFonts w:ascii="Calibri" w:hAnsi="Calibri" w:cs="Calibri"/>
        </w:rPr>
      </w:pPr>
      <w:r w:rsidRPr="002F6723">
        <w:rPr>
          <w:rFonts w:ascii="Calibri" w:hAnsi="Calibri" w:cs="Calibri"/>
          <w:noProof/>
        </w:rPr>
        <w:drawing>
          <wp:inline distT="0" distB="0" distL="0" distR="0" wp14:anchorId="471BF11A" wp14:editId="5BFB3299">
            <wp:extent cx="5943600" cy="3105150"/>
            <wp:effectExtent l="0" t="0" r="0" b="0"/>
            <wp:docPr id="137122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27459" name=""/>
                    <pic:cNvPicPr/>
                  </pic:nvPicPr>
                  <pic:blipFill>
                    <a:blip r:embed="rId9"/>
                    <a:stretch>
                      <a:fillRect/>
                    </a:stretch>
                  </pic:blipFill>
                  <pic:spPr>
                    <a:xfrm>
                      <a:off x="0" y="0"/>
                      <a:ext cx="5943600" cy="3105150"/>
                    </a:xfrm>
                    <a:prstGeom prst="rect">
                      <a:avLst/>
                    </a:prstGeom>
                  </pic:spPr>
                </pic:pic>
              </a:graphicData>
            </a:graphic>
          </wp:inline>
        </w:drawing>
      </w:r>
    </w:p>
    <w:p w14:paraId="6B5E2E61" w14:textId="5191F46F" w:rsidR="00F34DD7" w:rsidRPr="002F6723" w:rsidRDefault="00F34DD7" w:rsidP="000C25A2">
      <w:pPr>
        <w:spacing w:line="360" w:lineRule="auto"/>
        <w:jc w:val="both"/>
        <w:rPr>
          <w:rFonts w:ascii="Calibri" w:hAnsi="Calibri" w:cs="Calibri"/>
        </w:rPr>
      </w:pPr>
      <w:r w:rsidRPr="002F6723">
        <w:rPr>
          <w:rFonts w:ascii="Calibri" w:hAnsi="Calibri" w:cs="Calibri"/>
        </w:rPr>
        <w:t>The forecast graph demonstrates that JPMorgan’s stock is expected to continue its growth trajectory. The upward slope of the forecast line indicates strong momentum driven by the company’s solid financial performance and market position.</w:t>
      </w:r>
    </w:p>
    <w:p w14:paraId="7AE3F7D2" w14:textId="6D2F921B" w:rsidR="00F34DD7" w:rsidRPr="002F6723" w:rsidRDefault="00F34DD7" w:rsidP="000C25A2">
      <w:pPr>
        <w:spacing w:line="360" w:lineRule="auto"/>
        <w:jc w:val="both"/>
        <w:rPr>
          <w:rFonts w:ascii="Calibri" w:hAnsi="Calibri" w:cs="Calibri"/>
        </w:rPr>
      </w:pPr>
      <w:r w:rsidRPr="002F6723">
        <w:rPr>
          <w:rFonts w:ascii="Calibri" w:hAnsi="Calibri" w:cs="Calibri"/>
        </w:rPr>
        <w:t>Additionally, the confidence intervals (shaded region) are relatively narrow, suggesting low volatility and higher prediction reliability. This indicates that the model has a high level of confidence in the forecasted trend.</w:t>
      </w:r>
    </w:p>
    <w:p w14:paraId="16A7324C" w14:textId="77777777" w:rsidR="00F34DD7" w:rsidRPr="002F6723" w:rsidRDefault="00F34DD7" w:rsidP="000C25A2">
      <w:pPr>
        <w:spacing w:line="360" w:lineRule="auto"/>
        <w:jc w:val="both"/>
        <w:rPr>
          <w:rFonts w:ascii="Calibri" w:hAnsi="Calibri" w:cs="Calibri"/>
        </w:rPr>
      </w:pPr>
      <w:r w:rsidRPr="002F6723">
        <w:rPr>
          <w:rFonts w:ascii="Calibri" w:hAnsi="Calibri" w:cs="Calibri"/>
        </w:rPr>
        <w:t>Key Insights</w:t>
      </w:r>
    </w:p>
    <w:p w14:paraId="27413C97" w14:textId="77777777" w:rsidR="00F34DD7" w:rsidRPr="002F6723" w:rsidRDefault="00F34DD7" w:rsidP="000C25A2">
      <w:pPr>
        <w:pStyle w:val="ListParagraph"/>
        <w:numPr>
          <w:ilvl w:val="0"/>
          <w:numId w:val="47"/>
        </w:numPr>
        <w:spacing w:line="360" w:lineRule="auto"/>
        <w:jc w:val="both"/>
        <w:rPr>
          <w:rFonts w:ascii="Calibri" w:hAnsi="Calibri" w:cs="Calibri"/>
        </w:rPr>
      </w:pPr>
      <w:r w:rsidRPr="002F6723">
        <w:rPr>
          <w:rFonts w:ascii="Calibri" w:hAnsi="Calibri" w:cs="Calibri"/>
        </w:rPr>
        <w:t>Strong long-term upward trend</w:t>
      </w:r>
    </w:p>
    <w:p w14:paraId="0CBE426D" w14:textId="77777777" w:rsidR="00F34DD7" w:rsidRPr="002F6723" w:rsidRDefault="00F34DD7" w:rsidP="000C25A2">
      <w:pPr>
        <w:pStyle w:val="ListParagraph"/>
        <w:numPr>
          <w:ilvl w:val="0"/>
          <w:numId w:val="47"/>
        </w:numPr>
        <w:spacing w:line="360" w:lineRule="auto"/>
        <w:jc w:val="both"/>
        <w:rPr>
          <w:rFonts w:ascii="Calibri" w:hAnsi="Calibri" w:cs="Calibri"/>
        </w:rPr>
      </w:pPr>
      <w:r w:rsidRPr="002F6723">
        <w:rPr>
          <w:rFonts w:ascii="Calibri" w:hAnsi="Calibri" w:cs="Calibri"/>
        </w:rPr>
        <w:lastRenderedPageBreak/>
        <w:t>Stable growth with limited volatility</w:t>
      </w:r>
    </w:p>
    <w:p w14:paraId="1DD7D185" w14:textId="52CB4E13" w:rsidR="00F34DD7" w:rsidRPr="002F6723" w:rsidRDefault="00F34DD7" w:rsidP="000C25A2">
      <w:pPr>
        <w:pStyle w:val="ListParagraph"/>
        <w:numPr>
          <w:ilvl w:val="0"/>
          <w:numId w:val="47"/>
        </w:numPr>
        <w:spacing w:line="360" w:lineRule="auto"/>
        <w:jc w:val="both"/>
        <w:rPr>
          <w:rFonts w:ascii="Calibri" w:hAnsi="Calibri" w:cs="Calibri"/>
        </w:rPr>
      </w:pPr>
      <w:r w:rsidRPr="002F6723">
        <w:rPr>
          <w:rFonts w:ascii="Calibri" w:hAnsi="Calibri" w:cs="Calibri"/>
        </w:rPr>
        <w:t xml:space="preserve">Forecast supports continued price </w:t>
      </w:r>
      <w:r w:rsidR="000D01B7" w:rsidRPr="002F6723">
        <w:rPr>
          <w:rFonts w:ascii="Calibri" w:hAnsi="Calibri" w:cs="Calibri"/>
        </w:rPr>
        <w:t>increase.</w:t>
      </w:r>
    </w:p>
    <w:p w14:paraId="1878E267" w14:textId="73E73084" w:rsidR="00F34DD7" w:rsidRPr="002F6723" w:rsidRDefault="00F34DD7" w:rsidP="000C25A2">
      <w:pPr>
        <w:spacing w:line="360" w:lineRule="auto"/>
        <w:jc w:val="both"/>
        <w:rPr>
          <w:rFonts w:ascii="Calibri" w:hAnsi="Calibri" w:cs="Calibri"/>
        </w:rPr>
      </w:pPr>
      <w:r w:rsidRPr="002F6723">
        <w:rPr>
          <w:rFonts w:ascii="Calibri" w:hAnsi="Calibri" w:cs="Calibri"/>
        </w:rPr>
        <w:t>Overall, the FB Prophet forecast suggests that JPMorgan’s stock is likely to maintain its upward trend soon. The combination of steady growth and low volatility strengthens investor confidence and supports a positive investment outlook.</w:t>
      </w:r>
    </w:p>
    <w:p w14:paraId="2C7B101A" w14:textId="77777777" w:rsidR="003E2EFF" w:rsidRDefault="003E2EFF" w:rsidP="002F6723">
      <w:pPr>
        <w:spacing w:line="360" w:lineRule="auto"/>
        <w:rPr>
          <w:rFonts w:ascii="Calibri" w:hAnsi="Calibri" w:cs="Calibri"/>
        </w:rPr>
      </w:pPr>
    </w:p>
    <w:p w14:paraId="74E8D9C7" w14:textId="77777777" w:rsidR="000C25A2" w:rsidRPr="002F6723" w:rsidRDefault="000C25A2" w:rsidP="002F6723">
      <w:pPr>
        <w:spacing w:line="360" w:lineRule="auto"/>
        <w:rPr>
          <w:rFonts w:ascii="Calibri" w:hAnsi="Calibri" w:cs="Calibri"/>
        </w:rPr>
      </w:pPr>
    </w:p>
    <w:p w14:paraId="23E575F8" w14:textId="365F9D85" w:rsidR="003E2EFF" w:rsidRPr="002F6723" w:rsidRDefault="003E2EFF" w:rsidP="002F6723">
      <w:pPr>
        <w:spacing w:line="360" w:lineRule="auto"/>
        <w:rPr>
          <w:rFonts w:ascii="Calibri" w:hAnsi="Calibri" w:cs="Calibri"/>
          <w:b/>
          <w:bCs/>
        </w:rPr>
      </w:pPr>
      <w:r w:rsidRPr="002F6723">
        <w:rPr>
          <w:rFonts w:ascii="Calibri" w:hAnsi="Calibri" w:cs="Calibri"/>
          <w:b/>
          <w:bCs/>
        </w:rPr>
        <w:t>4. Trade Signal Based on 20 and 50 SMA</w:t>
      </w:r>
    </w:p>
    <w:p w14:paraId="3FBAB0CA" w14:textId="2BA42C9C" w:rsidR="003E2EFF" w:rsidRPr="002F6723" w:rsidRDefault="003E2EFF" w:rsidP="002F6723">
      <w:pPr>
        <w:spacing w:line="360" w:lineRule="auto"/>
        <w:rPr>
          <w:rFonts w:ascii="Calibri" w:hAnsi="Calibri" w:cs="Calibri"/>
          <w:b/>
          <w:bCs/>
        </w:rPr>
      </w:pPr>
      <w:r w:rsidRPr="002F6723">
        <w:rPr>
          <w:rFonts w:ascii="Calibri" w:hAnsi="Calibri" w:cs="Calibri"/>
          <w:b/>
          <w:bCs/>
          <w:noProof/>
        </w:rPr>
        <w:drawing>
          <wp:inline distT="0" distB="0" distL="0" distR="0" wp14:anchorId="545026ED" wp14:editId="509A43BE">
            <wp:extent cx="5943600" cy="2320290"/>
            <wp:effectExtent l="0" t="0" r="0" b="3810"/>
            <wp:docPr id="51697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79947" name=""/>
                    <pic:cNvPicPr/>
                  </pic:nvPicPr>
                  <pic:blipFill>
                    <a:blip r:embed="rId10"/>
                    <a:stretch>
                      <a:fillRect/>
                    </a:stretch>
                  </pic:blipFill>
                  <pic:spPr>
                    <a:xfrm>
                      <a:off x="0" y="0"/>
                      <a:ext cx="5943600" cy="2320290"/>
                    </a:xfrm>
                    <a:prstGeom prst="rect">
                      <a:avLst/>
                    </a:prstGeom>
                  </pic:spPr>
                </pic:pic>
              </a:graphicData>
            </a:graphic>
          </wp:inline>
        </w:drawing>
      </w:r>
    </w:p>
    <w:p w14:paraId="4208B0D8" w14:textId="61AE169F" w:rsidR="003E2EFF" w:rsidRPr="002F6723" w:rsidRDefault="003E2EFF" w:rsidP="000C25A2">
      <w:pPr>
        <w:spacing w:line="360" w:lineRule="auto"/>
        <w:jc w:val="both"/>
        <w:rPr>
          <w:rFonts w:ascii="Calibri" w:hAnsi="Calibri" w:cs="Calibri"/>
          <w:b/>
          <w:bCs/>
        </w:rPr>
      </w:pPr>
      <w:r w:rsidRPr="002F6723">
        <w:rPr>
          <w:rFonts w:ascii="Calibri" w:hAnsi="Calibri" w:cs="Calibri"/>
          <w:b/>
          <w:bCs/>
        </w:rPr>
        <w:t>Interpretation of the Chart</w:t>
      </w:r>
    </w:p>
    <w:p w14:paraId="44C322EC" w14:textId="46FF998C" w:rsidR="003E2EFF" w:rsidRPr="002F6723" w:rsidRDefault="003E2EFF" w:rsidP="000C25A2">
      <w:pPr>
        <w:pStyle w:val="ListParagraph"/>
        <w:numPr>
          <w:ilvl w:val="0"/>
          <w:numId w:val="30"/>
        </w:numPr>
        <w:spacing w:line="360" w:lineRule="auto"/>
        <w:jc w:val="both"/>
        <w:rPr>
          <w:rFonts w:ascii="Calibri" w:hAnsi="Calibri" w:cs="Calibri"/>
        </w:rPr>
      </w:pPr>
      <w:r w:rsidRPr="002F6723">
        <w:rPr>
          <w:rFonts w:ascii="Calibri" w:hAnsi="Calibri" w:cs="Calibri"/>
        </w:rPr>
        <w:t>The chart shows JPM stock price movement along with SMA indicators and trading signals.</w:t>
      </w:r>
    </w:p>
    <w:p w14:paraId="0D1F8A89" w14:textId="77777777" w:rsidR="003E2EFF" w:rsidRPr="002F6723" w:rsidRDefault="003E2EFF" w:rsidP="000C25A2">
      <w:pPr>
        <w:pStyle w:val="ListParagraph"/>
        <w:numPr>
          <w:ilvl w:val="0"/>
          <w:numId w:val="30"/>
        </w:numPr>
        <w:spacing w:line="360" w:lineRule="auto"/>
        <w:jc w:val="both"/>
        <w:rPr>
          <w:rFonts w:ascii="Calibri" w:hAnsi="Calibri" w:cs="Calibri"/>
        </w:rPr>
      </w:pPr>
      <w:r w:rsidRPr="002F6723">
        <w:rPr>
          <w:rFonts w:ascii="Calibri" w:hAnsi="Calibri" w:cs="Calibri"/>
        </w:rPr>
        <w:t>The blue line (20-day SMA) reacts quickly to price changes.</w:t>
      </w:r>
    </w:p>
    <w:p w14:paraId="0E12523C" w14:textId="77777777" w:rsidR="003E2EFF" w:rsidRPr="002F6723" w:rsidRDefault="003E2EFF" w:rsidP="000C25A2">
      <w:pPr>
        <w:pStyle w:val="ListParagraph"/>
        <w:numPr>
          <w:ilvl w:val="0"/>
          <w:numId w:val="30"/>
        </w:numPr>
        <w:spacing w:line="360" w:lineRule="auto"/>
        <w:jc w:val="both"/>
        <w:rPr>
          <w:rFonts w:ascii="Calibri" w:hAnsi="Calibri" w:cs="Calibri"/>
        </w:rPr>
      </w:pPr>
      <w:r w:rsidRPr="002F6723">
        <w:rPr>
          <w:rFonts w:ascii="Calibri" w:hAnsi="Calibri" w:cs="Calibri"/>
        </w:rPr>
        <w:t>The green line (50-day SMA) represents the overall trend.</w:t>
      </w:r>
    </w:p>
    <w:p w14:paraId="6FE97E91" w14:textId="0FE60D03" w:rsidR="003E2EFF" w:rsidRPr="002F6723" w:rsidRDefault="003E2EFF" w:rsidP="000C25A2">
      <w:pPr>
        <w:pStyle w:val="ListParagraph"/>
        <w:numPr>
          <w:ilvl w:val="0"/>
          <w:numId w:val="30"/>
        </w:numPr>
        <w:spacing w:line="360" w:lineRule="auto"/>
        <w:jc w:val="both"/>
        <w:rPr>
          <w:rFonts w:ascii="Calibri" w:hAnsi="Calibri" w:cs="Calibri"/>
        </w:rPr>
      </w:pPr>
      <w:r w:rsidRPr="002F6723">
        <w:rPr>
          <w:rFonts w:ascii="Calibri" w:hAnsi="Calibri" w:cs="Calibri"/>
        </w:rPr>
        <w:t>Buy signals generally appear at the beginning of upward trends.</w:t>
      </w:r>
    </w:p>
    <w:p w14:paraId="679B9CCC" w14:textId="77777777" w:rsidR="003E2EFF" w:rsidRPr="002F6723" w:rsidRDefault="003E2EFF" w:rsidP="000C25A2">
      <w:pPr>
        <w:spacing w:line="360" w:lineRule="auto"/>
        <w:jc w:val="both"/>
        <w:rPr>
          <w:rFonts w:ascii="Calibri" w:hAnsi="Calibri" w:cs="Calibri"/>
        </w:rPr>
      </w:pPr>
    </w:p>
    <w:p w14:paraId="4B5DF2B8" w14:textId="77777777" w:rsidR="003E2EFF" w:rsidRPr="002F6723" w:rsidRDefault="003E2EFF" w:rsidP="000C25A2">
      <w:pPr>
        <w:spacing w:line="360" w:lineRule="auto"/>
        <w:jc w:val="both"/>
        <w:rPr>
          <w:rFonts w:ascii="Calibri" w:hAnsi="Calibri" w:cs="Calibri"/>
          <w:b/>
          <w:bCs/>
          <w:lang w:val="en-IN"/>
        </w:rPr>
      </w:pPr>
      <w:r w:rsidRPr="002F6723">
        <w:rPr>
          <w:rFonts w:ascii="Calibri" w:hAnsi="Calibri" w:cs="Calibri"/>
          <w:b/>
          <w:bCs/>
          <w:lang w:val="en-IN"/>
        </w:rPr>
        <w:t>Key Observations</w:t>
      </w:r>
    </w:p>
    <w:p w14:paraId="6E354AFE" w14:textId="77777777" w:rsidR="003E2EFF" w:rsidRPr="002F6723" w:rsidRDefault="003E2EFF" w:rsidP="000C25A2">
      <w:pPr>
        <w:numPr>
          <w:ilvl w:val="0"/>
          <w:numId w:val="29"/>
        </w:numPr>
        <w:spacing w:line="360" w:lineRule="auto"/>
        <w:jc w:val="both"/>
        <w:rPr>
          <w:rFonts w:ascii="Calibri" w:hAnsi="Calibri" w:cs="Calibri"/>
          <w:lang w:val="en-IN"/>
        </w:rPr>
      </w:pPr>
      <w:r w:rsidRPr="002F6723">
        <w:rPr>
          <w:rFonts w:ascii="Calibri" w:hAnsi="Calibri" w:cs="Calibri"/>
          <w:lang w:val="en-IN"/>
        </w:rPr>
        <w:t xml:space="preserve">The strategy successfully captures </w:t>
      </w:r>
      <w:r w:rsidRPr="002F6723">
        <w:rPr>
          <w:rFonts w:ascii="Calibri" w:hAnsi="Calibri" w:cs="Calibri"/>
          <w:b/>
          <w:bCs/>
          <w:lang w:val="en-IN"/>
        </w:rPr>
        <w:t>major upward trends</w:t>
      </w:r>
      <w:r w:rsidRPr="002F6723">
        <w:rPr>
          <w:rFonts w:ascii="Calibri" w:hAnsi="Calibri" w:cs="Calibri"/>
          <w:lang w:val="en-IN"/>
        </w:rPr>
        <w:t xml:space="preserve">, especially after 2023 where the stock shows strong growth. </w:t>
      </w:r>
    </w:p>
    <w:p w14:paraId="0D8ADD6D" w14:textId="77777777" w:rsidR="003E2EFF" w:rsidRPr="002F6723" w:rsidRDefault="003E2EFF" w:rsidP="000C25A2">
      <w:pPr>
        <w:numPr>
          <w:ilvl w:val="0"/>
          <w:numId w:val="29"/>
        </w:numPr>
        <w:spacing w:line="360" w:lineRule="auto"/>
        <w:jc w:val="both"/>
        <w:rPr>
          <w:rFonts w:ascii="Calibri" w:hAnsi="Calibri" w:cs="Calibri"/>
          <w:lang w:val="en-IN"/>
        </w:rPr>
      </w:pPr>
      <w:r w:rsidRPr="002F6723">
        <w:rPr>
          <w:rFonts w:ascii="Calibri" w:hAnsi="Calibri" w:cs="Calibri"/>
          <w:lang w:val="en-IN"/>
        </w:rPr>
        <w:lastRenderedPageBreak/>
        <w:t xml:space="preserve">Multiple buy signals align with </w:t>
      </w:r>
      <w:r w:rsidRPr="002F6723">
        <w:rPr>
          <w:rFonts w:ascii="Calibri" w:hAnsi="Calibri" w:cs="Calibri"/>
          <w:b/>
          <w:bCs/>
          <w:lang w:val="en-IN"/>
        </w:rPr>
        <w:t>bullish momentum</w:t>
      </w:r>
      <w:r w:rsidRPr="002F6723">
        <w:rPr>
          <w:rFonts w:ascii="Calibri" w:hAnsi="Calibri" w:cs="Calibri"/>
          <w:lang w:val="en-IN"/>
        </w:rPr>
        <w:t xml:space="preserve">, indicating good entry points. </w:t>
      </w:r>
    </w:p>
    <w:p w14:paraId="235D487C" w14:textId="77777777" w:rsidR="003E2EFF" w:rsidRPr="002F6723" w:rsidRDefault="003E2EFF" w:rsidP="000C25A2">
      <w:pPr>
        <w:numPr>
          <w:ilvl w:val="0"/>
          <w:numId w:val="29"/>
        </w:numPr>
        <w:spacing w:line="360" w:lineRule="auto"/>
        <w:jc w:val="both"/>
        <w:rPr>
          <w:rFonts w:ascii="Calibri" w:hAnsi="Calibri" w:cs="Calibri"/>
          <w:lang w:val="en-IN"/>
        </w:rPr>
      </w:pPr>
      <w:r w:rsidRPr="002F6723">
        <w:rPr>
          <w:rFonts w:ascii="Calibri" w:hAnsi="Calibri" w:cs="Calibri"/>
          <w:lang w:val="en-IN"/>
        </w:rPr>
        <w:t xml:space="preserve">Sell signals help avoid losses during </w:t>
      </w:r>
      <w:r w:rsidRPr="002F6723">
        <w:rPr>
          <w:rFonts w:ascii="Calibri" w:hAnsi="Calibri" w:cs="Calibri"/>
          <w:b/>
          <w:bCs/>
          <w:lang w:val="en-IN"/>
        </w:rPr>
        <w:t>market corrections</w:t>
      </w:r>
      <w:r w:rsidRPr="002F6723">
        <w:rPr>
          <w:rFonts w:ascii="Calibri" w:hAnsi="Calibri" w:cs="Calibri"/>
          <w:lang w:val="en-IN"/>
        </w:rPr>
        <w:t xml:space="preserve">. </w:t>
      </w:r>
    </w:p>
    <w:p w14:paraId="16DE1A92" w14:textId="62E7AD69" w:rsidR="003E2EFF" w:rsidRPr="002F6723" w:rsidRDefault="003E2EFF" w:rsidP="000C25A2">
      <w:pPr>
        <w:numPr>
          <w:ilvl w:val="0"/>
          <w:numId w:val="29"/>
        </w:numPr>
        <w:spacing w:line="360" w:lineRule="auto"/>
        <w:jc w:val="both"/>
        <w:rPr>
          <w:rFonts w:ascii="Calibri" w:hAnsi="Calibri" w:cs="Calibri"/>
          <w:lang w:val="en-IN"/>
        </w:rPr>
      </w:pPr>
      <w:r w:rsidRPr="002F6723">
        <w:rPr>
          <w:rFonts w:ascii="Calibri" w:hAnsi="Calibri" w:cs="Calibri"/>
          <w:lang w:val="en-IN"/>
        </w:rPr>
        <w:t xml:space="preserve">However, during sideways markets, the strategy generates </w:t>
      </w:r>
      <w:r w:rsidRPr="002F6723">
        <w:rPr>
          <w:rFonts w:ascii="Calibri" w:hAnsi="Calibri" w:cs="Calibri"/>
          <w:b/>
          <w:bCs/>
          <w:lang w:val="en-IN"/>
        </w:rPr>
        <w:t>frequent signals (noise)</w:t>
      </w:r>
      <w:r w:rsidRPr="002F6723">
        <w:rPr>
          <w:rFonts w:ascii="Calibri" w:hAnsi="Calibri" w:cs="Calibri"/>
          <w:lang w:val="en-IN"/>
        </w:rPr>
        <w:t>.</w:t>
      </w:r>
    </w:p>
    <w:p w14:paraId="01297B6C" w14:textId="23F7A972" w:rsidR="000C4960" w:rsidRDefault="000C4960" w:rsidP="002F6723">
      <w:pPr>
        <w:spacing w:line="360" w:lineRule="auto"/>
        <w:rPr>
          <w:rFonts w:ascii="Calibri" w:hAnsi="Calibri" w:cs="Calibri"/>
        </w:rPr>
      </w:pPr>
    </w:p>
    <w:p w14:paraId="0FDA739F" w14:textId="77777777" w:rsidR="000C25A2" w:rsidRDefault="000C25A2" w:rsidP="002F6723">
      <w:pPr>
        <w:spacing w:line="360" w:lineRule="auto"/>
        <w:rPr>
          <w:rFonts w:ascii="Calibri" w:hAnsi="Calibri" w:cs="Calibri"/>
        </w:rPr>
      </w:pPr>
    </w:p>
    <w:p w14:paraId="68EA562D" w14:textId="77777777" w:rsidR="000C25A2" w:rsidRDefault="000C25A2" w:rsidP="002F6723">
      <w:pPr>
        <w:spacing w:line="360" w:lineRule="auto"/>
        <w:rPr>
          <w:rFonts w:ascii="Calibri" w:hAnsi="Calibri" w:cs="Calibri"/>
        </w:rPr>
      </w:pPr>
    </w:p>
    <w:p w14:paraId="68965A91" w14:textId="77777777" w:rsidR="000C25A2" w:rsidRPr="002F6723" w:rsidRDefault="000C25A2" w:rsidP="002F6723">
      <w:pPr>
        <w:spacing w:line="360" w:lineRule="auto"/>
        <w:rPr>
          <w:rFonts w:ascii="Calibri" w:hAnsi="Calibri" w:cs="Calibri"/>
        </w:rPr>
      </w:pPr>
    </w:p>
    <w:p w14:paraId="50D145AB" w14:textId="77777777" w:rsidR="00FE786C" w:rsidRPr="002F6723" w:rsidRDefault="00FE786C" w:rsidP="002F6723">
      <w:pPr>
        <w:spacing w:line="360" w:lineRule="auto"/>
        <w:rPr>
          <w:rFonts w:ascii="Calibri" w:hAnsi="Calibri" w:cs="Calibri"/>
          <w:b/>
          <w:bCs/>
          <w:sz w:val="28"/>
          <w:szCs w:val="28"/>
        </w:rPr>
      </w:pPr>
    </w:p>
    <w:p w14:paraId="19396394" w14:textId="357E7EBF" w:rsidR="000C4960" w:rsidRPr="002F6723" w:rsidRDefault="000C4960" w:rsidP="002F6723">
      <w:pPr>
        <w:spacing w:line="360" w:lineRule="auto"/>
        <w:rPr>
          <w:rFonts w:ascii="Calibri" w:hAnsi="Calibri" w:cs="Calibri"/>
          <w:b/>
          <w:bCs/>
          <w:sz w:val="28"/>
          <w:szCs w:val="28"/>
        </w:rPr>
      </w:pPr>
      <w:r w:rsidRPr="002F6723">
        <w:rPr>
          <w:rFonts w:ascii="Calibri" w:hAnsi="Calibri" w:cs="Calibri"/>
          <w:b/>
          <w:bCs/>
          <w:sz w:val="28"/>
          <w:szCs w:val="28"/>
        </w:rPr>
        <w:t>D. Recommendation</w:t>
      </w:r>
    </w:p>
    <w:p w14:paraId="0CAAC2CE" w14:textId="44BA6433" w:rsidR="00FA41FA" w:rsidRPr="000C25A2" w:rsidRDefault="000C4960" w:rsidP="002F6723">
      <w:pPr>
        <w:spacing w:line="360" w:lineRule="auto"/>
        <w:rPr>
          <w:rFonts w:ascii="Calibri" w:hAnsi="Calibri" w:cs="Calibri"/>
          <w:b/>
          <w:bCs/>
        </w:rPr>
      </w:pPr>
      <w:r w:rsidRPr="002F6723">
        <w:rPr>
          <w:rFonts w:ascii="Calibri" w:hAnsi="Calibri" w:cs="Calibri"/>
          <w:b/>
          <w:bCs/>
        </w:rPr>
        <w:t>As a Financial Advisor:</w:t>
      </w:r>
    </w:p>
    <w:tbl>
      <w:tblPr>
        <w:tblStyle w:val="TableGrid"/>
        <w:tblW w:w="0" w:type="auto"/>
        <w:tblLook w:val="04A0" w:firstRow="1" w:lastRow="0" w:firstColumn="1" w:lastColumn="0" w:noHBand="0" w:noVBand="1"/>
      </w:tblPr>
      <w:tblGrid>
        <w:gridCol w:w="3046"/>
        <w:gridCol w:w="3083"/>
        <w:gridCol w:w="3221"/>
      </w:tblGrid>
      <w:tr w:rsidR="000C25A2" w14:paraId="04C65F2B" w14:textId="77777777" w:rsidTr="000C25A2">
        <w:tc>
          <w:tcPr>
            <w:tcW w:w="3596" w:type="dxa"/>
          </w:tcPr>
          <w:p w14:paraId="2EC80671" w14:textId="5AF804A0" w:rsidR="000C25A2" w:rsidRDefault="000C25A2" w:rsidP="000C25A2">
            <w:pPr>
              <w:spacing w:line="360" w:lineRule="auto"/>
              <w:jc w:val="center"/>
              <w:rPr>
                <w:rFonts w:ascii="Calibri" w:hAnsi="Calibri" w:cs="Calibri"/>
              </w:rPr>
            </w:pPr>
            <w:r>
              <w:rPr>
                <w:rFonts w:ascii="Calibri" w:hAnsi="Calibri" w:cs="Calibri"/>
              </w:rPr>
              <w:t>Company</w:t>
            </w:r>
          </w:p>
        </w:tc>
        <w:tc>
          <w:tcPr>
            <w:tcW w:w="3597" w:type="dxa"/>
          </w:tcPr>
          <w:p w14:paraId="4AABEB0D" w14:textId="1D7A152E" w:rsidR="000C25A2" w:rsidRDefault="000C25A2" w:rsidP="000C25A2">
            <w:pPr>
              <w:spacing w:line="360" w:lineRule="auto"/>
              <w:jc w:val="center"/>
              <w:rPr>
                <w:rFonts w:ascii="Calibri" w:hAnsi="Calibri" w:cs="Calibri"/>
              </w:rPr>
            </w:pPr>
            <w:r>
              <w:rPr>
                <w:rFonts w:ascii="Calibri" w:hAnsi="Calibri" w:cs="Calibri"/>
              </w:rPr>
              <w:t>Investment Outlook</w:t>
            </w:r>
          </w:p>
        </w:tc>
        <w:tc>
          <w:tcPr>
            <w:tcW w:w="3597" w:type="dxa"/>
          </w:tcPr>
          <w:p w14:paraId="40652EEF" w14:textId="48316900" w:rsidR="000C25A2" w:rsidRDefault="000C25A2" w:rsidP="000C25A2">
            <w:pPr>
              <w:spacing w:line="360" w:lineRule="auto"/>
              <w:jc w:val="center"/>
              <w:rPr>
                <w:rFonts w:ascii="Calibri" w:hAnsi="Calibri" w:cs="Calibri"/>
              </w:rPr>
            </w:pPr>
            <w:r>
              <w:rPr>
                <w:rFonts w:ascii="Calibri" w:hAnsi="Calibri" w:cs="Calibri"/>
              </w:rPr>
              <w:t>Recommendation</w:t>
            </w:r>
          </w:p>
        </w:tc>
      </w:tr>
      <w:tr w:rsidR="000C25A2" w14:paraId="2CDCCC1C" w14:textId="77777777" w:rsidTr="000C25A2">
        <w:tc>
          <w:tcPr>
            <w:tcW w:w="3596" w:type="dxa"/>
          </w:tcPr>
          <w:p w14:paraId="493DAE04" w14:textId="29412F25" w:rsidR="000C25A2" w:rsidRDefault="000C25A2" w:rsidP="000C25A2">
            <w:pPr>
              <w:spacing w:line="360" w:lineRule="auto"/>
              <w:jc w:val="center"/>
              <w:rPr>
                <w:rFonts w:ascii="Calibri" w:hAnsi="Calibri" w:cs="Calibri"/>
              </w:rPr>
            </w:pPr>
            <w:r>
              <w:rPr>
                <w:rFonts w:ascii="Calibri" w:hAnsi="Calibri" w:cs="Calibri"/>
              </w:rPr>
              <w:t>JPMorgan Chase</w:t>
            </w:r>
          </w:p>
        </w:tc>
        <w:tc>
          <w:tcPr>
            <w:tcW w:w="3597" w:type="dxa"/>
          </w:tcPr>
          <w:p w14:paraId="5E49AE89" w14:textId="69FCA1B9" w:rsidR="000C25A2" w:rsidRDefault="000C25A2" w:rsidP="000C25A2">
            <w:pPr>
              <w:spacing w:line="360" w:lineRule="auto"/>
              <w:jc w:val="center"/>
              <w:rPr>
                <w:rFonts w:ascii="Calibri" w:hAnsi="Calibri" w:cs="Calibri"/>
              </w:rPr>
            </w:pPr>
            <w:r>
              <w:rPr>
                <w:rFonts w:ascii="Calibri" w:hAnsi="Calibri" w:cs="Calibri"/>
              </w:rPr>
              <w:t>Digital Leadership, Global Strength</w:t>
            </w:r>
          </w:p>
        </w:tc>
        <w:tc>
          <w:tcPr>
            <w:tcW w:w="3597" w:type="dxa"/>
          </w:tcPr>
          <w:p w14:paraId="4BB9AADD" w14:textId="7149BAF5" w:rsidR="000C25A2" w:rsidRPr="000C25A2" w:rsidRDefault="000C25A2" w:rsidP="000C25A2">
            <w:pPr>
              <w:spacing w:line="360" w:lineRule="auto"/>
              <w:jc w:val="center"/>
              <w:rPr>
                <w:rFonts w:ascii="Calibri" w:hAnsi="Calibri" w:cs="Calibri"/>
                <w:b/>
                <w:bCs/>
              </w:rPr>
            </w:pPr>
            <w:r w:rsidRPr="000C25A2">
              <w:rPr>
                <w:rFonts w:ascii="Calibri" w:hAnsi="Calibri" w:cs="Calibri"/>
                <w:b/>
                <w:bCs/>
              </w:rPr>
              <w:t>Buy</w:t>
            </w:r>
          </w:p>
        </w:tc>
      </w:tr>
    </w:tbl>
    <w:p w14:paraId="31C15FD0" w14:textId="77777777" w:rsidR="000D01B7" w:rsidRDefault="000D01B7" w:rsidP="002F6723">
      <w:pPr>
        <w:spacing w:line="360" w:lineRule="auto"/>
        <w:rPr>
          <w:rFonts w:ascii="Calibri" w:hAnsi="Calibri" w:cs="Calibri"/>
        </w:rPr>
      </w:pPr>
    </w:p>
    <w:p w14:paraId="1BEFAAD0" w14:textId="06ACE45C" w:rsidR="00FA41FA" w:rsidRPr="002F6723" w:rsidRDefault="00FA41FA" w:rsidP="000D01B7">
      <w:pPr>
        <w:spacing w:line="360" w:lineRule="auto"/>
        <w:jc w:val="both"/>
        <w:rPr>
          <w:rFonts w:ascii="Calibri" w:hAnsi="Calibri" w:cs="Calibri"/>
        </w:rPr>
      </w:pPr>
      <w:r w:rsidRPr="002F6723">
        <w:rPr>
          <w:rFonts w:ascii="Calibri" w:hAnsi="Calibri" w:cs="Calibri"/>
        </w:rPr>
        <w:t>Based on a comprehensive financial analysis of JPMorgan Chase, including ratio analysis, CAPM, valuation, and technical forecasting, the overall investment recommendation is BUY.</w:t>
      </w:r>
    </w:p>
    <w:p w14:paraId="3544F198" w14:textId="7C39E1B0" w:rsidR="00FA41FA" w:rsidRPr="002F6723" w:rsidRDefault="00FA41FA" w:rsidP="000D01B7">
      <w:pPr>
        <w:spacing w:line="360" w:lineRule="auto"/>
        <w:jc w:val="both"/>
        <w:rPr>
          <w:rFonts w:ascii="Calibri" w:hAnsi="Calibri" w:cs="Calibri"/>
        </w:rPr>
      </w:pPr>
      <w:r w:rsidRPr="002F6723">
        <w:rPr>
          <w:rFonts w:ascii="Calibri" w:hAnsi="Calibri" w:cs="Calibri"/>
        </w:rPr>
        <w:t xml:space="preserve">JPMorgan Chase demonstrates </w:t>
      </w:r>
      <w:r w:rsidR="000D01B7" w:rsidRPr="002F6723">
        <w:rPr>
          <w:rFonts w:ascii="Calibri" w:hAnsi="Calibri" w:cs="Calibri"/>
        </w:rPr>
        <w:t>sturdy growth</w:t>
      </w:r>
      <w:r w:rsidRPr="002F6723">
        <w:rPr>
          <w:rFonts w:ascii="Calibri" w:hAnsi="Calibri" w:cs="Calibri"/>
        </w:rPr>
        <w:t xml:space="preserve"> potential supported by a sustainable growth rate of 11.35%, a robust revenue base of $182.4 billion, and its presence in over </w:t>
      </w:r>
      <w:r w:rsidR="000D01B7" w:rsidRPr="002F6723">
        <w:rPr>
          <w:rFonts w:ascii="Calibri" w:hAnsi="Calibri" w:cs="Calibri"/>
        </w:rPr>
        <w:t>one hundred</w:t>
      </w:r>
      <w:r w:rsidRPr="002F6723">
        <w:rPr>
          <w:rFonts w:ascii="Calibri" w:hAnsi="Calibri" w:cs="Calibri"/>
        </w:rPr>
        <w:t xml:space="preserve"> global markets. The company continues to invest heavily in technology, with approximately $19.8 billion annually, and has expanded its digital banking capabilities through strategic initiatives such as the Apple Card integration. These factors collectively indicate long-term expansion and innovation-driven growth.</w:t>
      </w:r>
    </w:p>
    <w:p w14:paraId="49C3BDCF" w14:textId="41E03ADD" w:rsidR="00FA41FA" w:rsidRPr="002F6723" w:rsidRDefault="00FA41FA" w:rsidP="000D01B7">
      <w:pPr>
        <w:spacing w:line="360" w:lineRule="auto"/>
        <w:jc w:val="both"/>
        <w:rPr>
          <w:rFonts w:ascii="Calibri" w:hAnsi="Calibri" w:cs="Calibri"/>
        </w:rPr>
      </w:pPr>
      <w:r w:rsidRPr="002F6723">
        <w:rPr>
          <w:rFonts w:ascii="Calibri" w:hAnsi="Calibri" w:cs="Calibri"/>
        </w:rPr>
        <w:t xml:space="preserve">In terms of risk, the company has a beta of 1.23, suggesting slightly higher volatility compared to the overall market. However, the CAPM-based expected return of 15.60% compensates investors </w:t>
      </w:r>
      <w:r w:rsidRPr="002F6723">
        <w:rPr>
          <w:rFonts w:ascii="Calibri" w:hAnsi="Calibri" w:cs="Calibri"/>
        </w:rPr>
        <w:lastRenderedPageBreak/>
        <w:t>for this additional risk. Furthermore, Monte Carlo simulation results show a forecast price range between $232 and $351, indicating manageable uncertainty. Overall, the risk level is moderate and acceptable given the return potential.</w:t>
      </w:r>
    </w:p>
    <w:p w14:paraId="6EC6687D" w14:textId="489E00A1" w:rsidR="00FA41FA" w:rsidRPr="002F6723" w:rsidRDefault="00FA41FA" w:rsidP="000D01B7">
      <w:pPr>
        <w:spacing w:line="360" w:lineRule="auto"/>
        <w:jc w:val="both"/>
        <w:rPr>
          <w:rFonts w:ascii="Calibri" w:hAnsi="Calibri" w:cs="Calibri"/>
        </w:rPr>
      </w:pPr>
      <w:r w:rsidRPr="002F6723">
        <w:rPr>
          <w:rFonts w:ascii="Calibri" w:hAnsi="Calibri" w:cs="Calibri"/>
        </w:rPr>
        <w:t>From a financial strength perspective, JPMorgan Chase exhibits excellent performance with a net profit margin of 31.2% and a return on equity (ROE) of 15.7%, reflecting strong profitability and efficient use of shareholder funds. The company also generates substantial free cash flow of $30.2 billion and maintains a highly liquid “Fortress Balance Sheet,” ensuring resilience during economic downturns.</w:t>
      </w:r>
    </w:p>
    <w:p w14:paraId="447A07EA" w14:textId="77777777" w:rsidR="00FA41FA" w:rsidRPr="002F6723" w:rsidRDefault="00FA41FA" w:rsidP="000D01B7">
      <w:pPr>
        <w:spacing w:line="360" w:lineRule="auto"/>
        <w:jc w:val="both"/>
        <w:rPr>
          <w:rFonts w:ascii="Calibri" w:hAnsi="Calibri" w:cs="Calibri"/>
        </w:rPr>
      </w:pPr>
      <w:r w:rsidRPr="002F6723">
        <w:rPr>
          <w:rFonts w:ascii="Calibri" w:hAnsi="Calibri" w:cs="Calibri"/>
        </w:rPr>
        <w:t>Valuation analysis further supports the investment decision. The estimated intrinsic value of the stock is $338.60, which is higher than the current market price of $283.77, indicating that the stock is undervalued by approximately 19%. This suggests significant upside potential for investors.</w:t>
      </w:r>
    </w:p>
    <w:p w14:paraId="0072A1FF" w14:textId="1BEEC9E4" w:rsidR="00FA41FA" w:rsidRPr="002F6723" w:rsidRDefault="00FA41FA" w:rsidP="000D01B7">
      <w:pPr>
        <w:spacing w:line="360" w:lineRule="auto"/>
        <w:jc w:val="both"/>
        <w:rPr>
          <w:rFonts w:ascii="Calibri" w:hAnsi="Calibri" w:cs="Calibri"/>
        </w:rPr>
      </w:pPr>
      <w:r w:rsidRPr="002F6723">
        <w:rPr>
          <w:rFonts w:ascii="Calibri" w:hAnsi="Calibri" w:cs="Calibri"/>
        </w:rPr>
        <w:t>Lastly, JPMorgan’s long-term sustainability is reinforced by its diversified business model across banking, investment, and asset management services. Its strong capital position, with a CET1 ratio of 14.5%, along with continuous innovation and strategic acquisitions, ensures a durable competitive advantage.</w:t>
      </w:r>
    </w:p>
    <w:p w14:paraId="2278298B" w14:textId="71CA7B72" w:rsidR="00734DB6" w:rsidRPr="002F6723" w:rsidRDefault="00FA41FA" w:rsidP="000D01B7">
      <w:pPr>
        <w:spacing w:line="360" w:lineRule="auto"/>
        <w:jc w:val="both"/>
        <w:rPr>
          <w:rFonts w:ascii="Calibri" w:hAnsi="Calibri" w:cs="Calibri"/>
        </w:rPr>
      </w:pPr>
      <w:r w:rsidRPr="002F6723">
        <w:rPr>
          <w:rFonts w:ascii="Calibri" w:hAnsi="Calibri" w:cs="Calibri"/>
        </w:rPr>
        <w:t xml:space="preserve">In conclusion, JPMorgan Chase presents a well-balanced investment opportunity with </w:t>
      </w:r>
      <w:r w:rsidR="000D01B7" w:rsidRPr="002F6723">
        <w:rPr>
          <w:rFonts w:ascii="Calibri" w:hAnsi="Calibri" w:cs="Calibri"/>
        </w:rPr>
        <w:t>sturdy growth</w:t>
      </w:r>
      <w:r w:rsidRPr="002F6723">
        <w:rPr>
          <w:rFonts w:ascii="Calibri" w:hAnsi="Calibri" w:cs="Calibri"/>
        </w:rPr>
        <w:t xml:space="preserve"> prospects, solid financial health, moderate risk, and undervaluation in the market. Therefore, the final recommendation is BUY, making it an attractive option for long-term investors.</w:t>
      </w:r>
    </w:p>
    <w:p w14:paraId="1E6D464D" w14:textId="66176AB5" w:rsidR="003A2E2D" w:rsidRPr="002F6723" w:rsidRDefault="003A2E2D" w:rsidP="002F6723">
      <w:pPr>
        <w:spacing w:before="100" w:beforeAutospacing="1" w:after="100" w:afterAutospacing="1" w:line="360" w:lineRule="auto"/>
        <w:outlineLvl w:val="0"/>
        <w:rPr>
          <w:rFonts w:ascii="Calibri" w:eastAsia="Times New Roman" w:hAnsi="Calibri" w:cs="Calibri"/>
          <w:b/>
          <w:bCs/>
          <w:kern w:val="36"/>
          <w:sz w:val="28"/>
          <w:szCs w:val="28"/>
          <w:lang w:val="en-IN" w:eastAsia="en-IN"/>
          <w14:ligatures w14:val="none"/>
        </w:rPr>
      </w:pPr>
      <w:r w:rsidRPr="002F6723">
        <w:rPr>
          <w:rFonts w:ascii="Calibri" w:eastAsia="Times New Roman" w:hAnsi="Calibri" w:cs="Calibri"/>
          <w:b/>
          <w:bCs/>
          <w:kern w:val="36"/>
          <w:sz w:val="28"/>
          <w:szCs w:val="28"/>
          <w:lang w:val="en-IN" w:eastAsia="en-IN"/>
          <w14:ligatures w14:val="none"/>
        </w:rPr>
        <w:t xml:space="preserve">References </w:t>
      </w:r>
    </w:p>
    <w:p w14:paraId="612EAEAB" w14:textId="23933125" w:rsidR="003A2E2D" w:rsidRPr="002F6723" w:rsidRDefault="003A2E2D" w:rsidP="002F6723">
      <w:pPr>
        <w:numPr>
          <w:ilvl w:val="0"/>
          <w:numId w:val="44"/>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JPMorgan Chase &amp; </w:t>
      </w:r>
      <w:r w:rsidR="000D01B7" w:rsidRPr="002F6723">
        <w:rPr>
          <w:rFonts w:ascii="Calibri" w:eastAsia="Times New Roman" w:hAnsi="Calibri" w:cs="Calibri"/>
          <w:kern w:val="0"/>
          <w:lang w:val="en-IN" w:eastAsia="en-IN"/>
          <w14:ligatures w14:val="none"/>
        </w:rPr>
        <w:t>Co...</w:t>
      </w:r>
      <w:r w:rsidRPr="002F6723">
        <w:rPr>
          <w:rFonts w:ascii="Calibri" w:eastAsia="Times New Roman" w:hAnsi="Calibri" w:cs="Calibri"/>
          <w:kern w:val="0"/>
          <w:lang w:val="en-IN" w:eastAsia="en-IN"/>
          <w14:ligatures w14:val="none"/>
        </w:rPr>
        <w:t xml:space="preserve"> (2026). </w:t>
      </w:r>
      <w:r w:rsidRPr="002F6723">
        <w:rPr>
          <w:rFonts w:ascii="Calibri" w:eastAsia="Times New Roman" w:hAnsi="Calibri" w:cs="Calibri"/>
          <w:i/>
          <w:iCs/>
          <w:kern w:val="0"/>
          <w:lang w:val="en-IN" w:eastAsia="en-IN"/>
          <w14:ligatures w14:val="none"/>
        </w:rPr>
        <w:t>About JPMorgan Chase</w:t>
      </w:r>
      <w:r w:rsidRPr="002F6723">
        <w:rPr>
          <w:rFonts w:ascii="Calibri" w:eastAsia="Times New Roman" w:hAnsi="Calibri" w:cs="Calibri"/>
          <w:kern w:val="0"/>
          <w:lang w:val="en-IN" w:eastAsia="en-IN"/>
          <w14:ligatures w14:val="none"/>
        </w:rPr>
        <w:t>. Retrieved from</w:t>
      </w:r>
      <w:r w:rsidRPr="002F6723">
        <w:rPr>
          <w:rFonts w:ascii="Calibri" w:eastAsia="Times New Roman" w:hAnsi="Calibri" w:cs="Calibri"/>
          <w:kern w:val="0"/>
          <w:lang w:val="en-IN" w:eastAsia="en-IN"/>
          <w14:ligatures w14:val="none"/>
        </w:rPr>
        <w:br/>
      </w:r>
      <w:hyperlink r:id="rId11" w:tgtFrame="_new" w:history="1">
        <w:r w:rsidRPr="002F6723">
          <w:rPr>
            <w:rFonts w:ascii="Calibri" w:eastAsia="Times New Roman" w:hAnsi="Calibri" w:cs="Calibri"/>
            <w:color w:val="0000FF"/>
            <w:kern w:val="0"/>
            <w:u w:val="single"/>
            <w:lang w:val="en-IN" w:eastAsia="en-IN"/>
            <w14:ligatures w14:val="none"/>
          </w:rPr>
          <w:t>https://www.jpmorganchase.com/about</w:t>
        </w:r>
      </w:hyperlink>
      <w:r w:rsidRPr="002F6723">
        <w:rPr>
          <w:rFonts w:ascii="Calibri" w:eastAsia="Times New Roman" w:hAnsi="Calibri" w:cs="Calibri"/>
          <w:kern w:val="0"/>
          <w:lang w:val="en-IN" w:eastAsia="en-IN"/>
          <w14:ligatures w14:val="none"/>
        </w:rPr>
        <w:t xml:space="preserve"> </w:t>
      </w:r>
    </w:p>
    <w:p w14:paraId="47ADDA77" w14:textId="77777777" w:rsidR="003A2E2D" w:rsidRPr="002F6723" w:rsidRDefault="003A2E2D" w:rsidP="002F6723">
      <w:pPr>
        <w:numPr>
          <w:ilvl w:val="0"/>
          <w:numId w:val="44"/>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Yahoo Finance. (2026). </w:t>
      </w:r>
      <w:r w:rsidRPr="002F6723">
        <w:rPr>
          <w:rFonts w:ascii="Calibri" w:eastAsia="Times New Roman" w:hAnsi="Calibri" w:cs="Calibri"/>
          <w:i/>
          <w:iCs/>
          <w:kern w:val="0"/>
          <w:lang w:val="en-IN" w:eastAsia="en-IN"/>
          <w14:ligatures w14:val="none"/>
        </w:rPr>
        <w:t>JPMorgan Chase &amp; Co. (JPM) stock data</w:t>
      </w:r>
      <w:r w:rsidRPr="002F6723">
        <w:rPr>
          <w:rFonts w:ascii="Calibri" w:eastAsia="Times New Roman" w:hAnsi="Calibri" w:cs="Calibri"/>
          <w:kern w:val="0"/>
          <w:lang w:val="en-IN" w:eastAsia="en-IN"/>
          <w14:ligatures w14:val="none"/>
        </w:rPr>
        <w:t>. Retrieved from</w:t>
      </w:r>
      <w:r w:rsidRPr="002F6723">
        <w:rPr>
          <w:rFonts w:ascii="Calibri" w:eastAsia="Times New Roman" w:hAnsi="Calibri" w:cs="Calibri"/>
          <w:kern w:val="0"/>
          <w:lang w:val="en-IN" w:eastAsia="en-IN"/>
          <w14:ligatures w14:val="none"/>
        </w:rPr>
        <w:br/>
      </w:r>
      <w:hyperlink r:id="rId12" w:tgtFrame="_new" w:history="1">
        <w:r w:rsidRPr="002F6723">
          <w:rPr>
            <w:rFonts w:ascii="Calibri" w:eastAsia="Times New Roman" w:hAnsi="Calibri" w:cs="Calibri"/>
            <w:color w:val="0000FF"/>
            <w:kern w:val="0"/>
            <w:u w:val="single"/>
            <w:lang w:val="en-IN" w:eastAsia="en-IN"/>
            <w14:ligatures w14:val="none"/>
          </w:rPr>
          <w:t>https://finance.yahoo.com/quote/JPM</w:t>
        </w:r>
      </w:hyperlink>
      <w:r w:rsidRPr="002F6723">
        <w:rPr>
          <w:rFonts w:ascii="Calibri" w:eastAsia="Times New Roman" w:hAnsi="Calibri" w:cs="Calibri"/>
          <w:kern w:val="0"/>
          <w:lang w:val="en-IN" w:eastAsia="en-IN"/>
          <w14:ligatures w14:val="none"/>
        </w:rPr>
        <w:t xml:space="preserve"> </w:t>
      </w:r>
    </w:p>
    <w:p w14:paraId="73A2E590" w14:textId="77777777" w:rsidR="003A2E2D" w:rsidRPr="002F6723" w:rsidRDefault="003A2E2D" w:rsidP="002F6723">
      <w:pPr>
        <w:numPr>
          <w:ilvl w:val="0"/>
          <w:numId w:val="44"/>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lastRenderedPageBreak/>
        <w:t xml:space="preserve">NASDAQ. (2026). </w:t>
      </w:r>
      <w:r w:rsidRPr="002F6723">
        <w:rPr>
          <w:rFonts w:ascii="Calibri" w:eastAsia="Times New Roman" w:hAnsi="Calibri" w:cs="Calibri"/>
          <w:i/>
          <w:iCs/>
          <w:kern w:val="0"/>
          <w:lang w:val="en-IN" w:eastAsia="en-IN"/>
          <w14:ligatures w14:val="none"/>
        </w:rPr>
        <w:t>JPM stock market data</w:t>
      </w:r>
      <w:r w:rsidRPr="002F6723">
        <w:rPr>
          <w:rFonts w:ascii="Calibri" w:eastAsia="Times New Roman" w:hAnsi="Calibri" w:cs="Calibri"/>
          <w:kern w:val="0"/>
          <w:lang w:val="en-IN" w:eastAsia="en-IN"/>
          <w14:ligatures w14:val="none"/>
        </w:rPr>
        <w:t>. Retrieved from</w:t>
      </w:r>
      <w:r w:rsidRPr="002F6723">
        <w:rPr>
          <w:rFonts w:ascii="Calibri" w:eastAsia="Times New Roman" w:hAnsi="Calibri" w:cs="Calibri"/>
          <w:kern w:val="0"/>
          <w:lang w:val="en-IN" w:eastAsia="en-IN"/>
          <w14:ligatures w14:val="none"/>
        </w:rPr>
        <w:br/>
      </w:r>
      <w:hyperlink r:id="rId13" w:tgtFrame="_new" w:history="1">
        <w:r w:rsidRPr="002F6723">
          <w:rPr>
            <w:rFonts w:ascii="Calibri" w:eastAsia="Times New Roman" w:hAnsi="Calibri" w:cs="Calibri"/>
            <w:color w:val="0000FF"/>
            <w:kern w:val="0"/>
            <w:u w:val="single"/>
            <w:lang w:val="en-IN" w:eastAsia="en-IN"/>
            <w14:ligatures w14:val="none"/>
          </w:rPr>
          <w:t>https://www.nasdaq.com/market-activity/stocks/jpm</w:t>
        </w:r>
      </w:hyperlink>
      <w:r w:rsidRPr="002F6723">
        <w:rPr>
          <w:rFonts w:ascii="Calibri" w:eastAsia="Times New Roman" w:hAnsi="Calibri" w:cs="Calibri"/>
          <w:kern w:val="0"/>
          <w:lang w:val="en-IN" w:eastAsia="en-IN"/>
          <w14:ligatures w14:val="none"/>
        </w:rPr>
        <w:t xml:space="preserve"> </w:t>
      </w:r>
    </w:p>
    <w:p w14:paraId="4B4DB973" w14:textId="77777777" w:rsidR="003A2E2D" w:rsidRPr="002F6723" w:rsidRDefault="003A2E2D" w:rsidP="002F6723">
      <w:pPr>
        <w:numPr>
          <w:ilvl w:val="0"/>
          <w:numId w:val="44"/>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Reuters. (2025). </w:t>
      </w:r>
      <w:r w:rsidRPr="002F6723">
        <w:rPr>
          <w:rFonts w:ascii="Calibri" w:eastAsia="Times New Roman" w:hAnsi="Calibri" w:cs="Calibri"/>
          <w:i/>
          <w:iCs/>
          <w:kern w:val="0"/>
          <w:lang w:val="en-IN" w:eastAsia="en-IN"/>
          <w14:ligatures w14:val="none"/>
        </w:rPr>
        <w:t>JPMorgan financial performance and banking news</w:t>
      </w:r>
      <w:r w:rsidRPr="002F6723">
        <w:rPr>
          <w:rFonts w:ascii="Calibri" w:eastAsia="Times New Roman" w:hAnsi="Calibri" w:cs="Calibri"/>
          <w:kern w:val="0"/>
          <w:lang w:val="en-IN" w:eastAsia="en-IN"/>
          <w14:ligatures w14:val="none"/>
        </w:rPr>
        <w:t>. Retrieved from</w:t>
      </w:r>
      <w:r w:rsidRPr="002F6723">
        <w:rPr>
          <w:rFonts w:ascii="Calibri" w:eastAsia="Times New Roman" w:hAnsi="Calibri" w:cs="Calibri"/>
          <w:kern w:val="0"/>
          <w:lang w:val="en-IN" w:eastAsia="en-IN"/>
          <w14:ligatures w14:val="none"/>
        </w:rPr>
        <w:br/>
      </w:r>
      <w:hyperlink r:id="rId14" w:tgtFrame="_new" w:history="1">
        <w:r w:rsidRPr="002F6723">
          <w:rPr>
            <w:rFonts w:ascii="Calibri" w:eastAsia="Times New Roman" w:hAnsi="Calibri" w:cs="Calibri"/>
            <w:color w:val="0000FF"/>
            <w:kern w:val="0"/>
            <w:u w:val="single"/>
            <w:lang w:val="en-IN" w:eastAsia="en-IN"/>
            <w14:ligatures w14:val="none"/>
          </w:rPr>
          <w:t>https://www.reuters.com</w:t>
        </w:r>
      </w:hyperlink>
      <w:r w:rsidRPr="002F6723">
        <w:rPr>
          <w:rFonts w:ascii="Calibri" w:eastAsia="Times New Roman" w:hAnsi="Calibri" w:cs="Calibri"/>
          <w:kern w:val="0"/>
          <w:lang w:val="en-IN" w:eastAsia="en-IN"/>
          <w14:ligatures w14:val="none"/>
        </w:rPr>
        <w:t xml:space="preserve"> </w:t>
      </w:r>
    </w:p>
    <w:p w14:paraId="7FD05F98" w14:textId="77777777" w:rsidR="003A2E2D" w:rsidRPr="002F6723" w:rsidRDefault="003A2E2D" w:rsidP="002F6723">
      <w:pPr>
        <w:numPr>
          <w:ilvl w:val="0"/>
          <w:numId w:val="44"/>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Federal Reserve System. (2026). </w:t>
      </w:r>
      <w:r w:rsidRPr="002F6723">
        <w:rPr>
          <w:rFonts w:ascii="Calibri" w:eastAsia="Times New Roman" w:hAnsi="Calibri" w:cs="Calibri"/>
          <w:i/>
          <w:iCs/>
          <w:kern w:val="0"/>
          <w:lang w:val="en-IN" w:eastAsia="en-IN"/>
          <w14:ligatures w14:val="none"/>
        </w:rPr>
        <w:t>10-year Treasury yield (DGS10)</w:t>
      </w:r>
      <w:r w:rsidRPr="002F6723">
        <w:rPr>
          <w:rFonts w:ascii="Calibri" w:eastAsia="Times New Roman" w:hAnsi="Calibri" w:cs="Calibri"/>
          <w:kern w:val="0"/>
          <w:lang w:val="en-IN" w:eastAsia="en-IN"/>
          <w14:ligatures w14:val="none"/>
        </w:rPr>
        <w:t>. Retrieved from</w:t>
      </w:r>
      <w:r w:rsidRPr="002F6723">
        <w:rPr>
          <w:rFonts w:ascii="Calibri" w:eastAsia="Times New Roman" w:hAnsi="Calibri" w:cs="Calibri"/>
          <w:kern w:val="0"/>
          <w:lang w:val="en-IN" w:eastAsia="en-IN"/>
          <w14:ligatures w14:val="none"/>
        </w:rPr>
        <w:br/>
      </w:r>
      <w:hyperlink r:id="rId15" w:tgtFrame="_new" w:history="1">
        <w:r w:rsidRPr="002F6723">
          <w:rPr>
            <w:rFonts w:ascii="Calibri" w:eastAsia="Times New Roman" w:hAnsi="Calibri" w:cs="Calibri"/>
            <w:color w:val="0000FF"/>
            <w:kern w:val="0"/>
            <w:u w:val="single"/>
            <w:lang w:val="en-IN" w:eastAsia="en-IN"/>
            <w14:ligatures w14:val="none"/>
          </w:rPr>
          <w:t>https://fred.stlouisfed.org</w:t>
        </w:r>
      </w:hyperlink>
      <w:r w:rsidRPr="002F6723">
        <w:rPr>
          <w:rFonts w:ascii="Calibri" w:eastAsia="Times New Roman" w:hAnsi="Calibri" w:cs="Calibri"/>
          <w:kern w:val="0"/>
          <w:lang w:val="en-IN" w:eastAsia="en-IN"/>
          <w14:ligatures w14:val="none"/>
        </w:rPr>
        <w:t xml:space="preserve"> </w:t>
      </w:r>
    </w:p>
    <w:p w14:paraId="77F03CDB" w14:textId="7F5D506C" w:rsidR="003A2E2D" w:rsidRPr="002F6723" w:rsidRDefault="000D01B7" w:rsidP="002F6723">
      <w:pPr>
        <w:numPr>
          <w:ilvl w:val="0"/>
          <w:numId w:val="44"/>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Slick charts</w:t>
      </w:r>
      <w:r w:rsidR="003A2E2D" w:rsidRPr="002F6723">
        <w:rPr>
          <w:rFonts w:ascii="Calibri" w:eastAsia="Times New Roman" w:hAnsi="Calibri" w:cs="Calibri"/>
          <w:kern w:val="0"/>
          <w:lang w:val="en-IN" w:eastAsia="en-IN"/>
          <w14:ligatures w14:val="none"/>
        </w:rPr>
        <w:t xml:space="preserve">. (2026). </w:t>
      </w:r>
      <w:r w:rsidR="003A2E2D" w:rsidRPr="002F6723">
        <w:rPr>
          <w:rFonts w:ascii="Calibri" w:eastAsia="Times New Roman" w:hAnsi="Calibri" w:cs="Calibri"/>
          <w:i/>
          <w:iCs/>
          <w:kern w:val="0"/>
          <w:lang w:val="en-IN" w:eastAsia="en-IN"/>
          <w14:ligatures w14:val="none"/>
        </w:rPr>
        <w:t>S&amp;P 500 annual returns</w:t>
      </w:r>
      <w:r w:rsidR="003A2E2D" w:rsidRPr="002F6723">
        <w:rPr>
          <w:rFonts w:ascii="Calibri" w:eastAsia="Times New Roman" w:hAnsi="Calibri" w:cs="Calibri"/>
          <w:kern w:val="0"/>
          <w:lang w:val="en-IN" w:eastAsia="en-IN"/>
          <w14:ligatures w14:val="none"/>
        </w:rPr>
        <w:t>. Retrieved from</w:t>
      </w:r>
      <w:r w:rsidR="003A2E2D" w:rsidRPr="002F6723">
        <w:rPr>
          <w:rFonts w:ascii="Calibri" w:eastAsia="Times New Roman" w:hAnsi="Calibri" w:cs="Calibri"/>
          <w:kern w:val="0"/>
          <w:lang w:val="en-IN" w:eastAsia="en-IN"/>
          <w14:ligatures w14:val="none"/>
        </w:rPr>
        <w:br/>
      </w:r>
      <w:hyperlink r:id="rId16" w:tgtFrame="_new" w:history="1">
        <w:r w:rsidR="003A2E2D" w:rsidRPr="002F6723">
          <w:rPr>
            <w:rFonts w:ascii="Calibri" w:eastAsia="Times New Roman" w:hAnsi="Calibri" w:cs="Calibri"/>
            <w:color w:val="0000FF"/>
            <w:kern w:val="0"/>
            <w:u w:val="single"/>
            <w:lang w:val="en-IN" w:eastAsia="en-IN"/>
            <w14:ligatures w14:val="none"/>
          </w:rPr>
          <w:t>https://www.slickcharts.com/sp500/returns</w:t>
        </w:r>
      </w:hyperlink>
      <w:r w:rsidR="003A2E2D" w:rsidRPr="002F6723">
        <w:rPr>
          <w:rFonts w:ascii="Calibri" w:eastAsia="Times New Roman" w:hAnsi="Calibri" w:cs="Calibri"/>
          <w:kern w:val="0"/>
          <w:lang w:val="en-IN" w:eastAsia="en-IN"/>
          <w14:ligatures w14:val="none"/>
        </w:rPr>
        <w:t xml:space="preserve"> </w:t>
      </w:r>
    </w:p>
    <w:p w14:paraId="565B9A77" w14:textId="77777777" w:rsidR="003A2E2D" w:rsidRPr="002F6723" w:rsidRDefault="003A2E2D" w:rsidP="002F6723">
      <w:pPr>
        <w:numPr>
          <w:ilvl w:val="0"/>
          <w:numId w:val="44"/>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Investopedia. (2026). </w:t>
      </w:r>
      <w:r w:rsidRPr="002F6723">
        <w:rPr>
          <w:rFonts w:ascii="Calibri" w:eastAsia="Times New Roman" w:hAnsi="Calibri" w:cs="Calibri"/>
          <w:i/>
          <w:iCs/>
          <w:kern w:val="0"/>
          <w:lang w:val="en-IN" w:eastAsia="en-IN"/>
          <w14:ligatures w14:val="none"/>
        </w:rPr>
        <w:t>CAPM, WACC, and financial ratios explanations</w:t>
      </w:r>
      <w:r w:rsidRPr="002F6723">
        <w:rPr>
          <w:rFonts w:ascii="Calibri" w:eastAsia="Times New Roman" w:hAnsi="Calibri" w:cs="Calibri"/>
          <w:kern w:val="0"/>
          <w:lang w:val="en-IN" w:eastAsia="en-IN"/>
          <w14:ligatures w14:val="none"/>
        </w:rPr>
        <w:t>. Retrieved from</w:t>
      </w:r>
      <w:r w:rsidRPr="002F6723">
        <w:rPr>
          <w:rFonts w:ascii="Calibri" w:eastAsia="Times New Roman" w:hAnsi="Calibri" w:cs="Calibri"/>
          <w:kern w:val="0"/>
          <w:lang w:val="en-IN" w:eastAsia="en-IN"/>
          <w14:ligatures w14:val="none"/>
        </w:rPr>
        <w:br/>
      </w:r>
      <w:hyperlink r:id="rId17" w:tgtFrame="_new" w:history="1">
        <w:r w:rsidRPr="002F6723">
          <w:rPr>
            <w:rFonts w:ascii="Calibri" w:eastAsia="Times New Roman" w:hAnsi="Calibri" w:cs="Calibri"/>
            <w:color w:val="0000FF"/>
            <w:kern w:val="0"/>
            <w:u w:val="single"/>
            <w:lang w:val="en-IN" w:eastAsia="en-IN"/>
            <w14:ligatures w14:val="none"/>
          </w:rPr>
          <w:t>https://www.investopedia.com</w:t>
        </w:r>
      </w:hyperlink>
      <w:r w:rsidRPr="002F6723">
        <w:rPr>
          <w:rFonts w:ascii="Calibri" w:eastAsia="Times New Roman" w:hAnsi="Calibri" w:cs="Calibri"/>
          <w:kern w:val="0"/>
          <w:lang w:val="en-IN" w:eastAsia="en-IN"/>
          <w14:ligatures w14:val="none"/>
        </w:rPr>
        <w:t xml:space="preserve"> </w:t>
      </w:r>
    </w:p>
    <w:p w14:paraId="56A20EA9" w14:textId="77777777" w:rsidR="003A2E2D" w:rsidRPr="002F6723" w:rsidRDefault="003A2E2D" w:rsidP="002F6723">
      <w:pPr>
        <w:numPr>
          <w:ilvl w:val="0"/>
          <w:numId w:val="44"/>
        </w:numPr>
        <w:spacing w:before="100" w:beforeAutospacing="1" w:after="100" w:afterAutospacing="1" w:line="360" w:lineRule="auto"/>
        <w:rPr>
          <w:rFonts w:ascii="Calibri" w:eastAsia="Times New Roman" w:hAnsi="Calibri" w:cs="Calibri"/>
          <w:kern w:val="0"/>
          <w:lang w:val="en-IN" w:eastAsia="en-IN"/>
          <w14:ligatures w14:val="none"/>
        </w:rPr>
      </w:pPr>
      <w:r w:rsidRPr="002F6723">
        <w:rPr>
          <w:rFonts w:ascii="Calibri" w:eastAsia="Times New Roman" w:hAnsi="Calibri" w:cs="Calibri"/>
          <w:kern w:val="0"/>
          <w:lang w:val="en-IN" w:eastAsia="en-IN"/>
          <w14:ligatures w14:val="none"/>
        </w:rPr>
        <w:t xml:space="preserve">Facebook Prophet. (2023). </w:t>
      </w:r>
      <w:r w:rsidRPr="002F6723">
        <w:rPr>
          <w:rFonts w:ascii="Calibri" w:eastAsia="Times New Roman" w:hAnsi="Calibri" w:cs="Calibri"/>
          <w:i/>
          <w:iCs/>
          <w:kern w:val="0"/>
          <w:lang w:val="en-IN" w:eastAsia="en-IN"/>
          <w14:ligatures w14:val="none"/>
        </w:rPr>
        <w:t>Forecasting at scale</w:t>
      </w:r>
      <w:r w:rsidRPr="002F6723">
        <w:rPr>
          <w:rFonts w:ascii="Calibri" w:eastAsia="Times New Roman" w:hAnsi="Calibri" w:cs="Calibri"/>
          <w:kern w:val="0"/>
          <w:lang w:val="en-IN" w:eastAsia="en-IN"/>
          <w14:ligatures w14:val="none"/>
        </w:rPr>
        <w:t>. Retrieved from</w:t>
      </w:r>
      <w:r w:rsidRPr="002F6723">
        <w:rPr>
          <w:rFonts w:ascii="Calibri" w:eastAsia="Times New Roman" w:hAnsi="Calibri" w:cs="Calibri"/>
          <w:kern w:val="0"/>
          <w:lang w:val="en-IN" w:eastAsia="en-IN"/>
          <w14:ligatures w14:val="none"/>
        </w:rPr>
        <w:br/>
      </w:r>
      <w:hyperlink r:id="rId18" w:tgtFrame="_new" w:history="1">
        <w:r w:rsidRPr="002F6723">
          <w:rPr>
            <w:rFonts w:ascii="Calibri" w:eastAsia="Times New Roman" w:hAnsi="Calibri" w:cs="Calibri"/>
            <w:color w:val="0000FF"/>
            <w:kern w:val="0"/>
            <w:u w:val="single"/>
            <w:lang w:val="en-IN" w:eastAsia="en-IN"/>
            <w14:ligatures w14:val="none"/>
          </w:rPr>
          <w:t>https://facebook.github.io/prophet/</w:t>
        </w:r>
      </w:hyperlink>
      <w:r w:rsidRPr="002F6723">
        <w:rPr>
          <w:rFonts w:ascii="Calibri" w:eastAsia="Times New Roman" w:hAnsi="Calibri" w:cs="Calibri"/>
          <w:kern w:val="0"/>
          <w:lang w:val="en-IN" w:eastAsia="en-IN"/>
          <w14:ligatures w14:val="none"/>
        </w:rPr>
        <w:t xml:space="preserve"> </w:t>
      </w:r>
    </w:p>
    <w:p w14:paraId="0DDE90ED" w14:textId="77777777" w:rsidR="003A2E2D" w:rsidRPr="002F6723" w:rsidRDefault="003A2E2D" w:rsidP="002F6723">
      <w:pPr>
        <w:spacing w:line="360" w:lineRule="auto"/>
        <w:rPr>
          <w:rFonts w:ascii="Calibri" w:hAnsi="Calibri" w:cs="Calibri"/>
        </w:rPr>
      </w:pPr>
    </w:p>
    <w:sectPr w:rsidR="003A2E2D" w:rsidRPr="002F6723" w:rsidSect="003441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19ED6" w14:textId="77777777" w:rsidR="00BB683B" w:rsidRDefault="00BB683B" w:rsidP="000B78DC">
      <w:pPr>
        <w:spacing w:after="0" w:line="240" w:lineRule="auto"/>
      </w:pPr>
      <w:r>
        <w:separator/>
      </w:r>
    </w:p>
  </w:endnote>
  <w:endnote w:type="continuationSeparator" w:id="0">
    <w:p w14:paraId="29753144" w14:textId="77777777" w:rsidR="00BB683B" w:rsidRDefault="00BB683B" w:rsidP="000B7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F8A82" w14:textId="77777777" w:rsidR="00BB683B" w:rsidRDefault="00BB683B" w:rsidP="000B78DC">
      <w:pPr>
        <w:spacing w:after="0" w:line="240" w:lineRule="auto"/>
      </w:pPr>
      <w:r>
        <w:separator/>
      </w:r>
    </w:p>
  </w:footnote>
  <w:footnote w:type="continuationSeparator" w:id="0">
    <w:p w14:paraId="3BEB05C8" w14:textId="77777777" w:rsidR="00BB683B" w:rsidRDefault="00BB683B" w:rsidP="000B7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4C"/>
    <w:multiLevelType w:val="multilevel"/>
    <w:tmpl w:val="976C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407C"/>
    <w:multiLevelType w:val="multilevel"/>
    <w:tmpl w:val="3F4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3CFB"/>
    <w:multiLevelType w:val="multilevel"/>
    <w:tmpl w:val="435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3315F"/>
    <w:multiLevelType w:val="multilevel"/>
    <w:tmpl w:val="9BE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84278"/>
    <w:multiLevelType w:val="hybridMultilevel"/>
    <w:tmpl w:val="72523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8819B5"/>
    <w:multiLevelType w:val="multilevel"/>
    <w:tmpl w:val="ED66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6647F"/>
    <w:multiLevelType w:val="hybridMultilevel"/>
    <w:tmpl w:val="6A3E5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85436C"/>
    <w:multiLevelType w:val="multilevel"/>
    <w:tmpl w:val="98A0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57054"/>
    <w:multiLevelType w:val="multilevel"/>
    <w:tmpl w:val="2ACEAC7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0784A"/>
    <w:multiLevelType w:val="multilevel"/>
    <w:tmpl w:val="1844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12848"/>
    <w:multiLevelType w:val="multilevel"/>
    <w:tmpl w:val="349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C3E12"/>
    <w:multiLevelType w:val="multilevel"/>
    <w:tmpl w:val="0C8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76CBB"/>
    <w:multiLevelType w:val="multilevel"/>
    <w:tmpl w:val="1DAA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53442"/>
    <w:multiLevelType w:val="multilevel"/>
    <w:tmpl w:val="0C0A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C7195"/>
    <w:multiLevelType w:val="multilevel"/>
    <w:tmpl w:val="DF64A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3732A"/>
    <w:multiLevelType w:val="hybridMultilevel"/>
    <w:tmpl w:val="CCBE1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DF2913"/>
    <w:multiLevelType w:val="multilevel"/>
    <w:tmpl w:val="DF0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E4EA2"/>
    <w:multiLevelType w:val="multilevel"/>
    <w:tmpl w:val="BEF8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21A7A"/>
    <w:multiLevelType w:val="multilevel"/>
    <w:tmpl w:val="DE2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908B5"/>
    <w:multiLevelType w:val="multilevel"/>
    <w:tmpl w:val="7D38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F74A1"/>
    <w:multiLevelType w:val="multilevel"/>
    <w:tmpl w:val="3E4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F1056"/>
    <w:multiLevelType w:val="multilevel"/>
    <w:tmpl w:val="B2AE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03422"/>
    <w:multiLevelType w:val="multilevel"/>
    <w:tmpl w:val="567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3143F"/>
    <w:multiLevelType w:val="multilevel"/>
    <w:tmpl w:val="DA9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37580"/>
    <w:multiLevelType w:val="hybridMultilevel"/>
    <w:tmpl w:val="F1C6E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7A4DA8"/>
    <w:multiLevelType w:val="multilevel"/>
    <w:tmpl w:val="E056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90A99"/>
    <w:multiLevelType w:val="multilevel"/>
    <w:tmpl w:val="8224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D6C7E"/>
    <w:multiLevelType w:val="multilevel"/>
    <w:tmpl w:val="FC60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F4508"/>
    <w:multiLevelType w:val="multilevel"/>
    <w:tmpl w:val="129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C3C22"/>
    <w:multiLevelType w:val="multilevel"/>
    <w:tmpl w:val="4DF6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23572"/>
    <w:multiLevelType w:val="multilevel"/>
    <w:tmpl w:val="0D5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C04F4"/>
    <w:multiLevelType w:val="hybridMultilevel"/>
    <w:tmpl w:val="812E2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221A89"/>
    <w:multiLevelType w:val="multilevel"/>
    <w:tmpl w:val="42A6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00A74"/>
    <w:multiLevelType w:val="multilevel"/>
    <w:tmpl w:val="7A3E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E60E3"/>
    <w:multiLevelType w:val="multilevel"/>
    <w:tmpl w:val="631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E6BE6"/>
    <w:multiLevelType w:val="multilevel"/>
    <w:tmpl w:val="2458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E56E8"/>
    <w:multiLevelType w:val="multilevel"/>
    <w:tmpl w:val="86B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54EAD"/>
    <w:multiLevelType w:val="multilevel"/>
    <w:tmpl w:val="0A9C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E85AA6"/>
    <w:multiLevelType w:val="multilevel"/>
    <w:tmpl w:val="A12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54DC0"/>
    <w:multiLevelType w:val="multilevel"/>
    <w:tmpl w:val="151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140D6"/>
    <w:multiLevelType w:val="multilevel"/>
    <w:tmpl w:val="DF64A11E"/>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start w:val="3"/>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11D95"/>
    <w:multiLevelType w:val="multilevel"/>
    <w:tmpl w:val="131C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C5C2F"/>
    <w:multiLevelType w:val="multilevel"/>
    <w:tmpl w:val="6EF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D1838"/>
    <w:multiLevelType w:val="multilevel"/>
    <w:tmpl w:val="B672A0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3FD096D"/>
    <w:multiLevelType w:val="multilevel"/>
    <w:tmpl w:val="958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F0703"/>
    <w:multiLevelType w:val="multilevel"/>
    <w:tmpl w:val="53C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42F82"/>
    <w:multiLevelType w:val="multilevel"/>
    <w:tmpl w:val="891A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54088">
    <w:abstractNumId w:val="17"/>
  </w:num>
  <w:num w:numId="2" w16cid:durableId="1136339833">
    <w:abstractNumId w:val="46"/>
  </w:num>
  <w:num w:numId="3" w16cid:durableId="1593970670">
    <w:abstractNumId w:val="42"/>
  </w:num>
  <w:num w:numId="4" w16cid:durableId="605625384">
    <w:abstractNumId w:val="20"/>
  </w:num>
  <w:num w:numId="5" w16cid:durableId="94326248">
    <w:abstractNumId w:val="21"/>
  </w:num>
  <w:num w:numId="6" w16cid:durableId="954022042">
    <w:abstractNumId w:val="44"/>
  </w:num>
  <w:num w:numId="7" w16cid:durableId="1165896174">
    <w:abstractNumId w:val="12"/>
  </w:num>
  <w:num w:numId="8" w16cid:durableId="357698791">
    <w:abstractNumId w:val="22"/>
  </w:num>
  <w:num w:numId="9" w16cid:durableId="1940067973">
    <w:abstractNumId w:val="14"/>
  </w:num>
  <w:num w:numId="10" w16cid:durableId="360401921">
    <w:abstractNumId w:val="16"/>
  </w:num>
  <w:num w:numId="11" w16cid:durableId="642152704">
    <w:abstractNumId w:val="34"/>
  </w:num>
  <w:num w:numId="12" w16cid:durableId="230389734">
    <w:abstractNumId w:val="35"/>
  </w:num>
  <w:num w:numId="13" w16cid:durableId="1620140990">
    <w:abstractNumId w:val="5"/>
  </w:num>
  <w:num w:numId="14" w16cid:durableId="2020427277">
    <w:abstractNumId w:val="18"/>
  </w:num>
  <w:num w:numId="15" w16cid:durableId="2078478891">
    <w:abstractNumId w:val="13"/>
  </w:num>
  <w:num w:numId="16" w16cid:durableId="1723823373">
    <w:abstractNumId w:val="30"/>
  </w:num>
  <w:num w:numId="17" w16cid:durableId="1415476226">
    <w:abstractNumId w:val="43"/>
  </w:num>
  <w:num w:numId="18" w16cid:durableId="429744573">
    <w:abstractNumId w:val="28"/>
  </w:num>
  <w:num w:numId="19" w16cid:durableId="2110157039">
    <w:abstractNumId w:val="36"/>
  </w:num>
  <w:num w:numId="20" w16cid:durableId="82845777">
    <w:abstractNumId w:val="25"/>
  </w:num>
  <w:num w:numId="21" w16cid:durableId="155464503">
    <w:abstractNumId w:val="9"/>
  </w:num>
  <w:num w:numId="22" w16cid:durableId="773281561">
    <w:abstractNumId w:val="1"/>
  </w:num>
  <w:num w:numId="23" w16cid:durableId="21253991">
    <w:abstractNumId w:val="8"/>
  </w:num>
  <w:num w:numId="24" w16cid:durableId="582446973">
    <w:abstractNumId w:val="11"/>
  </w:num>
  <w:num w:numId="25" w16cid:durableId="638340277">
    <w:abstractNumId w:val="41"/>
  </w:num>
  <w:num w:numId="26" w16cid:durableId="32120410">
    <w:abstractNumId w:val="3"/>
  </w:num>
  <w:num w:numId="27" w16cid:durableId="154809431">
    <w:abstractNumId w:val="40"/>
  </w:num>
  <w:num w:numId="28" w16cid:durableId="1321619501">
    <w:abstractNumId w:val="6"/>
  </w:num>
  <w:num w:numId="29" w16cid:durableId="935987651">
    <w:abstractNumId w:val="32"/>
  </w:num>
  <w:num w:numId="30" w16cid:durableId="1379743509">
    <w:abstractNumId w:val="31"/>
  </w:num>
  <w:num w:numId="31" w16cid:durableId="1023439356">
    <w:abstractNumId w:val="15"/>
  </w:num>
  <w:num w:numId="32" w16cid:durableId="951863659">
    <w:abstractNumId w:val="24"/>
  </w:num>
  <w:num w:numId="33" w16cid:durableId="187377337">
    <w:abstractNumId w:val="38"/>
  </w:num>
  <w:num w:numId="34" w16cid:durableId="701589255">
    <w:abstractNumId w:val="23"/>
  </w:num>
  <w:num w:numId="35" w16cid:durableId="392046028">
    <w:abstractNumId w:val="0"/>
  </w:num>
  <w:num w:numId="36" w16cid:durableId="287589856">
    <w:abstractNumId w:val="19"/>
  </w:num>
  <w:num w:numId="37" w16cid:durableId="84739543">
    <w:abstractNumId w:val="29"/>
  </w:num>
  <w:num w:numId="38" w16cid:durableId="1803452194">
    <w:abstractNumId w:val="39"/>
  </w:num>
  <w:num w:numId="39" w16cid:durableId="1077748416">
    <w:abstractNumId w:val="2"/>
  </w:num>
  <w:num w:numId="40" w16cid:durableId="899898187">
    <w:abstractNumId w:val="33"/>
  </w:num>
  <w:num w:numId="41" w16cid:durableId="1669751140">
    <w:abstractNumId w:val="26"/>
  </w:num>
  <w:num w:numId="42" w16cid:durableId="967778120">
    <w:abstractNumId w:val="7"/>
  </w:num>
  <w:num w:numId="43" w16cid:durableId="1230386434">
    <w:abstractNumId w:val="27"/>
  </w:num>
  <w:num w:numId="44" w16cid:durableId="421418903">
    <w:abstractNumId w:val="37"/>
  </w:num>
  <w:num w:numId="45" w16cid:durableId="151528270">
    <w:abstractNumId w:val="45"/>
  </w:num>
  <w:num w:numId="46" w16cid:durableId="1484740320">
    <w:abstractNumId w:val="10"/>
  </w:num>
  <w:num w:numId="47" w16cid:durableId="1902010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960"/>
    <w:rsid w:val="000A282B"/>
    <w:rsid w:val="000A7FFA"/>
    <w:rsid w:val="000B78DC"/>
    <w:rsid w:val="000C25A2"/>
    <w:rsid w:val="000C4960"/>
    <w:rsid w:val="000D01B7"/>
    <w:rsid w:val="000E1B01"/>
    <w:rsid w:val="000F0DDD"/>
    <w:rsid w:val="000F101A"/>
    <w:rsid w:val="00111024"/>
    <w:rsid w:val="00204A05"/>
    <w:rsid w:val="00264880"/>
    <w:rsid w:val="002D0759"/>
    <w:rsid w:val="002F6723"/>
    <w:rsid w:val="00324846"/>
    <w:rsid w:val="003441C6"/>
    <w:rsid w:val="0034709D"/>
    <w:rsid w:val="003A2E2D"/>
    <w:rsid w:val="003D5953"/>
    <w:rsid w:val="003E2EFF"/>
    <w:rsid w:val="004A6DA3"/>
    <w:rsid w:val="004B3F45"/>
    <w:rsid w:val="004E368E"/>
    <w:rsid w:val="00501BC4"/>
    <w:rsid w:val="00512832"/>
    <w:rsid w:val="00532479"/>
    <w:rsid w:val="00587053"/>
    <w:rsid w:val="0064410C"/>
    <w:rsid w:val="006479F8"/>
    <w:rsid w:val="006D258F"/>
    <w:rsid w:val="00734DB6"/>
    <w:rsid w:val="007507B9"/>
    <w:rsid w:val="00782A01"/>
    <w:rsid w:val="0092152F"/>
    <w:rsid w:val="009F0FEC"/>
    <w:rsid w:val="00A25039"/>
    <w:rsid w:val="00B1790B"/>
    <w:rsid w:val="00B757E5"/>
    <w:rsid w:val="00B821E3"/>
    <w:rsid w:val="00B9320C"/>
    <w:rsid w:val="00BB683B"/>
    <w:rsid w:val="00C66EBE"/>
    <w:rsid w:val="00C749BF"/>
    <w:rsid w:val="00C90B6E"/>
    <w:rsid w:val="00CC2F1C"/>
    <w:rsid w:val="00D63A23"/>
    <w:rsid w:val="00E50274"/>
    <w:rsid w:val="00E9492F"/>
    <w:rsid w:val="00EB10C2"/>
    <w:rsid w:val="00EF6446"/>
    <w:rsid w:val="00F34DD7"/>
    <w:rsid w:val="00FA41FA"/>
    <w:rsid w:val="00FA6E99"/>
    <w:rsid w:val="00FE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EC3D"/>
  <w15:chartTrackingRefBased/>
  <w15:docId w15:val="{5C4A2A7F-C306-47CF-A9BD-69CAE8A79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479"/>
  </w:style>
  <w:style w:type="paragraph" w:styleId="Heading1">
    <w:name w:val="heading 1"/>
    <w:basedOn w:val="Normal"/>
    <w:next w:val="Normal"/>
    <w:link w:val="Heading1Char"/>
    <w:uiPriority w:val="9"/>
    <w:qFormat/>
    <w:rsid w:val="000C4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960"/>
    <w:rPr>
      <w:rFonts w:eastAsiaTheme="majorEastAsia" w:cstheme="majorBidi"/>
      <w:color w:val="272727" w:themeColor="text1" w:themeTint="D8"/>
    </w:rPr>
  </w:style>
  <w:style w:type="paragraph" w:styleId="Title">
    <w:name w:val="Title"/>
    <w:basedOn w:val="Normal"/>
    <w:next w:val="Normal"/>
    <w:link w:val="TitleChar"/>
    <w:uiPriority w:val="10"/>
    <w:qFormat/>
    <w:rsid w:val="000C4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960"/>
    <w:pPr>
      <w:spacing w:before="160"/>
      <w:jc w:val="center"/>
    </w:pPr>
    <w:rPr>
      <w:i/>
      <w:iCs/>
      <w:color w:val="404040" w:themeColor="text1" w:themeTint="BF"/>
    </w:rPr>
  </w:style>
  <w:style w:type="character" w:customStyle="1" w:styleId="QuoteChar">
    <w:name w:val="Quote Char"/>
    <w:basedOn w:val="DefaultParagraphFont"/>
    <w:link w:val="Quote"/>
    <w:uiPriority w:val="29"/>
    <w:rsid w:val="000C4960"/>
    <w:rPr>
      <w:i/>
      <w:iCs/>
      <w:color w:val="404040" w:themeColor="text1" w:themeTint="BF"/>
    </w:rPr>
  </w:style>
  <w:style w:type="paragraph" w:styleId="ListParagraph">
    <w:name w:val="List Paragraph"/>
    <w:basedOn w:val="Normal"/>
    <w:uiPriority w:val="34"/>
    <w:qFormat/>
    <w:rsid w:val="000C4960"/>
    <w:pPr>
      <w:ind w:left="720"/>
      <w:contextualSpacing/>
    </w:pPr>
  </w:style>
  <w:style w:type="character" w:styleId="IntenseEmphasis">
    <w:name w:val="Intense Emphasis"/>
    <w:basedOn w:val="DefaultParagraphFont"/>
    <w:uiPriority w:val="21"/>
    <w:qFormat/>
    <w:rsid w:val="000C4960"/>
    <w:rPr>
      <w:i/>
      <w:iCs/>
      <w:color w:val="0F4761" w:themeColor="accent1" w:themeShade="BF"/>
    </w:rPr>
  </w:style>
  <w:style w:type="paragraph" w:styleId="IntenseQuote">
    <w:name w:val="Intense Quote"/>
    <w:basedOn w:val="Normal"/>
    <w:next w:val="Normal"/>
    <w:link w:val="IntenseQuoteChar"/>
    <w:uiPriority w:val="30"/>
    <w:qFormat/>
    <w:rsid w:val="000C4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960"/>
    <w:rPr>
      <w:i/>
      <w:iCs/>
      <w:color w:val="0F4761" w:themeColor="accent1" w:themeShade="BF"/>
    </w:rPr>
  </w:style>
  <w:style w:type="character" w:styleId="IntenseReference">
    <w:name w:val="Intense Reference"/>
    <w:basedOn w:val="DefaultParagraphFont"/>
    <w:uiPriority w:val="32"/>
    <w:qFormat/>
    <w:rsid w:val="000C4960"/>
    <w:rPr>
      <w:b/>
      <w:bCs/>
      <w:smallCaps/>
      <w:color w:val="0F4761" w:themeColor="accent1" w:themeShade="BF"/>
      <w:spacing w:val="5"/>
    </w:rPr>
  </w:style>
  <w:style w:type="paragraph" w:customStyle="1" w:styleId="DecimalAligned">
    <w:name w:val="Decimal Aligned"/>
    <w:basedOn w:val="Normal"/>
    <w:uiPriority w:val="40"/>
    <w:qFormat/>
    <w:rsid w:val="000C4960"/>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0C4960"/>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0C4960"/>
    <w:rPr>
      <w:rFonts w:eastAsiaTheme="minorEastAsia" w:cs="Times New Roman"/>
      <w:kern w:val="0"/>
      <w:sz w:val="20"/>
      <w:szCs w:val="20"/>
      <w14:ligatures w14:val="none"/>
    </w:rPr>
  </w:style>
  <w:style w:type="character" w:styleId="SubtleEmphasis">
    <w:name w:val="Subtle Emphasis"/>
    <w:basedOn w:val="DefaultParagraphFont"/>
    <w:uiPriority w:val="19"/>
    <w:qFormat/>
    <w:rsid w:val="000C4960"/>
    <w:rPr>
      <w:i/>
      <w:iCs/>
    </w:rPr>
  </w:style>
  <w:style w:type="table" w:styleId="LightShading-Accent1">
    <w:name w:val="Light Shading Accent 1"/>
    <w:basedOn w:val="TableNormal"/>
    <w:uiPriority w:val="60"/>
    <w:rsid w:val="000C496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0C4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C49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C49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FE786C"/>
    <w:pPr>
      <w:spacing w:after="0" w:line="240" w:lineRule="auto"/>
    </w:pPr>
  </w:style>
  <w:style w:type="paragraph" w:styleId="NormalWeb">
    <w:name w:val="Normal (Web)"/>
    <w:basedOn w:val="Normal"/>
    <w:uiPriority w:val="99"/>
    <w:unhideWhenUsed/>
    <w:rsid w:val="00FE78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786C"/>
    <w:rPr>
      <w:b/>
      <w:bCs/>
    </w:rPr>
  </w:style>
  <w:style w:type="character" w:customStyle="1" w:styleId="citation-528">
    <w:name w:val="citation-528"/>
    <w:basedOn w:val="DefaultParagraphFont"/>
    <w:rsid w:val="00532479"/>
  </w:style>
  <w:style w:type="character" w:customStyle="1" w:styleId="math-inline">
    <w:name w:val="math-inline"/>
    <w:basedOn w:val="DefaultParagraphFont"/>
    <w:rsid w:val="00532479"/>
  </w:style>
  <w:style w:type="character" w:customStyle="1" w:styleId="citation-527">
    <w:name w:val="citation-527"/>
    <w:basedOn w:val="DefaultParagraphFont"/>
    <w:rsid w:val="00532479"/>
  </w:style>
  <w:style w:type="character" w:customStyle="1" w:styleId="citation-526">
    <w:name w:val="citation-526"/>
    <w:basedOn w:val="DefaultParagraphFont"/>
    <w:rsid w:val="00532479"/>
  </w:style>
  <w:style w:type="character" w:customStyle="1" w:styleId="citation-524">
    <w:name w:val="citation-524"/>
    <w:basedOn w:val="DefaultParagraphFont"/>
    <w:rsid w:val="00532479"/>
  </w:style>
  <w:style w:type="character" w:customStyle="1" w:styleId="citation-523">
    <w:name w:val="citation-523"/>
    <w:basedOn w:val="DefaultParagraphFont"/>
    <w:rsid w:val="00532479"/>
  </w:style>
  <w:style w:type="character" w:customStyle="1" w:styleId="citation-522">
    <w:name w:val="citation-522"/>
    <w:basedOn w:val="DefaultParagraphFont"/>
    <w:rsid w:val="00532479"/>
  </w:style>
  <w:style w:type="paragraph" w:styleId="Header">
    <w:name w:val="header"/>
    <w:basedOn w:val="Normal"/>
    <w:link w:val="HeaderChar"/>
    <w:uiPriority w:val="99"/>
    <w:unhideWhenUsed/>
    <w:rsid w:val="000B78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8DC"/>
  </w:style>
  <w:style w:type="paragraph" w:styleId="Footer">
    <w:name w:val="footer"/>
    <w:basedOn w:val="Normal"/>
    <w:link w:val="FooterChar"/>
    <w:uiPriority w:val="99"/>
    <w:unhideWhenUsed/>
    <w:rsid w:val="000B78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8DC"/>
  </w:style>
  <w:style w:type="numbering" w:customStyle="1" w:styleId="CurrentList1">
    <w:name w:val="Current List1"/>
    <w:uiPriority w:val="99"/>
    <w:rsid w:val="007507B9"/>
    <w:pPr>
      <w:numPr>
        <w:numId w:val="27"/>
      </w:numPr>
    </w:pPr>
  </w:style>
  <w:style w:type="character" w:customStyle="1" w:styleId="NoSpacingChar">
    <w:name w:val="No Spacing Char"/>
    <w:basedOn w:val="DefaultParagraphFont"/>
    <w:link w:val="NoSpacing"/>
    <w:uiPriority w:val="1"/>
    <w:rsid w:val="00347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17306">
      <w:bodyDiv w:val="1"/>
      <w:marLeft w:val="0"/>
      <w:marRight w:val="0"/>
      <w:marTop w:val="0"/>
      <w:marBottom w:val="0"/>
      <w:divBdr>
        <w:top w:val="none" w:sz="0" w:space="0" w:color="auto"/>
        <w:left w:val="none" w:sz="0" w:space="0" w:color="auto"/>
        <w:bottom w:val="none" w:sz="0" w:space="0" w:color="auto"/>
        <w:right w:val="none" w:sz="0" w:space="0" w:color="auto"/>
      </w:divBdr>
    </w:div>
    <w:div w:id="128980968">
      <w:bodyDiv w:val="1"/>
      <w:marLeft w:val="0"/>
      <w:marRight w:val="0"/>
      <w:marTop w:val="0"/>
      <w:marBottom w:val="0"/>
      <w:divBdr>
        <w:top w:val="none" w:sz="0" w:space="0" w:color="auto"/>
        <w:left w:val="none" w:sz="0" w:space="0" w:color="auto"/>
        <w:bottom w:val="none" w:sz="0" w:space="0" w:color="auto"/>
        <w:right w:val="none" w:sz="0" w:space="0" w:color="auto"/>
      </w:divBdr>
    </w:div>
    <w:div w:id="675770548">
      <w:bodyDiv w:val="1"/>
      <w:marLeft w:val="0"/>
      <w:marRight w:val="0"/>
      <w:marTop w:val="0"/>
      <w:marBottom w:val="0"/>
      <w:divBdr>
        <w:top w:val="none" w:sz="0" w:space="0" w:color="auto"/>
        <w:left w:val="none" w:sz="0" w:space="0" w:color="auto"/>
        <w:bottom w:val="none" w:sz="0" w:space="0" w:color="auto"/>
        <w:right w:val="none" w:sz="0" w:space="0" w:color="auto"/>
      </w:divBdr>
    </w:div>
    <w:div w:id="726030155">
      <w:bodyDiv w:val="1"/>
      <w:marLeft w:val="0"/>
      <w:marRight w:val="0"/>
      <w:marTop w:val="0"/>
      <w:marBottom w:val="0"/>
      <w:divBdr>
        <w:top w:val="none" w:sz="0" w:space="0" w:color="auto"/>
        <w:left w:val="none" w:sz="0" w:space="0" w:color="auto"/>
        <w:bottom w:val="none" w:sz="0" w:space="0" w:color="auto"/>
        <w:right w:val="none" w:sz="0" w:space="0" w:color="auto"/>
      </w:divBdr>
    </w:div>
    <w:div w:id="1292053438">
      <w:bodyDiv w:val="1"/>
      <w:marLeft w:val="0"/>
      <w:marRight w:val="0"/>
      <w:marTop w:val="0"/>
      <w:marBottom w:val="0"/>
      <w:divBdr>
        <w:top w:val="none" w:sz="0" w:space="0" w:color="auto"/>
        <w:left w:val="none" w:sz="0" w:space="0" w:color="auto"/>
        <w:bottom w:val="none" w:sz="0" w:space="0" w:color="auto"/>
        <w:right w:val="none" w:sz="0" w:space="0" w:color="auto"/>
      </w:divBdr>
    </w:div>
    <w:div w:id="1346638246">
      <w:bodyDiv w:val="1"/>
      <w:marLeft w:val="0"/>
      <w:marRight w:val="0"/>
      <w:marTop w:val="0"/>
      <w:marBottom w:val="0"/>
      <w:divBdr>
        <w:top w:val="none" w:sz="0" w:space="0" w:color="auto"/>
        <w:left w:val="none" w:sz="0" w:space="0" w:color="auto"/>
        <w:bottom w:val="none" w:sz="0" w:space="0" w:color="auto"/>
        <w:right w:val="none" w:sz="0" w:space="0" w:color="auto"/>
      </w:divBdr>
    </w:div>
    <w:div w:id="1356419353">
      <w:bodyDiv w:val="1"/>
      <w:marLeft w:val="0"/>
      <w:marRight w:val="0"/>
      <w:marTop w:val="0"/>
      <w:marBottom w:val="0"/>
      <w:divBdr>
        <w:top w:val="none" w:sz="0" w:space="0" w:color="auto"/>
        <w:left w:val="none" w:sz="0" w:space="0" w:color="auto"/>
        <w:bottom w:val="none" w:sz="0" w:space="0" w:color="auto"/>
        <w:right w:val="none" w:sz="0" w:space="0" w:color="auto"/>
      </w:divBdr>
      <w:divsChild>
        <w:div w:id="1095906326">
          <w:marLeft w:val="0"/>
          <w:marRight w:val="0"/>
          <w:marTop w:val="0"/>
          <w:marBottom w:val="0"/>
          <w:divBdr>
            <w:top w:val="none" w:sz="0" w:space="0" w:color="auto"/>
            <w:left w:val="none" w:sz="0" w:space="0" w:color="auto"/>
            <w:bottom w:val="none" w:sz="0" w:space="0" w:color="auto"/>
            <w:right w:val="none" w:sz="0" w:space="0" w:color="auto"/>
          </w:divBdr>
          <w:divsChild>
            <w:div w:id="1152334123">
              <w:marLeft w:val="0"/>
              <w:marRight w:val="0"/>
              <w:marTop w:val="0"/>
              <w:marBottom w:val="0"/>
              <w:divBdr>
                <w:top w:val="none" w:sz="0" w:space="0" w:color="auto"/>
                <w:left w:val="none" w:sz="0" w:space="0" w:color="auto"/>
                <w:bottom w:val="none" w:sz="0" w:space="0" w:color="auto"/>
                <w:right w:val="none" w:sz="0" w:space="0" w:color="auto"/>
              </w:divBdr>
            </w:div>
          </w:divsChild>
        </w:div>
        <w:div w:id="2012294402">
          <w:marLeft w:val="0"/>
          <w:marRight w:val="0"/>
          <w:marTop w:val="0"/>
          <w:marBottom w:val="0"/>
          <w:divBdr>
            <w:top w:val="none" w:sz="0" w:space="0" w:color="auto"/>
            <w:left w:val="none" w:sz="0" w:space="0" w:color="auto"/>
            <w:bottom w:val="none" w:sz="0" w:space="0" w:color="auto"/>
            <w:right w:val="none" w:sz="0" w:space="0" w:color="auto"/>
          </w:divBdr>
          <w:divsChild>
            <w:div w:id="1846238304">
              <w:marLeft w:val="0"/>
              <w:marRight w:val="0"/>
              <w:marTop w:val="0"/>
              <w:marBottom w:val="0"/>
              <w:divBdr>
                <w:top w:val="none" w:sz="0" w:space="0" w:color="auto"/>
                <w:left w:val="none" w:sz="0" w:space="0" w:color="auto"/>
                <w:bottom w:val="none" w:sz="0" w:space="0" w:color="auto"/>
                <w:right w:val="none" w:sz="0" w:space="0" w:color="auto"/>
              </w:divBdr>
            </w:div>
          </w:divsChild>
        </w:div>
        <w:div w:id="77561220">
          <w:marLeft w:val="0"/>
          <w:marRight w:val="0"/>
          <w:marTop w:val="0"/>
          <w:marBottom w:val="0"/>
          <w:divBdr>
            <w:top w:val="none" w:sz="0" w:space="0" w:color="auto"/>
            <w:left w:val="none" w:sz="0" w:space="0" w:color="auto"/>
            <w:bottom w:val="none" w:sz="0" w:space="0" w:color="auto"/>
            <w:right w:val="none" w:sz="0" w:space="0" w:color="auto"/>
          </w:divBdr>
          <w:divsChild>
            <w:div w:id="11831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76131">
      <w:bodyDiv w:val="1"/>
      <w:marLeft w:val="0"/>
      <w:marRight w:val="0"/>
      <w:marTop w:val="0"/>
      <w:marBottom w:val="0"/>
      <w:divBdr>
        <w:top w:val="none" w:sz="0" w:space="0" w:color="auto"/>
        <w:left w:val="none" w:sz="0" w:space="0" w:color="auto"/>
        <w:bottom w:val="none" w:sz="0" w:space="0" w:color="auto"/>
        <w:right w:val="none" w:sz="0" w:space="0" w:color="auto"/>
      </w:divBdr>
    </w:div>
    <w:div w:id="2031494021">
      <w:bodyDiv w:val="1"/>
      <w:marLeft w:val="0"/>
      <w:marRight w:val="0"/>
      <w:marTop w:val="0"/>
      <w:marBottom w:val="0"/>
      <w:divBdr>
        <w:top w:val="none" w:sz="0" w:space="0" w:color="auto"/>
        <w:left w:val="none" w:sz="0" w:space="0" w:color="auto"/>
        <w:bottom w:val="none" w:sz="0" w:space="0" w:color="auto"/>
        <w:right w:val="none" w:sz="0" w:space="0" w:color="auto"/>
      </w:divBdr>
    </w:div>
    <w:div w:id="2068986257">
      <w:bodyDiv w:val="1"/>
      <w:marLeft w:val="0"/>
      <w:marRight w:val="0"/>
      <w:marTop w:val="0"/>
      <w:marBottom w:val="0"/>
      <w:divBdr>
        <w:top w:val="none" w:sz="0" w:space="0" w:color="auto"/>
        <w:left w:val="none" w:sz="0" w:space="0" w:color="auto"/>
        <w:bottom w:val="none" w:sz="0" w:space="0" w:color="auto"/>
        <w:right w:val="none" w:sz="0" w:space="0" w:color="auto"/>
      </w:divBdr>
      <w:divsChild>
        <w:div w:id="1427186295">
          <w:marLeft w:val="0"/>
          <w:marRight w:val="0"/>
          <w:marTop w:val="0"/>
          <w:marBottom w:val="0"/>
          <w:divBdr>
            <w:top w:val="none" w:sz="0" w:space="0" w:color="auto"/>
            <w:left w:val="none" w:sz="0" w:space="0" w:color="auto"/>
            <w:bottom w:val="none" w:sz="0" w:space="0" w:color="auto"/>
            <w:right w:val="none" w:sz="0" w:space="0" w:color="auto"/>
          </w:divBdr>
          <w:divsChild>
            <w:div w:id="774716065">
              <w:marLeft w:val="0"/>
              <w:marRight w:val="0"/>
              <w:marTop w:val="0"/>
              <w:marBottom w:val="0"/>
              <w:divBdr>
                <w:top w:val="none" w:sz="0" w:space="0" w:color="auto"/>
                <w:left w:val="none" w:sz="0" w:space="0" w:color="auto"/>
                <w:bottom w:val="none" w:sz="0" w:space="0" w:color="auto"/>
                <w:right w:val="none" w:sz="0" w:space="0" w:color="auto"/>
              </w:divBdr>
            </w:div>
          </w:divsChild>
        </w:div>
        <w:div w:id="763963681">
          <w:marLeft w:val="0"/>
          <w:marRight w:val="0"/>
          <w:marTop w:val="0"/>
          <w:marBottom w:val="0"/>
          <w:divBdr>
            <w:top w:val="none" w:sz="0" w:space="0" w:color="auto"/>
            <w:left w:val="none" w:sz="0" w:space="0" w:color="auto"/>
            <w:bottom w:val="none" w:sz="0" w:space="0" w:color="auto"/>
            <w:right w:val="none" w:sz="0" w:space="0" w:color="auto"/>
          </w:divBdr>
          <w:divsChild>
            <w:div w:id="1615289068">
              <w:marLeft w:val="0"/>
              <w:marRight w:val="0"/>
              <w:marTop w:val="0"/>
              <w:marBottom w:val="0"/>
              <w:divBdr>
                <w:top w:val="none" w:sz="0" w:space="0" w:color="auto"/>
                <w:left w:val="none" w:sz="0" w:space="0" w:color="auto"/>
                <w:bottom w:val="none" w:sz="0" w:space="0" w:color="auto"/>
                <w:right w:val="none" w:sz="0" w:space="0" w:color="auto"/>
              </w:divBdr>
            </w:div>
          </w:divsChild>
        </w:div>
        <w:div w:id="562714503">
          <w:marLeft w:val="0"/>
          <w:marRight w:val="0"/>
          <w:marTop w:val="0"/>
          <w:marBottom w:val="0"/>
          <w:divBdr>
            <w:top w:val="none" w:sz="0" w:space="0" w:color="auto"/>
            <w:left w:val="none" w:sz="0" w:space="0" w:color="auto"/>
            <w:bottom w:val="none" w:sz="0" w:space="0" w:color="auto"/>
            <w:right w:val="none" w:sz="0" w:space="0" w:color="auto"/>
          </w:divBdr>
          <w:divsChild>
            <w:div w:id="78400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asdaq.com/market-activity/stocks/jpm" TargetMode="External"/><Relationship Id="rId18" Type="http://schemas.openxmlformats.org/officeDocument/2006/relationships/hyperlink" Target="https://facebook.github.io/prophe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inance.yahoo.com/quote/JPM" TargetMode="External"/><Relationship Id="rId17" Type="http://schemas.openxmlformats.org/officeDocument/2006/relationships/hyperlink" Target="https://www.investopedia.com" TargetMode="External"/><Relationship Id="rId2" Type="http://schemas.openxmlformats.org/officeDocument/2006/relationships/styles" Target="styles.xml"/><Relationship Id="rId16" Type="http://schemas.openxmlformats.org/officeDocument/2006/relationships/hyperlink" Target="https://www.slickcharts.com/sp500/return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pmorganchase.com/about" TargetMode="External"/><Relationship Id="rId5" Type="http://schemas.openxmlformats.org/officeDocument/2006/relationships/footnotes" Target="footnotes.xml"/><Relationship Id="rId15" Type="http://schemas.openxmlformats.org/officeDocument/2006/relationships/hyperlink" Target="https://fred.stlouisfed.org"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u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2992</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Sambangi</dc:creator>
  <cp:keywords/>
  <dc:description/>
  <cp:lastModifiedBy>Prince Girdharbhai Godhani</cp:lastModifiedBy>
  <cp:revision>5</cp:revision>
  <dcterms:created xsi:type="dcterms:W3CDTF">2026-04-16T08:49:00Z</dcterms:created>
  <dcterms:modified xsi:type="dcterms:W3CDTF">2026-04-16T18:17:00Z</dcterms:modified>
</cp:coreProperties>
</file>